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f357451a9540eaca9541a5c6c83354e03b9224"/>
    <w:p>
      <w:pPr>
        <w:pStyle w:val="Heading2"/>
      </w:pPr>
      <w:r>
        <w:t xml:space="preserve">Rapport Jour 6 : Préparation finale du dataset</w:t>
      </w:r>
    </w:p>
    <w:p>
      <w:r>
        <w:pict>
          <v:rect style="width:0;height:1.5pt" o:hralign="center" o:hrstd="t" o:hr="t"/>
        </w:pict>
      </w:r>
    </w:p>
    <w:bookmarkStart w:id="20" w:name="introduction"/>
    <w:p>
      <w:pPr>
        <w:pStyle w:val="Heading3"/>
      </w:pPr>
      <w:r>
        <w:t xml:space="preserve">1. Introduction</w:t>
      </w:r>
    </w:p>
    <w:p>
      <w:pPr>
        <w:pStyle w:val="FirstParagraph"/>
      </w:pPr>
      <w:r>
        <w:t xml:space="preserve">Le Jour 6 est consacré à la préparation finale du dataset pour la modélisation en Machine Learning. Cette étape est cruciale afin d’assurer que les données soient correctement structurées, séparées et équilibrées pour permettre un apprentissage efficace et fiable.</w:t>
      </w:r>
    </w:p>
    <w:p>
      <w:pPr>
        <w:pStyle w:val="BodyText"/>
      </w:pPr>
      <w:r>
        <w:t xml:space="preserve">L’objectif principal est de créer des jeux de données distincts pour l’entraînement et le test, permettant d’évaluer la capacité des modèles à généraliser et à prédire correctement la réussite académique des étudiants.</w:t>
      </w:r>
    </w:p>
    <w:p>
      <w:r>
        <w:pict>
          <v:rect style="width:0;height:1.5pt" o:hralign="center" o:hrstd="t" o:hr="t"/>
        </w:pict>
      </w:r>
    </w:p>
    <w:bookmarkEnd w:id="20"/>
    <w:bookmarkStart w:id="23" w:name="X45172d614140f8eb05657bf89770e72726ae6a6"/>
    <w:p>
      <w:pPr>
        <w:pStyle w:val="Heading3"/>
      </w:pPr>
      <w:r>
        <w:t xml:space="preserve">2. Séparation des features et de la variable cible</w:t>
      </w:r>
    </w:p>
    <w:bookmarkStart w:id="21" w:name="variable-cible-target"/>
    <w:p>
      <w:pPr>
        <w:pStyle w:val="Heading4"/>
      </w:pPr>
      <w:r>
        <w:t xml:space="preserve">2.1 Variable cible (Target)</w:t>
      </w:r>
    </w:p>
    <w:p>
      <w:pPr>
        <w:pStyle w:val="FirstParagraph"/>
      </w:pPr>
      <w:r>
        <w:t xml:space="preserve">Dans ce projet, la variable cible choisie est</w:t>
      </w:r>
      <w:r>
        <w:t xml:space="preserve"> </w:t>
      </w:r>
      <w:r>
        <w:rPr>
          <w:rStyle w:val="VerbatimChar"/>
        </w:rPr>
        <w:t xml:space="preserve">passed</w:t>
      </w:r>
      <w:r>
        <w:t xml:space="preserve">, qui indique si un étudiant a réussi (1) ou échoué (0). Cette variable est essentielle pour les modèles de classification supervisée.</w:t>
      </w:r>
    </w:p>
    <w:bookmarkEnd w:id="21"/>
    <w:bookmarkStart w:id="22" w:name="variables-explicatives-features"/>
    <w:p>
      <w:pPr>
        <w:pStyle w:val="Heading4"/>
      </w:pPr>
      <w:r>
        <w:t xml:space="preserve">2.2 Variables explicatives (Features)</w:t>
      </w:r>
    </w:p>
    <w:p>
      <w:pPr>
        <w:pStyle w:val="FirstParagraph"/>
      </w:pPr>
      <w:r>
        <w:t xml:space="preserve">Toutes les autres colonnes du dataset, y compris les notes, la présence, l’engagement académique et les variables dérivées (ratios, moyennes par filière), constituent les features.</w:t>
      </w:r>
    </w:p>
    <w:p>
      <w:pPr>
        <w:pStyle w:val="BodyText"/>
      </w:pPr>
      <w:r>
        <w:t xml:space="preserve">Cette séparation permet aux modèles de Machine Learning d’apprendre à partir des caractéristiques des étudiants pour prédire la réussite.</w:t>
      </w:r>
    </w:p>
    <w:p>
      <w:r>
        <w:pict>
          <v:rect style="width:0;height:1.5pt" o:hralign="center" o:hrstd="t" o:hr="t"/>
        </w:pict>
      </w:r>
    </w:p>
    <w:bookmarkEnd w:id="22"/>
    <w:bookmarkEnd w:id="23"/>
    <w:bookmarkStart w:id="27" w:name="Xb7d3b84d91c6420e241aa30a7259070c8ee8503"/>
    <w:p>
      <w:pPr>
        <w:pStyle w:val="Heading3"/>
      </w:pPr>
      <w:r>
        <w:t xml:space="preserve">3. Division en jeux d’entraînement et de test</w:t>
      </w:r>
    </w:p>
    <w:bookmarkStart w:id="24" w:name="pourquoi-diviser"/>
    <w:p>
      <w:pPr>
        <w:pStyle w:val="Heading4"/>
      </w:pPr>
      <w:r>
        <w:t xml:space="preserve">3.1 Pourquoi diviser ?</w:t>
      </w:r>
    </w:p>
    <w:p>
      <w:pPr>
        <w:pStyle w:val="Compact"/>
        <w:numPr>
          <w:ilvl w:val="0"/>
          <w:numId w:val="1001"/>
        </w:numPr>
      </w:pPr>
      <w:r>
        <w:t xml:space="preserve">Le</w:t>
      </w:r>
      <w:r>
        <w:t xml:space="preserve"> </w:t>
      </w:r>
      <w:r>
        <w:rPr>
          <w:b/>
          <w:bCs/>
        </w:rPr>
        <w:t xml:space="preserve">jeu d’entraînement</w:t>
      </w:r>
      <w:r>
        <w:t xml:space="preserve"> </w:t>
      </w:r>
      <w:r>
        <w:t xml:space="preserve">permet au modèle d’apprendre les relations entre les features et la variable cible.</w:t>
      </w:r>
    </w:p>
    <w:p>
      <w:pPr>
        <w:pStyle w:val="Compact"/>
        <w:numPr>
          <w:ilvl w:val="0"/>
          <w:numId w:val="1001"/>
        </w:numPr>
      </w:pPr>
      <w:r>
        <w:t xml:space="preserve">Le</w:t>
      </w:r>
      <w:r>
        <w:t xml:space="preserve"> </w:t>
      </w:r>
      <w:r>
        <w:rPr>
          <w:b/>
          <w:bCs/>
        </w:rPr>
        <w:t xml:space="preserve">jeu de test</w:t>
      </w:r>
      <w:r>
        <w:t xml:space="preserve"> </w:t>
      </w:r>
      <w:r>
        <w:t xml:space="preserve">permet de mesurer la performance du modèle sur des données</w:t>
      </w:r>
      <w:r>
        <w:t xml:space="preserve"> </w:t>
      </w:r>
      <w:r>
        <w:rPr>
          <w:b/>
          <w:bCs/>
        </w:rPr>
        <w:t xml:space="preserve">nouvelles</w:t>
      </w:r>
      <w:r>
        <w:t xml:space="preserve">, jamais vues pendant l’apprentissage.</w:t>
      </w:r>
    </w:p>
    <w:p>
      <w:pPr>
        <w:pStyle w:val="FirstParagraph"/>
      </w:pPr>
      <w:r>
        <w:t xml:space="preserve">Cette séparation évite le surapprentissage (overfitting) et garantit que les résultats sont fiables et généralisables.</w:t>
      </w:r>
    </w:p>
    <w:bookmarkEnd w:id="24"/>
    <w:bookmarkStart w:id="25" w:name="proportions-utilisées"/>
    <w:p>
      <w:pPr>
        <w:pStyle w:val="Heading4"/>
      </w:pPr>
      <w:r>
        <w:t xml:space="preserve">3.2 Proportions utilisées</w:t>
      </w:r>
    </w:p>
    <w:p>
      <w:pPr>
        <w:pStyle w:val="Compact"/>
        <w:numPr>
          <w:ilvl w:val="0"/>
          <w:numId w:val="1002"/>
        </w:numPr>
      </w:pPr>
      <w:r>
        <w:t xml:space="preserve">80 % pour l’entraînement</w:t>
      </w:r>
    </w:p>
    <w:p>
      <w:pPr>
        <w:pStyle w:val="Compact"/>
        <w:numPr>
          <w:ilvl w:val="0"/>
          <w:numId w:val="1002"/>
        </w:numPr>
      </w:pPr>
      <w:r>
        <w:t xml:space="preserve">20 % pour le test</w:t>
      </w:r>
    </w:p>
    <w:p>
      <w:pPr>
        <w:pStyle w:val="FirstParagraph"/>
      </w:pPr>
      <w:r>
        <w:t xml:space="preserve">Cette proportion est standard et assure un équilibre entre données pour l’apprentissage et données pour l’évaluation.</w:t>
      </w:r>
    </w:p>
    <w:bookmarkEnd w:id="25"/>
    <w:bookmarkStart w:id="26" w:name="stratification"/>
    <w:p>
      <w:pPr>
        <w:pStyle w:val="Heading4"/>
      </w:pPr>
      <w:r>
        <w:t xml:space="preserve">3.3 Stratification</w:t>
      </w:r>
    </w:p>
    <w:p>
      <w:pPr>
        <w:pStyle w:val="FirstParagraph"/>
      </w:pPr>
      <w:r>
        <w:t xml:space="preserve">La stratification a été utilisée pour garantir que la proportion d’étudiants ayant réussi ou échoué soit identique dans les jeux d’entraînement et de test. Cela permet de maintenir un équilibre représentatif de la population étudiante.</w:t>
      </w:r>
    </w:p>
    <w:p>
      <w:r>
        <w:pict>
          <v:rect style="width:0;height:1.5pt" o:hralign="center" o:hrstd="t" o:hr="t"/>
        </w:pict>
      </w:r>
    </w:p>
    <w:bookmarkEnd w:id="26"/>
    <w:bookmarkEnd w:id="27"/>
    <w:bookmarkStart w:id="28" w:name="sauvegarde-des-datasets"/>
    <w:p>
      <w:pPr>
        <w:pStyle w:val="Heading3"/>
      </w:pPr>
      <w:r>
        <w:t xml:space="preserve">4. Sauvegarde des datasets</w:t>
      </w:r>
    </w:p>
    <w:p>
      <w:pPr>
        <w:pStyle w:val="FirstParagraph"/>
      </w:pPr>
      <w:r>
        <w:t xml:space="preserve">Pour faciliter la modélisation et la reproductibilité :</w:t>
      </w:r>
      <w:r>
        <w:t xml:space="preserve"> </w:t>
      </w:r>
      <w:r>
        <w:t xml:space="preserve">- Les jeux</w:t>
      </w:r>
      <w:r>
        <w:t xml:space="preserve"> </w:t>
      </w:r>
      <w:r>
        <w:rPr>
          <w:rStyle w:val="VerbatimChar"/>
        </w:rPr>
        <w:t xml:space="preserve">X_train</w:t>
      </w:r>
      <w:r>
        <w:t xml:space="preserve">,</w:t>
      </w:r>
      <w:r>
        <w:t xml:space="preserve"> </w:t>
      </w:r>
      <w:r>
        <w:rPr>
          <w:rStyle w:val="VerbatimChar"/>
        </w:rPr>
        <w:t xml:space="preserve">X_test</w:t>
      </w:r>
      <w:r>
        <w:t xml:space="preserve">,</w:t>
      </w:r>
      <w:r>
        <w:t xml:space="preserve"> </w:t>
      </w:r>
      <w:r>
        <w:rPr>
          <w:rStyle w:val="VerbatimChar"/>
        </w:rPr>
        <w:t xml:space="preserve">y_train</w:t>
      </w:r>
      <w:r>
        <w:t xml:space="preserve">,</w:t>
      </w:r>
      <w:r>
        <w:t xml:space="preserve"> </w:t>
      </w:r>
      <w:r>
        <w:rPr>
          <w:rStyle w:val="VerbatimChar"/>
        </w:rPr>
        <w:t xml:space="preserve">y_test</w:t>
      </w:r>
      <w:r>
        <w:t xml:space="preserve"> </w:t>
      </w:r>
      <w:r>
        <w:t xml:space="preserve">ont été sauvegardés sous format CSV.</w:t>
      </w:r>
      <w:r>
        <w:t xml:space="preserve"> </w:t>
      </w:r>
      <w:r>
        <w:t xml:space="preserve">- Ces fichiers serviront directement pour l’entraînement et l’évaluation des modèles.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Rôle</w:t>
            </w:r>
          </w:p>
        </w:tc>
      </w:tr>
      <w:tr>
        <w:tc>
          <w:tcPr/>
          <w:p>
            <w:pPr>
              <w:pStyle w:val="Compact"/>
            </w:pPr>
            <w:r>
              <w:t xml:space="preserve">X_train.csv</w:t>
            </w:r>
          </w:p>
        </w:tc>
        <w:tc>
          <w:tcPr/>
          <w:p>
            <w:pPr>
              <w:pStyle w:val="Compact"/>
            </w:pPr>
            <w:r>
              <w:t xml:space="preserve">Features du jeu d’entraînement</w:t>
            </w:r>
          </w:p>
        </w:tc>
      </w:tr>
      <w:tr>
        <w:tc>
          <w:tcPr/>
          <w:p>
            <w:pPr>
              <w:pStyle w:val="Compact"/>
            </w:pPr>
            <w:r>
              <w:t xml:space="preserve">X_test.csv</w:t>
            </w:r>
          </w:p>
        </w:tc>
        <w:tc>
          <w:tcPr/>
          <w:p>
            <w:pPr>
              <w:pStyle w:val="Compact"/>
            </w:pPr>
            <w:r>
              <w:t xml:space="preserve">Features du jeu de test</w:t>
            </w:r>
          </w:p>
        </w:tc>
      </w:tr>
      <w:tr>
        <w:tc>
          <w:tcPr/>
          <w:p>
            <w:pPr>
              <w:pStyle w:val="Compact"/>
            </w:pPr>
            <w:r>
              <w:t xml:space="preserve">y_train.csv</w:t>
            </w:r>
          </w:p>
        </w:tc>
        <w:tc>
          <w:tcPr/>
          <w:p>
            <w:pPr>
              <w:pStyle w:val="Compact"/>
            </w:pPr>
            <w:r>
              <w:t xml:space="preserve">Labels du jeu d’entraînement</w:t>
            </w:r>
          </w:p>
        </w:tc>
      </w:tr>
      <w:tr>
        <w:tc>
          <w:tcPr/>
          <w:p>
            <w:pPr>
              <w:pStyle w:val="Compact"/>
            </w:pPr>
            <w:r>
              <w:t xml:space="preserve">y_test.csv</w:t>
            </w:r>
          </w:p>
        </w:tc>
        <w:tc>
          <w:tcPr/>
          <w:p>
            <w:pPr>
              <w:pStyle w:val="Compact"/>
            </w:pPr>
            <w:r>
              <w:t xml:space="preserve">Labels du jeu de test</w:t>
            </w:r>
          </w:p>
        </w:tc>
      </w:tr>
    </w:tbl>
    <w:p>
      <w:r>
        <w:pict>
          <v:rect style="width:0;height:1.5pt" o:hralign="center" o:hrstd="t" o:hr="t"/>
        </w:pict>
      </w:r>
    </w:p>
    <w:bookmarkEnd w:id="28"/>
    <w:bookmarkStart w:id="29" w:name="apports-de-cette-étape-pour-le-projet"/>
    <w:p>
      <w:pPr>
        <w:pStyle w:val="Heading3"/>
      </w:pPr>
      <w:r>
        <w:t xml:space="preserve">5. Apports de cette étape pour le projet</w:t>
      </w:r>
    </w:p>
    <w:p>
      <w:pPr>
        <w:pStyle w:val="Compact"/>
        <w:numPr>
          <w:ilvl w:val="0"/>
          <w:numId w:val="1003"/>
        </w:numPr>
      </w:pPr>
      <w:r>
        <w:t xml:space="preserve">Assure la</w:t>
      </w:r>
      <w:r>
        <w:t xml:space="preserve"> </w:t>
      </w:r>
      <w:r>
        <w:rPr>
          <w:b/>
          <w:bCs/>
        </w:rPr>
        <w:t xml:space="preserve">fiabilité</w:t>
      </w:r>
      <w:r>
        <w:t xml:space="preserve"> </w:t>
      </w:r>
      <w:r>
        <w:t xml:space="preserve">des modèles prédictifs</w:t>
      </w:r>
    </w:p>
    <w:p>
      <w:pPr>
        <w:pStyle w:val="Compact"/>
        <w:numPr>
          <w:ilvl w:val="0"/>
          <w:numId w:val="1003"/>
        </w:numPr>
      </w:pPr>
      <w:r>
        <w:t xml:space="preserve">Facilite la</w:t>
      </w:r>
      <w:r>
        <w:t xml:space="preserve"> </w:t>
      </w:r>
      <w:r>
        <w:rPr>
          <w:b/>
          <w:bCs/>
        </w:rPr>
        <w:t xml:space="preserve">répétabilité et la reproductibilité</w:t>
      </w:r>
      <w:r>
        <w:t xml:space="preserve"> </w:t>
      </w:r>
      <w:r>
        <w:t xml:space="preserve">des expériences</w:t>
      </w:r>
    </w:p>
    <w:p>
      <w:pPr>
        <w:pStyle w:val="Compact"/>
        <w:numPr>
          <w:ilvl w:val="0"/>
          <w:numId w:val="1003"/>
        </w:numPr>
      </w:pPr>
      <w:r>
        <w:t xml:space="preserve">Permet d’évaluer objectivement la capacité du système à anticiper la réussite académique</w:t>
      </w:r>
    </w:p>
    <w:p>
      <w:pPr>
        <w:pStyle w:val="Compact"/>
        <w:numPr>
          <w:ilvl w:val="0"/>
          <w:numId w:val="1003"/>
        </w:numPr>
      </w:pPr>
      <w:r>
        <w:t xml:space="preserve">Prépare les données pour la modélisation supervisée du Jour 7</w:t>
      </w:r>
    </w:p>
    <w:p>
      <w:pPr>
        <w:pStyle w:val="FirstParagraph"/>
      </w:pPr>
      <w:r>
        <w:t xml:space="preserve">Cette étape est essentielle pour transformer un dataset nettoyé et enrichi en un jeu de données structuré et utilisable par les modèles de Machine Learning.</w:t>
      </w:r>
    </w:p>
    <w:p>
      <w:r>
        <w:pict>
          <v:rect style="width:0;height:1.5pt" o:hralign="center" o:hrstd="t" o:hr="t"/>
        </w:pict>
      </w:r>
    </w:p>
    <w:bookmarkEnd w:id="29"/>
    <w:bookmarkStart w:id="30" w:name="conclusion"/>
    <w:p>
      <w:pPr>
        <w:pStyle w:val="Heading3"/>
      </w:pPr>
      <w:r>
        <w:t xml:space="preserve">6. Conclusion</w:t>
      </w:r>
    </w:p>
    <w:p>
      <w:pPr>
        <w:pStyle w:val="FirstParagraph"/>
      </w:pPr>
      <w:r>
        <w:t xml:space="preserve">Le Jour 6 a permis de préparer le dataset final pour la modélisation :</w:t>
      </w:r>
      <w:r>
        <w:t xml:space="preserve"> </w:t>
      </w:r>
      <w:r>
        <w:t xml:space="preserve">- Séparation claire entre features et variable cible</w:t>
      </w:r>
      <w:r>
        <w:t xml:space="preserve"> </w:t>
      </w:r>
      <w:r>
        <w:t xml:space="preserve">- Création de jeux d’entraînement et de test équilibrés et représentatifs</w:t>
      </w:r>
      <w:r>
        <w:t xml:space="preserve"> </w:t>
      </w:r>
      <w:r>
        <w:t xml:space="preserve">- Sauvegarde des fichiers pour la modélisation</w:t>
      </w:r>
    </w:p>
    <w:p>
      <w:pPr>
        <w:pStyle w:val="BodyText"/>
      </w:pPr>
      <w:r>
        <w:t xml:space="preserve">Cette étape garantit que les modèles entraînés ultérieurement auront une base solide pour prédire la réussite académique des étudiants et soutenir la prise de décision administrative.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2025-12-25T04:09:06Z</dcterms:created>
  <dcterms:modified xsi:type="dcterms:W3CDTF">2025-12-25T04:09:06Z</dcterms:modified>
</cp:coreProperties>
</file>

<file path=docProps/custom.xml><?xml version="1.0" encoding="utf-8"?>
<Properties xmlns="http://schemas.openxmlformats.org/officeDocument/2006/custom-properties" xmlns:vt="http://schemas.openxmlformats.org/officeDocument/2006/docPropsVTypes"/>
</file>