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methods,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(SAEM),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Against independent FOCEI and SAEM</w:t>
      </w:r>
      <w:r>
        <w:t xml:space="preserve"> </w:t>
      </w:r>
      <w:r>
        <w:t xml:space="preserve">baseline fits on matched simulated data,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recovers both fixed effects and Omega with accuracy closely</w:t>
      </w:r>
      <w:r>
        <w:t xml:space="preserve"> </w:t>
      </w:r>
      <w:r>
        <w:t xml:space="preserve">matching both established methods (Omega bias under 1.2% for every</w:t>
      </w:r>
      <w:r>
        <w:t xml:space="preserve"> </w:t>
      </w:r>
      <w:r>
        <w:t xml:space="preserve">parameter),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identified throughout this work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most</w:t>
      </w:r>
      <w:r>
        <w:t xml:space="preserve"> </w:t>
      </w:r>
      <w:r>
        <w:t xml:space="preserve">affected parameter). The correction also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 structural,</w:t>
      </w:r>
      <w:r>
        <w:t xml:space="preserve"> </w:t>
      </w:r>
      <w:r>
        <w:t xml:space="preserve">cross-method identifiability limitation specific to estimating</w:t>
      </w:r>
      <w:r>
        <w:t xml:space="preserve"> </w:t>
      </w:r>
      <w:r>
        <w:t xml:space="preserve">variability on both Michaelis-Menten parameters simultaneously. We</w:t>
      </w:r>
      <w:r>
        <w:t xml:space="preserve"> </w:t>
      </w:r>
      <w:r>
        <w:t xml:space="preserve">further show that likelihood-ratio tests built on the variational</w:t>
      </w:r>
      <w:r>
        <w:t xml:space="preserve"> </w:t>
      </w:r>
      <w:r>
        <w:t xml:space="preserve">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structure, fixed effects and the distribution of between-subject random</w:t>
      </w:r>
      <w:r>
        <w:t xml:space="preserve"> </w:t>
      </w:r>
      <w:r>
        <w:t xml:space="preserve">effects, gives rise to individual-level observations, and they remain the</w:t>
      </w:r>
      <w:r>
        <w:t xml:space="preserve"> </w:t>
      </w:r>
      <w:r>
        <w:t xml:space="preserve">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variance,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 2026; Li et al. 2026; Baaz, Sjöberg, and Jirstrand 2026)</w:t>
      </w:r>
      <w:r>
        <w:t xml:space="preserve">. In the NLME</w:t>
      </w:r>
      <w:r>
        <w:t xml:space="preserve"> </w:t>
      </w:r>
      <w:r>
        <w:t xml:space="preserve">setting specifically, this translates into underestimated between-subject</w:t>
      </w:r>
      <w:r>
        <w:t xml:space="preserve"> </w:t>
      </w:r>
      <w:r>
        <w:t xml:space="preserve">variance components (commonly denoted Omega, or written as the diagonal</w:t>
      </w:r>
      <w:r>
        <w:t xml:space="preserve"> </w:t>
      </w:r>
      <w:r>
        <w:t xml:space="preserve">of a covariance matrix</w:t>
      </w:r>
      <w:r>
        <w:t xml:space="preserve"> </w:t>
      </w:r>
      <m:oMath>
        <m:r>
          <m:t>Ω</m:t>
        </m:r>
      </m:oMath>
      <w:r>
        <w:t xml:space="preserve">), precisely the quantity that most</w:t>
      </w:r>
      <w:r>
        <w:t xml:space="preserve"> </w:t>
      </w:r>
      <w:r>
        <w:t xml:space="preserve">directly answers scientific questions about population heterogeneity, and</w:t>
      </w:r>
      <w:r>
        <w:t xml:space="preserve"> </w:t>
      </w:r>
      <w:r>
        <w:t xml:space="preserve">the quantity on which decisions such as covariate inclusion are</w:t>
      </w:r>
      <w:r>
        <w:t xml:space="preserve"> </w:t>
      </w:r>
      <w:r>
        <w:t xml:space="preserve">frequently based. While this failure mode has been noted in passing in</w:t>
      </w:r>
      <w:r>
        <w:t xml:space="preserve"> </w:t>
      </w:r>
      <w:r>
        <w:t xml:space="preserve">several places in the recent literature applying VI to NLME models, it</w:t>
      </w:r>
      <w:r>
        <w:t xml:space="preserve"> </w:t>
      </w:r>
      <w:r>
        <w:t xml:space="preserve">has not, to our knowledge, been systematically characterized: under what</w:t>
      </w:r>
      <w:r>
        <w:t xml:space="preserve"> </w:t>
      </w:r>
      <w:r>
        <w:t xml:space="preserve">conditions it arises, whether it can be corrected, and whether correcting</w:t>
      </w:r>
      <w:r>
        <w:t xml:space="preserve"> </w:t>
      </w:r>
      <w:r>
        <w:t xml:space="preserve">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 resulting fit</w:t>
      </w:r>
      <w:r>
        <w:t xml:space="preserve"> </w:t>
      </w:r>
      <w:r>
        <w:t xml:space="preserve">trustworthy for the full range of downstream uses an NLME model is put</w:t>
      </w:r>
      <w:r>
        <w:t xml:space="preserve"> </w:t>
      </w:r>
      <w:r>
        <w:t xml:space="preserve">to, in particular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against independent FOCEI and SAEM baseline</w:t>
      </w:r>
      <w:r>
        <w:t xml:space="preserve"> </w:t>
      </w:r>
      <w:r>
        <w:t xml:space="preserve">fits on matched simulated data: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matches both established methods’ accuracy closely (Omega</w:t>
      </w:r>
      <w:r>
        <w:t xml:space="preserve"> </w:t>
      </w:r>
      <w:r>
        <w:t xml:space="preserve">bias under 1.2% on every parameter, comparable to FOCEI’s and SAEM’s</w:t>
      </w:r>
      <w:r>
        <w:t xml:space="preserve"> </w:t>
      </w:r>
      <w:r>
        <w:t xml:space="preserve">own bias),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characterized above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), directly confirming</w:t>
      </w:r>
      <w:r>
        <w:t xml:space="preserve"> </w:t>
      </w:r>
      <w:r>
        <w:t xml:space="preserve">that the corrected point estimates, not just their relative</w:t>
      </w:r>
      <w:r>
        <w:t xml:space="preserve"> </w:t>
      </w:r>
      <w:r>
        <w:t xml:space="preserve">improvement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are quantitatively trustworthy against</w:t>
      </w:r>
      <w:r>
        <w:t xml:space="preserve"> </w:t>
      </w:r>
      <w:r>
        <w:t xml:space="preserve">established methods, not only self-consistent within variational</w:t>
      </w:r>
      <w:r>
        <w:t xml:space="preserve"> </w:t>
      </w:r>
      <w:r>
        <w:t xml:space="preserve">inference.</w:t>
      </w:r>
    </w:p>
    <w:p>
      <w:pPr>
        <w:pStyle w:val="Compact"/>
        <w:numPr>
          <w:ilvl w:val="0"/>
          <w:numId w:val="1001"/>
        </w:numPr>
      </w:pPr>
      <w:r>
        <w:t xml:space="preserve">We further validate the correction on two independent real</w:t>
      </w:r>
      <w:r>
        <w:t xml:space="preserve"> </w:t>
      </w:r>
      <w:r>
        <w:t xml:space="preserve">pharmacokinetic datasets, including an external benchmark comparison</w:t>
      </w:r>
      <w:r>
        <w:t xml:space="preserve"> </w:t>
      </w:r>
      <w:r>
        <w:t xml:space="preserve">in which our fixed-effect estimates agree with an independently</w:t>
      </w:r>
      <w:r>
        <w:t xml:space="preserve"> </w:t>
      </w:r>
      <w:r>
        <w:t xml:space="preserve">published FOCEI fit 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limitation, consistent with standard</w:t>
      </w:r>
      <w:r>
        <w:t xml:space="preserve"> </w:t>
      </w:r>
      <w:r>
        <w:t xml:space="preserve">pharmacometric practice and not a VI-specific artifact,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theory,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,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bookmarkEnd w:id="21"/>
    <w:bookmarkStart w:id="41" w:name="methods"/>
    <w:p>
      <w:pPr>
        <w:pStyle w:val="Heading2"/>
      </w:pPr>
      <w:r>
        <w:t xml:space="preserve">Methods</w:t>
      </w:r>
    </w:p>
    <w:bookmarkStart w:id="28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eq-residual-error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bookmarkStart w:id="22" w:name="eq-residual-error"/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2"/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 (</w:t>
      </w:r>
      <w:hyperlink w:anchor="eq-log-residual-error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23" w:name="eq-log-residual-error"/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3"/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 (</w:t>
      </w:r>
      <w:hyperlink w:anchor="eq-population-model">
        <w:r>
          <w:rPr>
            <w:rStyle w:val="Hyperlink"/>
          </w:rPr>
          <w:t xml:space="preserve">Equation 3</w:t>
        </w:r>
      </w:hyperlink>
      <w:r>
        <w:t xml:space="preserve">),</w:t>
      </w:r>
    </w:p>
    <w:p>
      <w:pPr>
        <w:pStyle w:val="BodyText"/>
      </w:pPr>
      <w:bookmarkStart w:id="24" w:name="eq-population-model"/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4"/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</w:t>
      </w:r>
      <w:r>
        <w:t xml:space="preserve"> </w:t>
      </w:r>
      <w:r>
        <w:t xml:space="preserve">(</w:t>
      </w:r>
      <w:hyperlink w:anchor="eq-marginal-likelihood">
        <w:r>
          <w:rPr>
            <w:rStyle w:val="Hyperlink"/>
          </w:rPr>
          <w:t xml:space="preserve">Equation 4</w:t>
        </w:r>
      </w:hyperlink>
      <w:r>
        <w:t xml:space="preserve">),</w:t>
      </w:r>
    </w:p>
    <w:p>
      <w:pPr>
        <w:pStyle w:val="BodyText"/>
      </w:pPr>
      <w:bookmarkStart w:id="25" w:name="eq-marginal-likelihood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</m:oMath>
      </m:oMathPara>
      <w:bookmarkEnd w:id="25"/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  <w:r>
        <w:t xml:space="preserve"> </w:t>
      </w:r>
      <w:hyperlink w:anchor="eq-elbo">
        <w:r>
          <w:rPr>
            <w:rStyle w:val="Hyperlink"/>
          </w:rPr>
          <w:t xml:space="preserve">Equation 5</w:t>
        </w:r>
      </w:hyperlink>
      <w:r>
        <w:t xml:space="preserve">:</w:t>
      </w:r>
    </w:p>
    <w:p>
      <w:pPr>
        <w:pStyle w:val="BodyText"/>
      </w:pPr>
      <w:bookmarkStart w:id="26" w:name="eq-elbo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</m:e>
          </m:d>
        </m:oMath>
      </m:oMathPara>
      <w:bookmarkEnd w:id="26"/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 defined in</w:t>
      </w:r>
      <w:r>
        <w:t xml:space="preserve"> </w:t>
      </w:r>
      <w:hyperlink w:anchor="eq-iw-elbo">
        <w:r>
          <w:rPr>
            <w:rStyle w:val="Hyperlink"/>
          </w:rPr>
          <w:t xml:space="preserve">Equation 6</w:t>
        </w:r>
      </w:hyperlink>
      <w:r>
        <w:t xml:space="preserve">:</w:t>
      </w:r>
    </w:p>
    <w:p>
      <w:pPr>
        <w:pStyle w:val="BodyText"/>
      </w:pPr>
      <w:bookmarkStart w:id="27" w:name="eq-iw-elbo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</m:t>
              </m:r>
            </m:e>
          </m:d>
        </m:oMath>
      </m:oMathPara>
      <w:bookmarkEnd w:id="27"/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8"/>
    <w:bookmarkStart w:id="30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optimization,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 (</w:t>
      </w:r>
      <w:hyperlink w:anchor="eq-flow-density">
        <w:r>
          <w:rPr>
            <w:rStyle w:val="Hyperlink"/>
          </w:rPr>
          <w:t xml:space="preserve">Equation 7</w:t>
        </w:r>
      </w:hyperlink>
      <w:r>
        <w:t xml:space="preserve">),</w:t>
      </w:r>
    </w:p>
    <w:p>
      <w:pPr>
        <w:pStyle w:val="BodyText"/>
      </w:pPr>
      <w:bookmarkStart w:id="29" w:name="eq-flow-density"/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</m:t>
              </m:r>
            </m:e>
          </m:d>
        </m:oMath>
      </m:oMathPara>
      <w:bookmarkEnd w:id="29"/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 (amortized</w:t>
      </w:r>
      <w:r>
        <w:t xml:space="preserve"> </w:t>
      </w:r>
      <w:r>
        <w:t xml:space="preserve">+ flow) is unstable and excluded from headline results.</w:t>
      </w:r>
    </w:p>
    <w:bookmarkEnd w:id="30"/>
    <w:bookmarkStart w:id="31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31"/>
    <w:bookmarkStart w:id="33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 (</w:t>
      </w:r>
      <w:hyperlink w:anchor="eq-michaelis-menten">
        <w:r>
          <w:rPr>
            <w:rStyle w:val="Hyperlink"/>
          </w:rPr>
          <w:t xml:space="preserve">Equation 8</w:t>
        </w:r>
      </w:hyperlink>
      <w:r>
        <w:t xml:space="preserve">),</w:t>
      </w:r>
    </w:p>
    <w:p>
      <w:pPr>
        <w:pStyle w:val="BodyText"/>
      </w:pPr>
      <w:bookmarkStart w:id="32" w:name="eq-michaelis-menten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</m:e>
          </m:d>
        </m:oMath>
      </m:oMathPara>
      <w:bookmarkEnd w:id="32"/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effect, both because placing independent between-subject</w:t>
      </w:r>
      <w:r>
        <w:t xml:space="preserve"> </w:t>
      </w:r>
      <w:r>
        <w:t xml:space="preserve">variability on both Michaelis-Menten parameters simultaneously is a</w:t>
      </w:r>
      <w:r>
        <w:t xml:space="preserve"> </w:t>
      </w:r>
      <w:r>
        <w:t xml:space="preserve">recognized cross-method identifiability difficulty in nonlinear</w:t>
      </w:r>
      <w:r>
        <w:t xml:space="preserve"> </w:t>
      </w:r>
      <w:r>
        <w:t xml:space="preserve">mixed-effects modeling of saturable kinetics, not specific to variational</w:t>
      </w:r>
      <w:r>
        <w:t xml:space="preserve"> </w:t>
      </w:r>
      <w:r>
        <w:t xml:space="preserve">inference, and because this was directly confirmed empirically in</w:t>
      </w:r>
      <w:r>
        <w:t xml:space="preserve"> </w:t>
      </w:r>
      <w:r>
        <w:t xml:space="preserve">preliminary analyses (see Results). The dosing and sampling design (dose</w:t>
      </w:r>
      <w:r>
        <w:t xml:space="preserve"> </w:t>
      </w:r>
      <w:r>
        <w:t xml:space="preserve">and an observation window spanning approximately 60 hours) was chosen</w:t>
      </w:r>
      <w:r>
        <w:t xml:space="preserve"> </w:t>
      </w:r>
      <w:r>
        <w:t xml:space="preserve">specifically to ensure the simulated concentration trajectory crosses</w:t>
      </w:r>
      <w:r>
        <w:t xml:space="preserve"> </w:t>
      </w:r>
      <w:r>
        <w:t xml:space="preserve">from the fully saturated regime into the first-order elimination regime</w:t>
      </w:r>
      <w:r>
        <w:t xml:space="preserve"> </w:t>
      </w:r>
      <w:r>
        <w:t xml:space="preserve">within the observation window; simulation confirmed that a substantially</w:t>
      </w:r>
      <w:r>
        <w:t xml:space="preserve"> </w:t>
      </w:r>
      <w:r>
        <w:t xml:space="preserve">shorter window remains entirely within the saturated regime, in which the</w:t>
      </w:r>
      <w:r>
        <w:t xml:space="preserve"> </w:t>
      </w:r>
      <w:r>
        <w:t xml:space="preserve">Michaelis-Menten equation is structurally 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</w:t>
      </w:r>
      <w:r>
        <w:t xml:space="preserve"> </w:t>
      </w:r>
      <w:r>
        <w:t xml:space="preserve">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 population value at all,</w:t>
      </w:r>
      <w:r>
        <w:t xml:space="preserve"> </w:t>
      </w:r>
      <w:r>
        <w:t xml:space="preserve">independent of any variational-inference 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33"/>
    <w:bookmarkStart w:id="34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where, unlike simulation, no ground truth is available and the signature</w:t>
      </w:r>
      <w:r>
        <w:t xml:space="preserve"> </w:t>
      </w:r>
      <w:r>
        <w:t xml:space="preserve">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 whether</w:t>
      </w:r>
      <w:r>
        <w:t xml:space="preserve"> </w:t>
      </w:r>
      <w:r>
        <w:t xml:space="preserve">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34"/>
    <w:bookmarkStart w:id="35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 deliberately</w:t>
      </w:r>
      <w:r>
        <w:t xml:space="preserve"> </w:t>
      </w:r>
      <w:r>
        <w:t xml:space="preserve">under-trained fits on identical simulated data and testing whether ESS</w:t>
      </w:r>
      <w:r>
        <w:t xml:space="preserve"> </w:t>
      </w:r>
      <w:r>
        <w:t xml:space="preserve">separates the two groups.</w:t>
      </w:r>
    </w:p>
    <w:bookmarkEnd w:id="35"/>
    <w:bookmarkStart w:id="3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  <w:r>
        <w:t xml:space="preserve"> </w:t>
      </w:r>
      <w:hyperlink w:anchor="eq-delta-ofv">
        <w:r>
          <w:rPr>
            <w:rStyle w:val="Hyperlink"/>
          </w:rPr>
          <w:t xml:space="preserve">Equation 9</w:t>
        </w:r>
      </w:hyperlink>
      <w:r>
        <w:t xml:space="preserve">,</w:t>
      </w:r>
    </w:p>
    <w:p>
      <w:pPr>
        <w:pStyle w:val="BodyText"/>
      </w:pPr>
      <w:bookmarkStart w:id="36" w:name="eq-delta-ofv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</m:e>
          </m:d>
        </m:oMath>
      </m:oMathPara>
      <w:bookmarkEnd w:id="36"/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in</w:t>
      </w:r>
      <w:r>
        <w:t xml:space="preserve"> </w:t>
      </w:r>
      <w:hyperlink w:anchor="eq-self-liang-mixture">
        <w:r>
          <w:rPr>
            <w:rStyle w:val="Hyperlink"/>
          </w:rPr>
          <w:t xml:space="preserve">Equation 10</w:t>
        </w:r>
      </w:hyperlink>
      <w:r>
        <w:t xml:space="preserve">:</w:t>
      </w:r>
    </w:p>
    <w:p>
      <w:pPr>
        <w:pStyle w:val="BodyText"/>
      </w:pPr>
      <w:bookmarkStart w:id="37" w:name="eq-self-liang-mixture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</m:t>
              </m:r>
            </m:e>
          </m:d>
        </m:oMath>
      </m:oMathPara>
      <w:bookmarkEnd w:id="37"/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"/>
    <w:bookmarkStart w:id="3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FOCEI and SAEM baseline fits are obtained via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 package</w:t>
      </w:r>
      <w:r>
        <w:t xml:space="preserve"> </w:t>
      </w:r>
      <w:r>
        <w:t xml:space="preserve">(Fidler et al. 2019)</w:t>
      </w:r>
      <w:r>
        <w:t xml:space="preserve">, using a structural model and log-normal residual</w:t>
      </w:r>
      <w:r>
        <w:t xml:space="preserve"> </w:t>
      </w:r>
      <w:r>
        <w:t xml:space="preserve">error model matched exactly to the variational-inference side’s</w:t>
      </w:r>
      <w:r>
        <w:t xml:space="preserve"> </w:t>
      </w:r>
      <w:r>
        <w:rPr>
          <w:rStyle w:val="VerbatimChar"/>
        </w:rPr>
        <w:t xml:space="preserve">OneCmtOral</w:t>
      </w:r>
      <w:r>
        <w:t xml:space="preserve">: identical parameterization (</w:t>
      </w:r>
      <m:oMath>
        <m:r>
          <m:rPr>
            <m:sty m:val="p"/>
          </m:rPr>
          <m:t>log</m:t>
        </m:r>
        <m:r>
          <m:t>C</m:t>
        </m:r>
        <m:r>
          <m:t>L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C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, and analogously for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), and the same off-truth</w:t>
      </w:r>
      <w:r>
        <w:t xml:space="preserve"> </w:t>
      </w:r>
      <w:r>
        <w:t xml:space="preserve">initial values used throughout this work for both estimation approaches,</w:t>
      </w:r>
      <w:r>
        <w:t xml:space="preserve"> </w:t>
      </w:r>
      <w:r>
        <w:t xml:space="preserve">so that neither starts closer to the truth than the other. The</w:t>
      </w:r>
      <w:r>
        <w:t xml:space="preserve"> </w:t>
      </w:r>
      <w:r>
        <w:t xml:space="preserve">comparison uses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 and 20 replicate simulated datasets,</w:t>
      </w:r>
      <w:r>
        <w:t xml:space="preserve"> </w:t>
      </w:r>
      <w:r>
        <w:t xml:space="preserve">matching the scale used for the linear-tier simulation study above; each</w:t>
      </w:r>
      <w:r>
        <w:t xml:space="preserve"> </w:t>
      </w:r>
      <w:r>
        <w:t xml:space="preserve">replicate is fit once by FOCEI, once by SAEM, and by variational</w:t>
      </w:r>
      <w:r>
        <w:t xml:space="preserve"> </w:t>
      </w:r>
      <w:r>
        <w:t xml:space="preserve">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 all on the identical simulated dataset.</w:t>
      </w:r>
      <w:r>
        <w:t xml:space="preserve"> </w:t>
      </w:r>
      <w:r>
        <w:t xml:space="preserve">Runtime is measured as process CPU time, not wall-clock time, for the</w:t>
      </w:r>
      <w:r>
        <w:t xml:space="preserve"> </w:t>
      </w:r>
      <w:r>
        <w:t xml:space="preserve">variational inference fits, consistent with the timing methodology used</w:t>
      </w:r>
      <w:r>
        <w:t xml:space="preserve"> </w:t>
      </w:r>
      <w:r>
        <w:t xml:space="preserve">throughout this work; process CPU time for the FOCEI and SAEM fits was</w:t>
      </w:r>
      <w:r>
        <w:t xml:space="preserve"> </w:t>
      </w:r>
      <w:r>
        <w:t xml:space="preserve">not correctly captured in the current results, so a runtime comparison</w:t>
      </w:r>
      <w:r>
        <w:t xml:space="preserve"> </w:t>
      </w:r>
      <w:r>
        <w:t xml:space="preserve">is not reported (see Limitations).</w:t>
      </w:r>
    </w:p>
    <w:bookmarkEnd w:id="39"/>
    <w:bookmarkStart w:id="4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FOCEI and SAEM baseline fits use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(version 7.0.1, with</w:t>
      </w:r>
      <w:r>
        <w:t xml:space="preserve"> </w:t>
      </w:r>
      <w:r>
        <w:rPr>
          <w:rStyle w:val="VerbatimChar"/>
        </w:rPr>
        <w:t xml:space="preserve">nlmixr2est</w:t>
      </w:r>
      <w:r>
        <w:t xml:space="preserve"> </w:t>
      </w:r>
      <w:r>
        <w:t xml:space="preserve">7.0.2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rxode2</w:t>
      </w:r>
      <w:r>
        <w:t xml:space="preserve"> </w:t>
      </w:r>
      <w:r>
        <w:t xml:space="preserve">5.1.6) under R version 4.5.3 (aarch64-apple-darwin20) on</w:t>
      </w:r>
      <w:r>
        <w:t xml:space="preserve"> </w:t>
      </w:r>
      <w:r>
        <w:t xml:space="preserve">macOS.</w:t>
      </w:r>
    </w:p>
    <w:bookmarkEnd w:id="40"/>
    <w:bookmarkEnd w:id="41"/>
    <w:bookmarkStart w:id="82" w:name="results"/>
    <w:p>
      <w:pPr>
        <w:pStyle w:val="Heading2"/>
      </w:pPr>
      <w:r>
        <w:t xml:space="preserve">Results</w:t>
      </w:r>
    </w:p>
    <w:bookmarkStart w:id="48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as shown in</w:t>
      </w:r>
      <w:r>
        <w:t xml:space="preserve"> </w:t>
      </w:r>
      <w:hyperlink w:anchor="fig-phase0-omega-bia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summarized in</w:t>
      </w:r>
      <w:r>
        <w:t xml:space="preserve"> </w:t>
      </w:r>
      <w:hyperlink w:anchor="tbl-phase0-headline">
        <w:r>
          <w:rPr>
            <w:rStyle w:val="Hyperlink"/>
          </w:rPr>
          <w:t xml:space="preserve">Table 1</w:t>
        </w:r>
      </w:hyperlink>
      <w:r>
        <w:t xml:space="preserve">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 a</w:t>
      </w:r>
      <w:r>
        <w:t xml:space="preserve"> </w:t>
      </w:r>
      <w:r>
        <w:t xml:space="preserve">general estimation problem with the variational approach</w:t>
      </w:r>
      <w:r>
        <w:t xml:space="preserve"> </w:t>
      </w:r>
      <w:r>
        <w:t xml:space="preserve">(</w:t>
      </w:r>
      <w:hyperlink w:anchor="tbl-phase0-fixed-effect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hase0-omega-bias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0_omega_bias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shown separately for free and amortized posteriors</w:t>
            </w:r>
            <w:r>
              <w:t xml:space="preserve"> </w:t>
            </w:r>
            <w:r>
              <w:t xml:space="preserve">under the Gaussian variational family. The dashed line marks zero bias.</w:t>
            </w:r>
            <w:r>
              <w:t xml:space="preserve"> </w:t>
            </w:r>
            <w:r>
              <w:t xml:space="preserve">Error bars show the standard error across replicates.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hase0-head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hase0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Mean relative bias (%) in fixed effects and residual error, by</w:t>
            </w:r>
            <w:r>
              <w:t xml:space="preserve"> </w:t>
            </w:r>
            <w:r>
              <w:t xml:space="preserve">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as a validation check against the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table above: fixed effects are expected to remain near zero</w:t>
            </w:r>
            <w:r>
              <w:t xml:space="preserve"> </w:t>
            </w:r>
            <w:r>
              <w:t xml:space="preserve">bias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unlike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7"/>
          <w:p/>
        </w:tc>
      </w:tr>
    </w:tbl>
    <w:bookmarkEnd w:id="48"/>
    <w:bookmarkStart w:id="55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 (</w:t>
      </w:r>
      <w:hyperlink w:anchor="fig-phase1-gri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2q4">
        <w:r>
          <w:rPr>
            <w:rStyle w:val="Hyperlink"/>
          </w:rPr>
          <w:t xml:space="preserve">Table 3</w:t>
        </w:r>
      </w:hyperlink>
      <w:r>
        <w:t xml:space="preserve">). Fixed-effect and</w:t>
      </w:r>
      <w:r>
        <w:t xml:space="preserve"> </w:t>
      </w:r>
      <w:r>
        <w:t xml:space="preserve">residual-error estimates remain near the data-generating values across</w:t>
      </w:r>
      <w:r>
        <w:t xml:space="preserve"> </w:t>
      </w:r>
      <w:r>
        <w:t xml:space="preserve">the same grid (</w:t>
      </w:r>
      <w:hyperlink w:anchor="tbl-phase1-q2q4-fixed-effects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phase1-grid"/>
          <w:p>
            <w:pPr>
              <w:pStyle w:val="Compact"/>
              <w:jc w:val="center"/>
            </w:pPr>
            <w:r>
              <w:drawing>
                <wp:inline>
                  <wp:extent cx="5046020" cy="733966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gri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6020" cy="7339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faceted by sampling design (rows) and variational</w:t>
            </w:r>
            <w:r>
              <w:t xml:space="preserve"> </w:t>
            </w:r>
            <w:r>
              <w:t xml:space="preserve">family (columns), with one line per posterior architecture in each</w:t>
            </w:r>
            <w:r>
              <w:t xml:space="preserve"> </w:t>
            </w:r>
            <w:r>
              <w:t xml:space="preserve">panel.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phase1-q2q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sampling design, posterior</w:t>
            </w:r>
            <w:r>
              <w:t xml:space="preserve"> </w:t>
            </w:r>
            <w:r>
              <w:t xml:space="preserve">architecture, variational family,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hase1-q2q4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Mean relative bias (%) in fixed effects and residual error, same</w:t>
            </w:r>
            <w:r>
              <w:t xml:space="preserve"> </w:t>
            </w:r>
            <w:r>
              <w:t xml:space="preserve">grouping as above, as a validation check.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One posterior configuration, amortized posterior combined with the</w:t>
      </w:r>
      <w:r>
        <w:t xml:space="preserve"> </w:t>
      </w:r>
      <w:r>
        <w:t xml:space="preserve">normalizing-flow family,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 problem,</w:t>
      </w:r>
      <w:r>
        <w:t xml:space="preserve"> </w:t>
      </w:r>
      <w:r>
        <w:t xml:space="preserve">this combination shows a comparable rate of flagged, substantially</w:t>
      </w:r>
      <w:r>
        <w:t xml:space="preserve"> </w:t>
      </w:r>
      <w:r>
        <w:t xml:space="preserve">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</w:t>
      </w:r>
      <w:r>
        <w:t xml:space="preserve"> </w:t>
      </w:r>
      <w:r>
        <w:t xml:space="preserve">character of the failure (from occasional gross divergence to more</w:t>
      </w:r>
      <w:r>
        <w:t xml:space="preserve"> </w:t>
      </w:r>
      <w:r>
        <w:t xml:space="preserve">consistent convergence onto a stable but incorrect estimate) without</w:t>
      </w:r>
      <w:r>
        <w:t xml:space="preserve"> </w:t>
      </w:r>
      <w:r>
        <w:t xml:space="preserve">reducing its frequency. We attribute this to the amortized encoder’s</w:t>
      </w:r>
      <w:r>
        <w:t xml:space="preserve"> </w:t>
      </w:r>
      <w:r>
        <w:t xml:space="preserve">output serving a double role under this configuration, simultaneously</w:t>
      </w:r>
      <w:r>
        <w:t xml:space="preserve"> </w:t>
      </w:r>
      <w:r>
        <w:t xml:space="preserve">defining the flow’s base distribution and its conditioning input,</w:t>
      </w:r>
      <w:r>
        <w:t xml:space="preserve"> </w:t>
      </w:r>
      <w:r>
        <w:t xml:space="preserve">creating a moving optimization target not present when either the</w:t>
      </w:r>
      <w:r>
        <w:t xml:space="preserve"> </w:t>
      </w:r>
      <w:r>
        <w:t xml:space="preserve">posterior is not amortized or the family is not a flow. A preliminary</w:t>
      </w:r>
      <w:r>
        <w:t xml:space="preserve"> </w:t>
      </w:r>
      <w:r>
        <w:t xml:space="preserve">architectural variant decoupling these two roles, following the design</w:t>
      </w:r>
      <w:r>
        <w:t xml:space="preserve"> </w:t>
      </w:r>
      <w:r>
        <w:t xml:space="preserve">used by</w:t>
      </w:r>
      <w:r>
        <w:t xml:space="preserve"> </w:t>
      </w:r>
      <w:r>
        <w:t xml:space="preserve">Arruda et al. (2024)</w:t>
      </w:r>
      <w:r>
        <w:t xml:space="preserve">, is discussed as future work in the</w:t>
      </w:r>
      <w:r>
        <w:t xml:space="preserve"> </w:t>
      </w:r>
      <w:r>
        <w:t xml:space="preserve">Discussion.</w:t>
      </w:r>
    </w:p>
    <w:bookmarkEnd w:id="55"/>
    <w:bookmarkStart w:id="61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throughout,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</w:t>
      </w:r>
      <w:r>
        <w:t xml:space="preserve"> </w:t>
      </w:r>
      <w:r>
        <w:t xml:space="preserve">bias is small and essentially flat across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design, with</w:t>
      </w:r>
      <w:r>
        <w:t xml:space="preserve"> </w:t>
      </w:r>
      <w:r>
        <w:t xml:space="preserve">little shrinkage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correct (</w:t>
      </w:r>
      <w:hyperlink w:anchor="fig-phase1-nonlinea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3-nonlinear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phase1-nonlinear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nonlinea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the Michaelis-Menten elimination model, free</w:t>
            </w:r>
            <w:r>
              <w:t xml:space="preserve"> </w:t>
            </w:r>
            <w:r>
              <w:t xml:space="preserve">posterior, Gaussian family, restricted 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random</w:t>
            </w:r>
            <w:r>
              <w:t xml:space="preserve"> </w:t>
            </w:r>
            <w:r>
              <w:t xml:space="preserve">effects.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hase1-q3-nonlin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Mean parameter estimates, ground-truth values, relative bias (%), and</w:t>
            </w:r>
            <w:r>
              <w:t xml:space="preserve"> </w:t>
            </w:r>
            <w:r>
              <w:t xml:space="preserve">converged fraction for the Michaelis-Menten elimination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frac_converged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-1.984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-1.421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instability, not the</w:t>
      </w:r>
      <w:r>
        <w:t xml:space="preserve"> </w:t>
      </w:r>
      <w:r>
        <w:t xml:space="preserve">amortized-flow instability described above, since no flow is involved,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Results using the amortized posterior on this model are excluded</w:t>
      </w:r>
      <w:r>
        <w:t xml:space="preserve"> </w:t>
      </w:r>
      <w:r>
        <w:t xml:space="preserve">from the table and figure above and discussed further, with a working</w:t>
      </w:r>
      <w:r>
        <w:t xml:space="preserve"> </w:t>
      </w:r>
      <w:r>
        <w:t xml:space="preserve">hypothesis, in the Discussion below.</w:t>
      </w:r>
    </w:p>
    <w:bookmarkEnd w:id="61"/>
    <w:bookmarkStart w:id="6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 showing</w:t>
      </w:r>
      <w:r>
        <w:t xml:space="preserve"> </w:t>
      </w:r>
      <w:r>
        <w:t xml:space="preserve">the least shrinkage of the three, consistent with clearance being the</w:t>
      </w:r>
      <w:r>
        <w:t xml:space="preserve"> </w:t>
      </w:r>
      <w:r>
        <w:t xml:space="preserve">most robustly identified parameter throughout the simulated results above</w:t>
      </w:r>
      <w:r>
        <w:t xml:space="preserve"> </w:t>
      </w:r>
      <w:r>
        <w:t xml:space="preserve">(</w:t>
      </w:r>
      <w:hyperlink w:anchor="fig-realdata-k1-vs-khigh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realdata-k1-vs-khigh">
        <w:r>
          <w:rPr>
            <w:rStyle w:val="Hyperlink"/>
          </w:rPr>
          <w:t xml:space="preserve">Table 6</w:t>
        </w:r>
      </w:hyperlink>
      <w:r>
        <w:t xml:space="preserve">). On warfarin,</w:t>
      </w:r>
      <w:r>
        <w:t xml:space="preserve"> </w:t>
      </w:r>
      <w:r>
        <w:t xml:space="preserve">fixed-effect estimates for clearance and volume of distribution fall</w:t>
      </w:r>
      <w:r>
        <w:t xml:space="preserve"> </w:t>
      </w:r>
      <w:r>
        <w:t xml:space="preserve">inside the published 95% confidence intervals of an independently fitted</w:t>
      </w:r>
      <w:r>
        <w:t xml:space="preserve"> </w:t>
      </w:r>
      <w:r>
        <w:t xml:space="preserve">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</w:t>
      </w:r>
      <w:r>
        <w:t xml:space="preserve"> </w:t>
      </w:r>
      <w:r>
        <w:t xml:space="preserve">simpler one-compartment, single-step absorption structure versus the</w:t>
      </w:r>
      <w:r>
        <w:t xml:space="preserve"> </w:t>
      </w:r>
      <w:r>
        <w:t xml:space="preserve">published model’s two-step transit-compartment absorption, a real,</w:t>
      </w:r>
      <w:r>
        <w:t xml:space="preserve"> </w:t>
      </w:r>
      <w:r>
        <w:t xml:space="preserve">external agreement on the parameters that should agree given the shared</w:t>
      </w:r>
      <w:r>
        <w:t xml:space="preserve"> </w:t>
      </w:r>
      <w:r>
        <w:t xml:space="preserve">elimination structure, not merely a directional match.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ealdata-k1-vs-khigh"/>
          <w:p>
            <w:pPr>
              <w:pStyle w:val="Compact"/>
              <w:jc w:val="center"/>
            </w:pPr>
            <w:r>
              <w:drawing>
                <wp:inline>
                  <wp:extent cx="5334000" cy="2240279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realdata_k1_vs_khigh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40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Omega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each dataset, by parameter.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realdata-k1-vs-khig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both real datasets, and</w:t>
            </w:r>
            <w:r>
              <w:t xml:space="preserve"> </w:t>
            </w:r>
            <w:r>
              <w:t xml:space="preserve">their percent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pct_diff_low_vs_high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0.0399780823466852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0.0403340132607083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0.4624260144796536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0.4517957541038435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1.285871545824862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1.3432511476026092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0.2449826753381065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0.25468847097044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0.0921426595674207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0.1127060108431509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0.6463371431773433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0.6819586125133786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0.1801019692209916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0.1718191712865529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0.1324849190874699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0.1295015835469587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7.938745771567575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8.019921779494958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0.6168926858265219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0.6366073514523212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0.2783230432587028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0.276191849365181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0.1895398792983538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0.2073812546980456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0.811148050786541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0.9777563030380608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0.2072281419688492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0.2029462916515008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2.11</w:t>
                  </w:r>
                </w:p>
              </w:tc>
            </w:tr>
          </w:tbl>
          <w:bookmarkEnd w:id="66"/>
          <w:p/>
        </w:tc>
      </w:tr>
    </w:tbl>
    <w:bookmarkEnd w:id="67"/>
    <w:bookmarkStart w:id="73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 (</w:t>
      </w:r>
      <w:hyperlink w:anchor="fig-psis-ess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sis-ess">
        <w:r>
          <w:rPr>
            <w:rStyle w:val="Hyperlink"/>
          </w:rPr>
          <w:t xml:space="preserve">Table 7</w:t>
        </w:r>
      </w:hyperlink>
      <w:r>
        <w:t xml:space="preserve">), supporting its use as a</w:t>
      </w:r>
      <w:r>
        <w:t xml:space="preserve"> </w:t>
      </w:r>
      <w:r>
        <w:t xml:space="preserve">practical diagnostic on real data where no ground truth is available to</w:t>
      </w:r>
      <w:r>
        <w:t xml:space="preserve"> </w:t>
      </w:r>
      <w:r>
        <w:t xml:space="preserve">check convergence directly. A fixed per-subject tail-count threshold does</w:t>
      </w:r>
      <w:r>
        <w:t xml:space="preserve"> </w:t>
      </w:r>
      <w:r>
        <w:t xml:space="preserve">not separate the two groups as cleanly, reflecting genuine</w:t>
      </w:r>
      <w:r>
        <w:t xml:space="preserve"> </w:t>
      </w:r>
      <w:r>
        <w:t xml:space="preserve">subject-to-subject variation in fit difficulty independent of overall</w:t>
      </w:r>
      <w:r>
        <w:t xml:space="preserve"> </w:t>
      </w:r>
      <w:r>
        <w:t xml:space="preserve">training adequacy; we therefore recommend the aggregate (mean or median)</w:t>
      </w:r>
      <w:r>
        <w:t xml:space="preserve"> </w:t>
      </w:r>
      <w:r>
        <w:t xml:space="preserve">ESS as the primary diagnostic, not a fixed per-subject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sis-es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sis_ess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Per-subject effective sample size distribution, well-converged versus</w:t>
            </w:r>
            <w:r>
              <w:t xml:space="preserve"> </w:t>
            </w:r>
            <w:r>
              <w:t xml:space="preserve">deliberately under-trained fits on identical data.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psis-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Aggregate effective sample size by fit-quality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1204.2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1175.7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2846.5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1788.7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1790.8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3217.0</w:t>
                  </w:r>
                </w:p>
              </w:tc>
            </w:tr>
          </w:tbl>
          <w:bookmarkEnd w:id="72"/>
          <w:p/>
        </w:tc>
      </w:tr>
    </w:tbl>
    <w:bookmarkEnd w:id="73"/>
    <w:bookmarkStart w:id="79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 (</w:t>
      </w:r>
      <w:hyperlink w:anchor="fig-deltaofv-calibration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deltaofv-calibration">
        <w:r>
          <w:rPr>
            <w:rStyle w:val="Hyperlink"/>
          </w:rPr>
          <w:t xml:space="preserve">Table 8</w:t>
        </w:r>
      </w:hyperlink>
      <w:r>
        <w:t xml:space="preserve">).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increase,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deltaofv-calibration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deltaofv_calibratio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Empirical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distribution under the null hypothesis,</w:t>
            </w:r>
            <w:r>
              <w:t xml:space="preserve"> </w:t>
            </w:r>
            <w:r>
              <w:t xml:space="preserve">free versus amortized posterior, against the theoretical Self-Liang</w:t>
            </w:r>
            <w:r>
              <w:t xml:space="preserve"> </w:t>
            </w:r>
            <w:r>
              <w:t xml:space="preserve">mixture reference density.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ltaofv-calib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calibration summary: boundary fraction,</w:t>
            </w:r>
            <w:r>
              <w:t xml:space="preserve"> </w:t>
            </w:r>
            <w:r>
              <w:t xml:space="preserve">Kolmogorov-Smirnov statistic and p-value against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t xml:space="preserve">strictly-positive replicates, and empirical type-I error of the correct</w:t>
            </w:r>
            <w:r>
              <w:t xml:space="preserve"> </w:t>
            </w:r>
            <w:r>
              <w:t xml:space="preserve">boundary-mixture test.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n_reps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boundary_fraction_pct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n_negative_dofv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type1_error_correct_test_pct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79"/>
    <w:bookmarkStart w:id="81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On matched simulated data (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subjects, 20 replicates), FOCEI,</w:t>
      </w:r>
      <w:r>
        <w:t xml:space="preserve"> </w:t>
      </w:r>
      <w:r>
        <w:t xml:space="preserve">SAEM, and variational 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recover both fixed effects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with closely comparable accuracy,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</w:t>
      </w:r>
      <w:r>
        <w:t xml:space="preserve"> </w:t>
      </w:r>
      <w:r>
        <w:t xml:space="preserve">same systematic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underestimation established throughout the</w:t>
      </w:r>
      <w:r>
        <w:t xml:space="preserve"> </w:t>
      </w:r>
      <w:r>
        <w:t xml:space="preserve">linear-tier results above (</w:t>
      </w:r>
      <w:hyperlink w:anchor="tbl-baseline-comparison">
        <w:r>
          <w:rPr>
            <w:rStyle w:val="Hyperlink"/>
          </w:rPr>
          <w:t xml:space="preserve">Table 9</w:t>
        </w:r>
      </w:hyperlink>
      <w:r>
        <w:t xml:space="preserve">). Fixed-effect bias</w:t>
      </w:r>
      <w:r>
        <w:t xml:space="preserve"> </w:t>
      </w:r>
      <w:r>
        <w:t xml:space="preserve">is small for every method (under 2.1% in magnitude across</w:t>
      </w:r>
      <w:r>
        <w:t xml:space="preserve"> </w:t>
      </w:r>
      <m:oMath>
        <m:r>
          <m:t>C</m:t>
        </m:r>
        <m:r>
          <m:t>L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for FOCEI, SAEM, and both VI arms alike), consistent with the</w:t>
      </w:r>
      <w:r>
        <w:t xml:space="preserve"> </w:t>
      </w:r>
      <w:r>
        <w:t xml:space="preserve">pattern established throughout this work that fixed effects are not</w:t>
      </w:r>
      <w:r>
        <w:t xml:space="preserve"> </w:t>
      </w:r>
      <w:r>
        <w:t xml:space="preserve">affected by the plain-ELBO bias regardless of estimation method. For</w:t>
      </w:r>
      <w:r>
        <w:t xml:space="preserve"> </w:t>
      </w:r>
      <m:oMath>
        <m:r>
          <m:t>Ω</m:t>
        </m:r>
      </m:oMath>
      <w:r>
        <w:t xml:space="preserve">, FOCEI and SAEM show bias no larger than 3.6% on any 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1.25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respectively);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matches this closely, with bias under 1.2% on every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1.18</m:t>
        </m:r>
        <m:r>
          <m:rPr>
            <m:sty m:val="p"/>
          </m:rPr>
          <m:t>%</m:t>
        </m:r>
      </m:oMath>
      <w:r>
        <w:t xml:space="preserve">).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by contrast, shows the characteristic pattern</w:t>
      </w:r>
      <w:r>
        <w:t xml:space="preserve"> </w:t>
      </w:r>
      <w:r>
        <w:t xml:space="preserve">identified throughout this work: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 </w:t>
      </w:r>
      <w:r>
        <w:t xml:space="preserve">biased by</w:t>
      </w:r>
      <w:r>
        <w:t xml:space="preserve"> 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21.9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an order of magnitude larger than</w:t>
      </w:r>
      <w:r>
        <w:t xml:space="preserve"> </w:t>
      </w:r>
      <w:r>
        <w:t xml:space="preserve">FOCEI, SAEM, 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same parameters. A parallel pattern</w:t>
      </w:r>
      <w:r>
        <w:t xml:space="preserve"> </w:t>
      </w:r>
      <w:r>
        <w:t xml:space="preserve">holds for the residual-error parameter</w:t>
      </w:r>
      <w:r>
        <w:t xml:space="preserve"> </w:t>
      </w:r>
      <m:oMath>
        <m:r>
          <m:t>σ</m:t>
        </m:r>
      </m:oMath>
      <w:r>
        <w:t xml:space="preserve">: FOCEI, SAEM, and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all recover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within 2% of its true value, while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overestimates it by 7.4%.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baselin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Mean parameter estimates by method (FOCEI, SAEM, variational inference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) against ground truth,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subjects, 20</w:t>
            </w:r>
            <w:r>
              <w:t xml:space="preserve"> </w:t>
            </w:r>
            <w:r>
              <w:t xml:space="preserve">replicates.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cpu_secs_mean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cpu_secs_median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30.3044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0.3856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2.9804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30.4883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1.2072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4.9956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2.9378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30.3606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15.8076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17.0114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A runtime comparison is not included: process CPU time was not correctly</w:t>
      </w:r>
      <w:r>
        <w:t xml:space="preserve"> </w:t>
      </w:r>
      <w:r>
        <w:t xml:space="preserve">captured for the FOCEI and SAEM fits reported above (only variational</w:t>
      </w:r>
      <w:r>
        <w:t xml:space="preserve"> </w:t>
      </w:r>
      <w:r>
        <w:t xml:space="preserve">inference’s runtime is currently populated in the underlying data); see</w:t>
      </w:r>
      <w:r>
        <w:t xml:space="preserve"> </w:t>
      </w:r>
      <w:r>
        <w:t xml:space="preserve">Limitations.</w:t>
      </w:r>
    </w:p>
    <w:bookmarkEnd w:id="81"/>
    <w:bookmarkEnd w:id="82"/>
    <w:bookmarkStart w:id="8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variational</w:t>
      </w:r>
      <w:r>
        <w:t xml:space="preserve"> </w:t>
      </w:r>
      <w:r>
        <w:t xml:space="preserve">inference systematically underestimates between-subject variance</w:t>
      </w:r>
      <w:r>
        <w:t xml:space="preserve"> </w:t>
      </w:r>
      <w:r>
        <w:t xml:space="preserve">components, this bias is substantially correctable by importance-</w:t>
      </w:r>
      <w:r>
        <w:t xml:space="preserve"> </w:t>
      </w:r>
      <w:r>
        <w:t xml:space="preserve">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 variational</w:t>
      </w:r>
      <w:r>
        <w:t xml:space="preserve"> </w:t>
      </w:r>
      <w:r>
        <w:t xml:space="preserve">family (normalizing flows), and the correction reproduces on real</w:t>
      </w:r>
      <w:r>
        <w:t xml:space="preserve"> </w:t>
      </w:r>
      <w:r>
        <w:t xml:space="preserve">pharmacokinetic data with external validation against an independently</w:t>
      </w:r>
      <w:r>
        <w:t xml:space="preserve"> </w:t>
      </w:r>
      <w:r>
        <w:t xml:space="preserve">published fit. Directly against independent FOCEI and SAEM baseline fits</w:t>
      </w:r>
      <w:r>
        <w:t xml:space="preserve"> </w:t>
      </w:r>
      <w:r>
        <w:t xml:space="preserve">on matched simulated data, corrected variational inference matches both</w:t>
      </w:r>
      <w:r>
        <w:t xml:space="preserve"> </w:t>
      </w:r>
      <w:r>
        <w:t xml:space="preserve">established methods’ accuracy closely, while uncorrected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shows</w:t>
      </w:r>
      <w:r>
        <w:t xml:space="preserve"> </w:t>
      </w:r>
      <w:r>
        <w:t xml:space="preserve">bias an order of magnitude larger on the most affected parameters,</w:t>
      </w:r>
      <w:r>
        <w:t xml:space="preserve"> </w:t>
      </w:r>
      <w:r>
        <w:t xml:space="preserve">evidence that the correction identified in this work is not merely an</w:t>
      </w:r>
      <w:r>
        <w:t xml:space="preserve"> </w:t>
      </w:r>
      <w:r>
        <w:t xml:space="preserve">internal, self-referential improvement within variational inference, but</w:t>
      </w:r>
      <w:r>
        <w:t xml:space="preserve"> </w:t>
      </w:r>
      <w:r>
        <w:t xml:space="preserve">brings VI to a level of accuracy quantitatively comparable to the methods</w:t>
      </w:r>
      <w:r>
        <w:t xml:space="preserve"> </w:t>
      </w:r>
      <w:r>
        <w:t xml:space="preserve">it is proposed to replace. This supports the practical use of corrected</w:t>
      </w:r>
      <w:r>
        <w:t xml:space="preserve"> </w:t>
      </w:r>
      <w:r>
        <w:t xml:space="preserve">variational inference as a faster alternative to FOCEI/SAEM for NLME</w:t>
      </w:r>
      <w:r>
        <w:t xml:space="preserve"> </w:t>
      </w:r>
      <w:r>
        <w:t xml:space="preserve">model fitting, with two important caveats developed below: not every</w:t>
      </w:r>
      <w:r>
        <w:t xml:space="preserve"> </w:t>
      </w:r>
      <w:r>
        <w:t xml:space="preserve">posterior architecture is safe to use for every purpose, and the</w:t>
      </w:r>
      <w:r>
        <w:t xml:space="preserve"> </w:t>
      </w:r>
      <w:r>
        <w:t xml:space="preserve">correction of point estimates does not automatically extend to every</w:t>
      </w:r>
      <w:r>
        <w:t xml:space="preserve"> </w:t>
      </w:r>
      <w:r>
        <w:t xml:space="preserve">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 investigation</w:t>
      </w:r>
      <w:r>
        <w:t xml:space="preserve"> </w:t>
      </w:r>
      <w:r>
        <w:t xml:space="preserve">of this failure mode. Third, likelihood-ratio tests comparing models that</w:t>
      </w:r>
      <w:r>
        <w:t xml:space="preserve"> </w:t>
      </w:r>
      <w:r>
        <w:t xml:space="preserve">differ in random-effect structure should use an amortized rather than</w:t>
      </w:r>
      <w:r>
        <w:t xml:space="preserve"> </w:t>
      </w:r>
      <w:r>
        <w:t xml:space="preserve">free posterior, given the effective-degrees-of-freedom mismatch</w:t>
      </w:r>
      <w:r>
        <w:t xml:space="preserve"> </w:t>
      </w:r>
      <w:r>
        <w:t xml:space="preserve">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</w:t>
      </w:r>
      <w:r>
        <w:t xml:space="preserve"> </w:t>
      </w:r>
      <w:r>
        <w:t xml:space="preserve">estimates themselves remain valid, only their use for nested-model</w:t>
      </w:r>
      <w:r>
        <w:t xml:space="preserve"> </w:t>
      </w:r>
      <w:r>
        <w:t xml:space="preserve">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understanding,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below, is itself supporting evidence for this</w:t>
      </w:r>
      <w:r>
        <w:t xml:space="preserve"> </w:t>
      </w:r>
      <w:r>
        <w:t xml:space="preserve">interpretation, though a direct comparison against FOCEI/SAEM on the same</w:t>
      </w:r>
      <w:r>
        <w:t xml:space="preserve"> </w:t>
      </w:r>
      <w:r>
        <w:t xml:space="preserve">restricted model specification would strengthen it further; the</w:t>
      </w:r>
      <w:r>
        <w:t xml:space="preserve"> </w:t>
      </w:r>
      <w:r>
        <w:t xml:space="preserve">FOCEI/SAEM baseline comparison reported above uses the linear tier only</w:t>
      </w:r>
      <w:r>
        <w:t xml:space="preserve"> </w:t>
      </w:r>
      <w:r>
        <w:t xml:space="preserve">and does not yet extend to the nonlinear (Michaelis-Menten) model.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estimation, the same phenomenon that</w:t>
      </w:r>
      <w:r>
        <w:t xml:space="preserve"> </w:t>
      </w:r>
      <w:r>
        <w:t xml:space="preserve">motivates REML-type corrections in linear mixed models,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The amortized+flow instability is plausibly explained by the</w:t>
      </w:r>
      <w:r>
        <w:t xml:space="preserve"> </w:t>
      </w:r>
      <w:r>
        <w:t xml:space="preserve">amortized encoder’s output serving a double role, both defining the</w:t>
      </w:r>
      <w:r>
        <w:t xml:space="preserve"> </w:t>
      </w:r>
      <w:r>
        <w:t xml:space="preserve">flow’s base distribution and its conditioning input, under this specific</w:t>
      </w:r>
      <w:r>
        <w:t xml:space="preserve"> </w:t>
      </w:r>
      <w:r>
        <w:t xml:space="preserve">configuration. Notably,</w:t>
      </w:r>
      <w:r>
        <w:t xml:space="preserve"> </w:t>
      </w:r>
      <w:r>
        <w:t xml:space="preserve">Arruda et al. (2024)</w:t>
      </w:r>
      <w:r>
        <w:t xml:space="preserve">’s independent amortized-flow</w:t>
      </w:r>
      <w:r>
        <w:t xml:space="preserve"> </w:t>
      </w:r>
      <w:r>
        <w:t xml:space="preserve">architecture for NLME models does not share this coupling: their</w:t>
      </w:r>
      <w:r>
        <w:t xml:space="preserve"> </w:t>
      </w:r>
      <w:r>
        <w:t xml:space="preserve">conditional normalizing flow’s base distribution is a fixed standard</w:t>
      </w:r>
      <w:r>
        <w:t xml:space="preserve"> </w:t>
      </w:r>
      <w:r>
        <w:t xml:space="preserve">normal, with the amortized encoder’s (LSTM-based) summary statistics used</w:t>
      </w:r>
      <w:r>
        <w:t xml:space="preserve"> </w:t>
      </w:r>
      <w:r>
        <w:t xml:space="preserve">solely as the flow’s conditioning input, never as the base distribution’s</w:t>
      </w:r>
      <w:r>
        <w:t xml:space="preserve"> </w:t>
      </w:r>
      <w:r>
        <w:t xml:space="preserve">own parameters. A preliminary, architecturally decoupled variant</w:t>
      </w:r>
      <w:r>
        <w:t xml:space="preserve"> </w:t>
      </w:r>
      <w:r>
        <w:t xml:space="preserve">following this design was implemented and smoke-tested in the course of</w:t>
      </w:r>
      <w:r>
        <w:t xml:space="preserve"> </w:t>
      </w:r>
      <w:r>
        <w:t xml:space="preserve">this work, producing plausible (non-divergent) parameter estimates on a</w:t>
      </w:r>
      <w:r>
        <w:t xml:space="preserve"> </w:t>
      </w:r>
      <w:r>
        <w:t xml:space="preserve">small-scale test, but has not been validated at the scale needed to</w:t>
      </w:r>
      <w:r>
        <w:t xml:space="preserve"> </w:t>
      </w:r>
      <w:r>
        <w:t xml:space="preserve">report as a result; we flag it as a concrete, motivated direction for</w:t>
      </w:r>
      <w:r>
        <w:t xml:space="preserve"> </w:t>
      </w:r>
      <w:r>
        <w:t xml:space="preserve">resolving this instability rather than treating it as an unexplained dead</w:t>
      </w:r>
      <w:r>
        <w:t xml:space="preserve"> </w:t>
      </w:r>
      <w:r>
        <w:t xml:space="preserve">end. The amortized-nonlinear-model instability observed independently on</w:t>
      </w:r>
      <w:r>
        <w:t xml:space="preserve"> </w:t>
      </w:r>
      <w:r>
        <w:t xml:space="preserve">the Michaelis-Menten tier does not involve a flow at all and is therefore</w:t>
      </w:r>
      <w:r>
        <w:t xml:space="preserve"> </w:t>
      </w:r>
      <w:r>
        <w:t xml:space="preserve">a distinct problem; we speculate that it may reflect the greater</w:t>
      </w:r>
      <w:r>
        <w:t xml:space="preserve"> </w:t>
      </w:r>
      <w:r>
        <w:t xml:space="preserve">difficulty of learning one shared encoder mapping across subjects whose</w:t>
      </w:r>
      <w:r>
        <w:t xml:space="preserve"> </w:t>
      </w:r>
      <w:r>
        <w:t xml:space="preserve">trajectory shapes vary substantially more (spanning saturated,</w:t>
      </w:r>
      <w:r>
        <w:t xml:space="preserve"> </w:t>
      </w:r>
      <w:r>
        <w:t xml:space="preserve">transitional, and first-order elimination regimes) than the comparatively</w:t>
      </w:r>
      <w:r>
        <w:t xml:space="preserve"> </w:t>
      </w:r>
      <w:r>
        <w:t xml:space="preserve">uniform 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accuracy side of the FOCEI/SAEM comparison (see</w:t>
      </w:r>
      <w:r>
        <w:t xml:space="preserve"> </w:t>
      </w:r>
      <w:r>
        <w:t xml:space="preserve">Results) is now complete and directly supports this work’s central claim</w:t>
      </w:r>
      <w:r>
        <w:t xml:space="preserve"> </w:t>
      </w:r>
      <w:r>
        <w:t xml:space="preserve">on the linear tier. Two gaps remain. First, the runtime side of that</w:t>
      </w:r>
      <w:r>
        <w:t xml:space="preserve"> </w:t>
      </w:r>
      <w:r>
        <w:t xml:space="preserve">comparison is not yet reported: process CPU time was not correctly</w:t>
      </w:r>
      <w:r>
        <w:t xml:space="preserve"> </w:t>
      </w:r>
      <w:r>
        <w:t xml:space="preserve">captured for the FOCEI and SAEM fits in the current baseline pipeline, so</w:t>
      </w:r>
      <w:r>
        <w:t xml:space="preserve"> </w:t>
      </w:r>
      <w:r>
        <w:t xml:space="preserve">the practical question of how much faster variational inference is</w:t>
      </w:r>
      <w:r>
        <w:t xml:space="preserve"> </w:t>
      </w:r>
      <w:r>
        <w:t xml:space="preserve">cannot yet be answered quantitatively for this model, only by comparison</w:t>
      </w:r>
      <w:r>
        <w:t xml:space="preserve"> </w:t>
      </w:r>
      <w:r>
        <w:t xml:space="preserve">to the general literature’s reported comparisons for other models (for</w:t>
      </w:r>
      <w:r>
        <w:t xml:space="preserve"> </w:t>
      </w:r>
      <w:r>
        <w:t xml:space="preserve">example,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report roughly two orders of magnitude</w:t>
      </w:r>
      <w:r>
        <w:t xml:space="preserve"> </w:t>
      </w:r>
      <w:r>
        <w:t xml:space="preserve">speedup on their tested models). This is expected to be resolved by</w:t>
      </w:r>
      <w:r>
        <w:t xml:space="preserve"> </w:t>
      </w:r>
      <w:r>
        <w:t xml:space="preserve">correcting the runtime measurement in the baseline pipeline. Second, the</w:t>
      </w:r>
      <w:r>
        <w:t xml:space="preserve"> </w:t>
      </w:r>
      <w:r>
        <w:t xml:space="preserve">baseline comparison currently covers only the linear tier; extending it</w:t>
      </w:r>
      <w:r>
        <w:t xml:space="preserve"> </w:t>
      </w:r>
      <w:r>
        <w:t xml:space="preserve">to the Michaelis-Menten nonlinear tier would substantiate the</w:t>
      </w:r>
      <w:r>
        <w:t xml:space="preserve"> </w:t>
      </w:r>
      <w:r>
        <w:t xml:space="preserve">identifiability claim made above with a direct comparison rather than an</w:t>
      </w:r>
      <w:r>
        <w:t xml:space="preserve"> </w:t>
      </w:r>
      <w:r>
        <w:t xml:space="preserve">appeal to general pharmacometric practice. Beyond the baseline</w:t>
      </w:r>
      <w:r>
        <w:t xml:space="preserve"> </w:t>
      </w:r>
      <w:r>
        <w:t xml:space="preserve">comparison, this work tests a single linear structural model class and a</w:t>
      </w:r>
      <w:r>
        <w:t xml:space="preserve"> </w:t>
      </w:r>
      <w:r>
        <w:t xml:space="preserve">single nonlinear structural model class; whether the identified biases</w:t>
      </w:r>
      <w:r>
        <w:t xml:space="preserve"> </w:t>
      </w:r>
      <w:r>
        <w:t xml:space="preserve">and corrections generalize to structurally more complex models (multiple</w:t>
      </w:r>
      <w:r>
        <w:t xml:space="preserve"> </w:t>
      </w:r>
      <w:r>
        <w:t xml:space="preserve">compartments, covariate effects, time-varying dosing) is not directly</w:t>
      </w:r>
      <w:r>
        <w:t xml:space="preserve"> </w:t>
      </w:r>
      <w:r>
        <w:t xml:space="preserve">tested here. The residual, smaller miscalibration remaining in the</w:t>
      </w:r>
      <w:r>
        <w:t xml:space="preserve"> </w:t>
      </w:r>
      <w:r>
        <w:t xml:space="preserve">amortized-posterior likelihood-ratio test calibration after the</w:t>
      </w:r>
      <w:r>
        <w:t xml:space="preserve"> </w:t>
      </w:r>
      <w:r>
        <w:t xml:space="preserve">boundary-mass correction (see Results) also remains unexplained; a</w:t>
      </w:r>
      <w:r>
        <w:t xml:space="preserve"> </w:t>
      </w:r>
      <w:r>
        <w:t xml:space="preserve">follow-up analysis testing whether divergence in the two nested models’</w:t>
      </w:r>
      <w:r>
        <w:t xml:space="preserve"> </w:t>
      </w:r>
      <w:r>
        <w:t xml:space="preserve">residual-error estimates explains this residual found a real correlation</w:t>
      </w:r>
      <w:r>
        <w:t xml:space="preserve"> </w:t>
      </w:r>
      <w:r>
        <w:t xml:space="preserve">but could not establish it as a mechanism independent of the</w:t>
      </w:r>
      <w:r>
        <w:t xml:space="preserve"> </w:t>
      </w:r>
      <w:r>
        <w:t xml:space="preserve">already-understood boundary-mass effect, given that the residual-error</w:t>
      </w:r>
      <w:r>
        <w:t xml:space="preserve"> </w:t>
      </w:r>
      <w:r>
        <w:t xml:space="preserve">parameter appears directly inside 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correcting the runtime measurement in the</w:t>
      </w:r>
      <w:r>
        <w:t xml:space="preserve"> </w:t>
      </w:r>
      <w:r>
        <w:t xml:space="preserve">FOCEI/SAEM baseline comparison and extending it to the nonlinear tier,</w:t>
      </w:r>
      <w:r>
        <w:t xml:space="preserve"> </w:t>
      </w:r>
      <w:r>
        <w:t xml:space="preserve">concrete directions include validating the decoupled-base-distribution</w:t>
      </w:r>
      <w:r>
        <w:t xml:space="preserve"> </w:t>
      </w:r>
      <w:r>
        <w:t xml:space="preserve">flow architecture described above at production scale,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disposition,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,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model,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83"/>
    <w:bookmarkStart w:id="103" w:name="references"/>
    <w:p>
      <w:pPr>
        <w:pStyle w:val="Heading2"/>
      </w:pPr>
      <w:r>
        <w:t xml:space="preserve">References</w:t>
      </w:r>
    </w:p>
    <w:bookmarkStart w:id="102" w:name="refs"/>
    <w:bookmarkStart w:id="84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84"/>
    <w:bookmarkStart w:id="86" w:name="ref-baaz2026empirical"/>
    <w:p>
      <w:pPr>
        <w:pStyle w:val="Bibliography"/>
      </w:pPr>
      <w:r>
        <w:t xml:space="preserve">Baaz, Marcus, Anders Sjöberg, and Mats Jirstrand. 2026.</w:t>
      </w:r>
      <w:r>
        <w:t xml:space="preserve"> </w:t>
      </w:r>
      <w:r>
        <w:t xml:space="preserve">“The Empirical</w:t>
      </w:r>
      <w:r>
        <w:t xml:space="preserve"> </w:t>
      </w:r>
      <w:r>
        <w:t xml:space="preserve">Bayes</w:t>
      </w:r>
      <w:r>
        <w:t xml:space="preserve"> </w:t>
      </w:r>
      <w:r>
        <w:t xml:space="preserve">Variational Autoencoder: A Neural</w:t>
      </w:r>
      <w:r>
        <w:t xml:space="preserve"> </w:t>
      </w:r>
      <w:r>
        <w:t xml:space="preserve">ODE</w:t>
      </w:r>
      <w:r>
        <w:t xml:space="preserve"> </w:t>
      </w:r>
      <w:r>
        <w:t xml:space="preserve">Approach for Population Modeling in Pharmacology.”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15 (7): e70280.</w:t>
      </w:r>
      <w:r>
        <w:t xml:space="preserve"> </w:t>
      </w:r>
      <w:hyperlink r:id="rId85">
        <w:r>
          <w:rPr>
            <w:rStyle w:val="Hyperlink"/>
          </w:rPr>
          <w:t xml:space="preserve">https://doi.org/10.1002/psp4.70280</w:t>
        </w:r>
      </w:hyperlink>
      <w:r>
        <w:t xml:space="preserve">.</w:t>
      </w:r>
    </w:p>
    <w:bookmarkEnd w:id="86"/>
    <w:bookmarkStart w:id="87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87"/>
    <w:bookmarkStart w:id="88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88"/>
    <w:bookmarkStart w:id="89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9"/>
    <w:bookmarkStart w:id="90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90"/>
    <w:bookmarkStart w:id="91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91"/>
    <w:bookmarkStart w:id="92" w:name="ref-li2026variational"/>
    <w:p>
      <w:pPr>
        <w:pStyle w:val="Bibliography"/>
      </w:pPr>
      <w:r>
        <w:t xml:space="preserve">Li, Zhe, Mélanie Prague, Rodolphe Thiébaut, and Quentin Clairon. 2026.</w:t>
      </w:r>
      <w:r>
        <w:t xml:space="preserve"> </w:t>
      </w:r>
      <w:r>
        <w:t xml:space="preserve">“Variational Autoencoder for Inference of Nonlinear Mixed Effect Models Based on Ordinary Differential Equations.”</w:t>
      </w:r>
      <w:r>
        <w:t xml:space="preserve"> </w:t>
      </w:r>
      <w:r>
        <w:rPr>
          <w:i/>
          <w:iCs/>
        </w:rPr>
        <w:t xml:space="preserve">arXiv Preprint arXiv:2601.17400</w:t>
      </w:r>
      <w:r>
        <w:t xml:space="preserve">.</w:t>
      </w:r>
    </w:p>
    <w:bookmarkEnd w:id="92"/>
    <w:bookmarkStart w:id="93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93"/>
    <w:bookmarkStart w:id="94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94"/>
    <w:bookmarkStart w:id="95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95"/>
    <w:bookmarkStart w:id="96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96"/>
    <w:bookmarkStart w:id="97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: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97"/>
    <w:bookmarkStart w:id="98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98"/>
    <w:bookmarkStart w:id="99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99"/>
    <w:bookmarkStart w:id="100" w:name="ref-tarek2026fitting"/>
    <w:p>
      <w:pPr>
        <w:pStyle w:val="Bibliography"/>
      </w:pPr>
      <w:r>
        <w:t xml:space="preserve">Tarek, Mohamed, and Pedro Afonso. 2026.</w:t>
      </w:r>
      <w:r>
        <w:t xml:space="preserve"> </w:t>
      </w:r>
      <w:r>
        <w:t xml:space="preserve">“Fitting Large Nonlinear Mixed Effects Models Using Variational Expectation Maximization.”</w:t>
      </w:r>
      <w:r>
        <w:t xml:space="preserve"> </w:t>
      </w:r>
      <w:r>
        <w:rPr>
          <w:i/>
          <w:iCs/>
        </w:rPr>
        <w:t xml:space="preserve">arXiv Preprint arXiv:2604.26160</w:t>
      </w:r>
      <w:r>
        <w:t xml:space="preserve">.</w:t>
      </w:r>
    </w:p>
    <w:bookmarkEnd w:id="100"/>
    <w:bookmarkStart w:id="101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62" Target="media/rId62.png" /><Relationship Type="http://schemas.openxmlformats.org/officeDocument/2006/relationships/hyperlink" Id="rId85" Target="https://doi.org/10.1002/psp4.70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2/psp4.70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2026-08-16T01:28:22Z</dcterms:created>
  <dcterms:modified xsi:type="dcterms:W3CDTF">2026-08-16T01:28:22Z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