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png" ContentType="image/png"/>
  <Override PartName="/word/media/rId42.png" ContentType="image/png"/>
  <Override PartName="/word/media/rId49.png" ContentType="image/png"/>
  <Override PartName="/word/media/rId56.png" ContentType="image/png"/>
  <Override PartName="/word/media/rId6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Importance-Weighted Variational Inference for Nonlinear Mixed-Effects Models: Characterizing and Correcting Random-Effect Variance Bias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Nonlinear mixed-effects (NLME) models are the standard tool for</w:t>
      </w:r>
      <w:r>
        <w:t xml:space="preserve"> </w:t>
      </w:r>
      <w:r>
        <w:t xml:space="preserve">characterizing between-subject variability in pharmacokinetic and</w:t>
      </w:r>
      <w:r>
        <w:t xml:space="preserve"> </w:t>
      </w:r>
      <w:r>
        <w:t xml:space="preserve">pharmacodynamic data, but established estimation methods, first-order</w:t>
      </w:r>
      <w:r>
        <w:t xml:space="preserve"> </w:t>
      </w:r>
      <w:r>
        <w:t xml:space="preserve">conditional estimation with interaction (FOCEI) and stochastic</w:t>
      </w:r>
      <w:r>
        <w:t xml:space="preserve"> </w:t>
      </w:r>
      <w:r>
        <w:t xml:space="preserve">approximation expectation-maximization (SAEM), scale poorly with</w:t>
      </w:r>
      <w:r>
        <w:t xml:space="preserve"> </w:t>
      </w:r>
      <w:r>
        <w:t xml:space="preserve">population size and model complexity. Variational inference (VI) has</w:t>
      </w:r>
      <w:r>
        <w:t xml:space="preserve"> </w:t>
      </w:r>
      <w:r>
        <w:t xml:space="preserve">recently been proposed as a faster alternative, including amortized</w:t>
      </w:r>
      <w:r>
        <w:t xml:space="preserve"> </w:t>
      </w:r>
      <w:r>
        <w:t xml:space="preserve">formulations that reuse a single trained model across new datasets</w:t>
      </w:r>
      <w:r>
        <w:t xml:space="preserve"> </w:t>
      </w:r>
      <w:r>
        <w:t xml:space="preserve">(Arruda et al. 2024)</w:t>
      </w:r>
      <w:r>
        <w:t xml:space="preserve">. We show, across simulated and real data, that the</w:t>
      </w:r>
      <w:r>
        <w:t xml:space="preserve"> </w:t>
      </w:r>
      <w:r>
        <w:t xml:space="preserve">plain evidence lower bound (ELBO,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 systematically underestimates</w:t>
      </w:r>
      <w:r>
        <w:t xml:space="preserve"> </w:t>
      </w:r>
      <w:r>
        <w:t xml:space="preserve">between-subject variance components (Omega), while importance-weighted</w:t>
      </w:r>
      <w:r>
        <w:t xml:space="preserve"> </w:t>
      </w:r>
      <w:r>
        <w:t xml:space="preserve">ELBO (IW-ELBO,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t xml:space="preserve">) and richer variational families (normalizing flows)</w:t>
      </w:r>
      <w:r>
        <w:t xml:space="preserve"> </w:t>
      </w:r>
      <w:r>
        <w:t xml:space="preserve">substantially correct this bias. Against independent FOCEI and SAEM</w:t>
      </w:r>
      <w:r>
        <w:t xml:space="preserve"> </w:t>
      </w:r>
      <w:r>
        <w:t xml:space="preserve">baseline fits on matched simulated data, corrected variational inference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) recovers both fixed effects and Omega with accuracy closely</w:t>
      </w:r>
      <w:r>
        <w:t xml:space="preserve"> </w:t>
      </w:r>
      <w:r>
        <w:t xml:space="preserve">matching both established methods (Omega bias under 1.2% for every</w:t>
      </w:r>
      <w:r>
        <w:t xml:space="preserve"> </w:t>
      </w:r>
      <w:r>
        <w:t xml:space="preserve">parameter), while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reproduces the same systematic underestimation</w:t>
      </w:r>
      <w:r>
        <w:t xml:space="preserve"> </w:t>
      </w:r>
      <w:r>
        <w:t xml:space="preserve">identified throughout this work (Omega bias up to</w:t>
      </w:r>
      <w:r>
        <w:t xml:space="preserve"> </w:t>
      </w:r>
      <m:oMath>
        <m:r>
          <m:rPr>
            <m:sty m:val="p"/>
          </m:rPr>
          <m:t>−</m:t>
        </m:r>
        <m:r>
          <m:t>22</m:t>
        </m:r>
        <m:r>
          <m:rPr>
            <m:sty m:val="p"/>
          </m:rPr>
          <m:t>%</m:t>
        </m:r>
      </m:oMath>
      <w:r>
        <w:t xml:space="preserve"> </w:t>
      </w:r>
      <w:r>
        <w:t xml:space="preserve">on the most</w:t>
      </w:r>
      <w:r>
        <w:t xml:space="preserve"> </w:t>
      </w:r>
      <w:r>
        <w:t xml:space="preserve">affected parameter). The correction also reproduces cleanly on two</w:t>
      </w:r>
      <w:r>
        <w:t xml:space="preserve"> </w:t>
      </w:r>
      <w:r>
        <w:t xml:space="preserve">independent real pharmacokinetic datasets (theophylline, warfarin), with</w:t>
      </w:r>
      <w:r>
        <w:t xml:space="preserve"> </w:t>
      </w:r>
      <w:r>
        <w:t xml:space="preserve">fixed-effect estimates on warfarin falling inside the published 95%</w:t>
      </w:r>
      <w:r>
        <w:t xml:space="preserve"> </w:t>
      </w:r>
      <w:r>
        <w:t xml:space="preserve">confidence intervals of an independent FOCEI fit despite a simpler</w:t>
      </w:r>
      <w:r>
        <w:t xml:space="preserve"> </w:t>
      </w:r>
      <w:r>
        <w:t xml:space="preserve">structural model. Extending to a genuinely nonlinear (Michaelis-Menten</w:t>
      </w:r>
      <w:r>
        <w:t xml:space="preserve"> </w:t>
      </w:r>
      <w:r>
        <w:t xml:space="preserve">elimination) model, the same correction holds for parameters with</w:t>
      </w:r>
      <w:r>
        <w:t xml:space="preserve"> </w:t>
      </w:r>
      <w:r>
        <w:t xml:space="preserve">between-subject variability, while we identify and resolve a</w:t>
      </w:r>
      <w:r>
        <w:t xml:space="preserve"> </w:t>
      </w:r>
      <w:r>
        <w:t xml:space="preserve">structural, cross-method identifiability limitation specific to</w:t>
      </w:r>
      <w:r>
        <w:t xml:space="preserve"> </w:t>
      </w:r>
      <w:r>
        <w:t xml:space="preserve">estimating variability on both Michaelis-Menten parameters</w:t>
      </w:r>
      <w:r>
        <w:t xml:space="preserve"> </w:t>
      </w:r>
      <w:r>
        <w:t xml:space="preserve">simultaneously. We further show that likelihood-ratio tests built on the</w:t>
      </w:r>
      <w:r>
        <w:t xml:space="preserve"> </w:t>
      </w:r>
      <w:r>
        <w:t xml:space="preserve">variational posterior’s recovered marginal likelihood are only valid for</w:t>
      </w:r>
      <w:r>
        <w:t xml:space="preserve"> </w:t>
      </w:r>
      <w:r>
        <w:t xml:space="preserve">random-effect-structure comparisons under a shared-encoder (amortized)</w:t>
      </w:r>
      <w:r>
        <w:t xml:space="preserve"> </w:t>
      </w:r>
      <w:r>
        <w:t xml:space="preserve">posterior, not a per-subject free posterior, due to an</w:t>
      </w:r>
      <w:r>
        <w:t xml:space="preserve"> </w:t>
      </w:r>
      <w:r>
        <w:t xml:space="preserve">effective-degrees-of-freedom mismatch with classical asymptotic theory.</w:t>
      </w:r>
      <w:r>
        <w:t xml:space="preserve"> </w:t>
      </w:r>
      <w:r>
        <w:t xml:space="preserve">Finally, we characterize a diagnostic (importance-sampling effective</w:t>
      </w:r>
      <w:r>
        <w:t xml:space="preserve"> </w:t>
      </w:r>
      <w:r>
        <w:t xml:space="preserve">sample size) that separates well- from poorly-converged fits without</w:t>
      </w:r>
      <w:r>
        <w:t xml:space="preserve"> </w:t>
      </w:r>
      <w:r>
        <w:t xml:space="preserve">requiring ground truth. Together, these results give practitioners</w:t>
      </w:r>
      <w:r>
        <w:t xml:space="preserve"> </w:t>
      </w:r>
      <w:r>
        <w:t xml:space="preserve">concrete guidance for when and how variational inference can safely</w:t>
      </w:r>
      <w:r>
        <w:t xml:space="preserve"> </w:t>
      </w:r>
      <w:r>
        <w:t xml:space="preserve">replace established NLME estimation methods.</w: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Nonlinear mixed-effects (NLME) models describe how a shared population</w:t>
      </w:r>
      <w:r>
        <w:t xml:space="preserve"> </w:t>
      </w:r>
      <w:r>
        <w:t xml:space="preserve">structure, consisting of fixed effects and the distribution of</w:t>
      </w:r>
      <w:r>
        <w:t xml:space="preserve"> </w:t>
      </w:r>
      <w:r>
        <w:t xml:space="preserve">between-subject random effects, gives rise to individual-level</w:t>
      </w:r>
      <w:r>
        <w:t xml:space="preserve"> </w:t>
      </w:r>
      <w:r>
        <w:t xml:space="preserve">observations, and they remain</w:t>
      </w:r>
      <w:r>
        <w:t xml:space="preserve"> </w:t>
      </w:r>
      <w:r>
        <w:t xml:space="preserve">the standard analytic tool across pharmacokinetics, pharmacodynamics, and</w:t>
      </w:r>
      <w:r>
        <w:t xml:space="preserve"> </w:t>
      </w:r>
      <w:r>
        <w:t xml:space="preserve">related fields wherever repeated, correlated measurements are collected</w:t>
      </w:r>
      <w:r>
        <w:t xml:space="preserve"> </w:t>
      </w:r>
      <w:r>
        <w:t xml:space="preserve">on a heterogeneous population. Because the individual-level likelihood</w:t>
      </w:r>
      <w:r>
        <w:t xml:space="preserve"> </w:t>
      </w:r>
      <w:r>
        <w:t xml:space="preserve">required to fit an NLME model is generally only available as an</w:t>
      </w:r>
      <w:r>
        <w:t xml:space="preserve"> </w:t>
      </w:r>
      <w:r>
        <w:t xml:space="preserve">intractable integral over the random effects</w:t>
      </w:r>
      <w:r>
        <w:t xml:space="preserve"> </w:t>
      </w:r>
      <w:r>
        <w:t xml:space="preserve">(Pinheiro 1994)</w:t>
      </w:r>
      <w:r>
        <w:t xml:space="preserve">, every</w:t>
      </w:r>
      <w:r>
        <w:t xml:space="preserve"> </w:t>
      </w:r>
      <w:r>
        <w:t xml:space="preserve">established estimation method relies on some form of approximation.</w:t>
      </w:r>
      <w:r>
        <w:t xml:space="preserve"> </w:t>
      </w:r>
      <w:r>
        <w:t xml:space="preserve">First-order conditional estimation with interaction (FOCEI)</w:t>
      </w:r>
      <w:r>
        <w:t xml:space="preserve"> </w:t>
      </w:r>
      <w:r>
        <w:t xml:space="preserve">(Beal and Sheiner 1980; Wang 2008)</w:t>
      </w:r>
      <w:r>
        <w:t xml:space="preserve"> </w:t>
      </w:r>
      <w:r>
        <w:t xml:space="preserve">linearizes the model around each</w:t>
      </w:r>
      <w:r>
        <w:t xml:space="preserve"> </w:t>
      </w:r>
      <w:r>
        <w:t xml:space="preserve">subject’s conditional mode; stochastic approximation</w:t>
      </w:r>
      <w:r>
        <w:t xml:space="preserve"> </w:t>
      </w:r>
      <w:r>
        <w:t xml:space="preserve">expectation-maximization (SAEM)</w:t>
      </w:r>
      <w:r>
        <w:t xml:space="preserve"> </w:t>
      </w:r>
      <w:r>
        <w:t xml:space="preserve">(Kuhn and Lavielle 2005)</w:t>
      </w:r>
      <w:r>
        <w:t xml:space="preserve"> </w:t>
      </w:r>
      <w:r>
        <w:t xml:space="preserve">instead uses a</w:t>
      </w:r>
      <w:r>
        <w:t xml:space="preserve"> </w:t>
      </w:r>
      <w:r>
        <w:t xml:space="preserve">stochastic sampling scheme that converges under weaker assumptions but at</w:t>
      </w:r>
      <w:r>
        <w:t xml:space="preserve"> </w:t>
      </w:r>
      <w:r>
        <w:t xml:space="preserve">substantially higher computational cost, particularly as the number of</w:t>
      </w:r>
      <w:r>
        <w:t xml:space="preserve"> </w:t>
      </w:r>
      <w:r>
        <w:t xml:space="preserve">random effects or the structural complexity of the model grows.</w:t>
      </w:r>
    </w:p>
    <w:p>
      <w:pPr>
        <w:pStyle w:val="BodyText"/>
      </w:pPr>
      <w:r>
        <w:t xml:space="preserve">Variational inference (VI) reformulates this integration problem as an</w:t>
      </w:r>
      <w:r>
        <w:t xml:space="preserve"> </w:t>
      </w:r>
      <w:r>
        <w:t xml:space="preserve">optimization problem: rather than sampling or linearizing, a tractable</w:t>
      </w:r>
      <w:r>
        <w:t xml:space="preserve"> </w:t>
      </w:r>
      <w:r>
        <w:t xml:space="preserve">family of approximate posterior distributions is fit to the true</w:t>
      </w:r>
      <w:r>
        <w:t xml:space="preserve"> </w:t>
      </w:r>
      <w:r>
        <w:t xml:space="preserve">posterior by maximizing a lower bound on the marginal likelihood, the</w:t>
      </w:r>
      <w:r>
        <w:t xml:space="preserve"> </w:t>
      </w:r>
      <w:r>
        <w:t xml:space="preserve">evidence lower bound (ELBO). Recent work has proposed</w:t>
      </w:r>
      <w:r>
        <w:t xml:space="preserve"> </w:t>
      </w:r>
      <w:r>
        <w:rPr>
          <w:i/>
          <w:iCs/>
        </w:rPr>
        <w:t xml:space="preserve">amortized</w:t>
      </w:r>
      <w:r>
        <w:t xml:space="preserve"> </w:t>
      </w:r>
      <w:r>
        <w:t xml:space="preserve">VI for</w:t>
      </w:r>
      <w:r>
        <w:t xml:space="preserve"> </w:t>
      </w:r>
      <w:r>
        <w:t xml:space="preserve">NLME models specifically, in which a single neural network is trained</w:t>
      </w:r>
      <w:r>
        <w:t xml:space="preserve"> </w:t>
      </w:r>
      <w:r>
        <w:t xml:space="preserve">once to produce individual-specific posteriors for any new subject’s</w:t>
      </w:r>
      <w:r>
        <w:t xml:space="preserve"> </w:t>
      </w:r>
      <w:r>
        <w:t xml:space="preserve">data, making the population-level inference step that follows extremely</w:t>
      </w:r>
      <w:r>
        <w:t xml:space="preserve"> </w:t>
      </w:r>
      <w:r>
        <w:t xml:space="preserve">cheap and reusable across datasets and even across different population</w:t>
      </w:r>
      <w:r>
        <w:t xml:space="preserve"> </w:t>
      </w:r>
      <w:r>
        <w:t xml:space="preserve">models</w:t>
      </w:r>
      <w:r>
        <w:t xml:space="preserve"> </w:t>
      </w:r>
      <w:r>
        <w:t xml:space="preserve">(Arruda et al. 2024)</w:t>
      </w:r>
      <w:r>
        <w:t xml:space="preserve">. This amortized approach, and related</w:t>
      </w:r>
      <w:r>
        <w:t xml:space="preserve"> </w:t>
      </w:r>
      <w:r>
        <w:t xml:space="preserve">simulation-based inference methods more broadly, promise a substantial</w:t>
      </w:r>
      <w:r>
        <w:t xml:space="preserve"> </w:t>
      </w:r>
      <w:r>
        <w:t xml:space="preserve">speed advantage over FOCEI and SAEM, particularly for large populations</w:t>
      </w:r>
      <w:r>
        <w:t xml:space="preserve"> </w:t>
      </w:r>
      <w:r>
        <w:t xml:space="preserve">or structurally complex models.</w:t>
      </w:r>
    </w:p>
    <w:p>
      <w:pPr>
        <w:pStyle w:val="BodyText"/>
      </w:pPr>
      <w:r>
        <w:t xml:space="preserve">However, a known and under-characterized limitation of the plain ELBO is</w:t>
      </w:r>
      <w:r>
        <w:t xml:space="preserve"> </w:t>
      </w:r>
      <w:r>
        <w:t xml:space="preserve">that it systematically underestimates posterior variance, a general</w:t>
      </w:r>
      <w:r>
        <w:t xml:space="preserve"> </w:t>
      </w:r>
      <w:r>
        <w:t xml:space="preserve">property of ELBO-based VI wherever the approximating family cannot</w:t>
      </w:r>
      <w:r>
        <w:t xml:space="preserve"> </w:t>
      </w:r>
      <w:r>
        <w:t xml:space="preserve">perfectly capture the true posterior’s shape, which is essentially always</w:t>
      </w:r>
      <w:r>
        <w:t xml:space="preserve"> </w:t>
      </w:r>
      <w:r>
        <w:t xml:space="preserve">the case for the per-subject posteriors induced by an NLME model. In the</w:t>
      </w:r>
      <w:r>
        <w:t xml:space="preserve"> </w:t>
      </w:r>
      <w:r>
        <w:t xml:space="preserve">NLME setting, this translates into underestimated</w:t>
      </w:r>
      <w:r>
        <w:t xml:space="preserve"> </w:t>
      </w:r>
      <w:r>
        <w:t xml:space="preserve">between-subject variance components (commonly denoted Omega, or written</w:t>
      </w:r>
      <w:r>
        <w:t xml:space="preserve"> </w:t>
      </w:r>
      <w:r>
        <w:t xml:space="preserve">as the diagonal of a covariance matrix</w:t>
      </w:r>
      <w:r>
        <w:t xml:space="preserve"> </w:t>
      </w:r>
      <m:oMath>
        <m:r>
          <m:t>Ω</m:t>
        </m:r>
      </m:oMath>
      <w:r>
        <w:t xml:space="preserve">), precisely the</w:t>
      </w:r>
      <w:r>
        <w:t xml:space="preserve"> </w:t>
      </w:r>
      <w:r>
        <w:t xml:space="preserve">quantity that most directly answers scientific questions about population</w:t>
      </w:r>
      <w:r>
        <w:t xml:space="preserve"> </w:t>
      </w:r>
      <w:r>
        <w:t xml:space="preserve">heterogeneity, and the quantity on which decisions such as covariate</w:t>
      </w:r>
      <w:r>
        <w:t xml:space="preserve"> </w:t>
      </w:r>
      <w:r>
        <w:t xml:space="preserve">inclusion are frequently based. While this failure mode has been noted in</w:t>
      </w:r>
      <w:r>
        <w:t xml:space="preserve"> </w:t>
      </w:r>
      <w:r>
        <w:t xml:space="preserve">passing in several places in the recent literature applying VI to NLME</w:t>
      </w:r>
      <w:r>
        <w:t xml:space="preserve"> </w:t>
      </w:r>
      <w:r>
        <w:t xml:space="preserve">models, it has not, to our knowledge, been systematically characterized:</w:t>
      </w:r>
      <w:r>
        <w:t xml:space="preserve"> </w:t>
      </w:r>
      <w:r>
        <w:t xml:space="preserve">under what conditions it arises, whether it can be corrected, and whether</w:t>
      </w:r>
      <w:r>
        <w:t xml:space="preserve"> </w:t>
      </w:r>
      <w:r>
        <w:t xml:space="preserve">correcting the point estimates of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sufficient to make the</w:t>
      </w:r>
      <w:r>
        <w:t xml:space="preserve"> </w:t>
      </w:r>
      <w:r>
        <w:t xml:space="preserve">resulting fit trustworthy for the full range of downstream uses an NLME</w:t>
      </w:r>
      <w:r>
        <w:t xml:space="preserve"> </w:t>
      </w:r>
      <w:r>
        <w:t xml:space="preserve">model is put to, in particular likelihood-ratio-based model selection.</w:t>
      </w:r>
    </w:p>
    <w:p>
      <w:pPr>
        <w:pStyle w:val="BodyText"/>
      </w:pPr>
      <w:r>
        <w:t xml:space="preserve">This paper makes the following contributions:</w:t>
      </w:r>
    </w:p>
    <w:p>
      <w:pPr>
        <w:pStyle w:val="Compact"/>
        <w:numPr>
          <w:ilvl w:val="0"/>
          <w:numId w:val="1001"/>
        </w:numPr>
      </w:pPr>
      <w:r>
        <w:t xml:space="preserve">We systematically characterize plain-ELBO 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 Omega</w:t>
      </w:r>
      <w:r>
        <w:t xml:space="preserve"> </w:t>
      </w:r>
      <w:r>
        <w:t xml:space="preserve">underestimation across simulated designs (dense and sparse sampling),</w:t>
      </w:r>
      <w:r>
        <w:t xml:space="preserve"> </w:t>
      </w:r>
      <w:r>
        <w:t xml:space="preserve">variational posterior architectures (per-subject free posteriors vs.</w:t>
      </w:r>
      <w:r>
        <w:t xml:space="preserve"> </w:t>
      </w:r>
      <w:r>
        <w:t xml:space="preserve">amortized encoder-based posteriors), and variational families (Gaussian</w:t>
      </w:r>
      <w:r>
        <w:t xml:space="preserve"> </w:t>
      </w:r>
      <w:r>
        <w:t xml:space="preserve">vs. normalizing flow), and show that both importance-weighting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t xml:space="preserve">, via the importance-weighted ELBO) and richer variational</w:t>
      </w:r>
      <w:r>
        <w:t xml:space="preserve"> </w:t>
      </w:r>
      <w:r>
        <w:t xml:space="preserve">families substantially correct the bias, with flow-based posteriors</w:t>
      </w:r>
      <w:r>
        <w:t xml:space="preserve"> </w:t>
      </w:r>
      <w:r>
        <w:t xml:space="preserve">closing nearly the entire gap even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well-identified designs.</w:t>
      </w:r>
    </w:p>
    <w:p>
      <w:pPr>
        <w:pStyle w:val="Compact"/>
        <w:numPr>
          <w:ilvl w:val="0"/>
          <w:numId w:val="1001"/>
        </w:numPr>
      </w:pPr>
      <w:r>
        <w:t xml:space="preserve">We validate the correction against independent FOCEI and SAEM baseline</w:t>
      </w:r>
      <w:r>
        <w:t xml:space="preserve"> </w:t>
      </w:r>
      <w:r>
        <w:t xml:space="preserve">fits on matched simulated data: corrected variational inference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) matches both established methods’ accuracy closely (Omega</w:t>
      </w:r>
      <w:r>
        <w:t xml:space="preserve"> </w:t>
      </w:r>
      <w:r>
        <w:t xml:space="preserve">bias under 1.2% on every parameter, comparable to FOCEI’s and SAEM’s</w:t>
      </w:r>
      <w:r>
        <w:t xml:space="preserve"> </w:t>
      </w:r>
      <w:r>
        <w:t xml:space="preserve">own bias), while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reproduces the same systematic underestimation</w:t>
      </w:r>
      <w:r>
        <w:t xml:space="preserve"> </w:t>
      </w:r>
      <w:r>
        <w:t xml:space="preserve">characterized above (Omega bias up to</w:t>
      </w:r>
      <w:r>
        <w:t xml:space="preserve"> </w:t>
      </w:r>
      <m:oMath>
        <m:r>
          <m:rPr>
            <m:sty m:val="p"/>
          </m:rPr>
          <m:t>−</m:t>
        </m:r>
        <m:r>
          <m:t>22</m:t>
        </m:r>
        <m:r>
          <m:rPr>
            <m:sty m:val="p"/>
          </m:rPr>
          <m:t>%</m:t>
        </m:r>
      </m:oMath>
      <w:r>
        <w:t xml:space="preserve">), directly confirming</w:t>
      </w:r>
      <w:r>
        <w:t xml:space="preserve"> </w:t>
      </w:r>
      <w:r>
        <w:t xml:space="preserve">that the corrected point estimates, not just their relative</w:t>
      </w:r>
      <w:r>
        <w:t xml:space="preserve"> </w:t>
      </w:r>
      <w:r>
        <w:t xml:space="preserve">improvement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are quantitatively trustworthy against</w:t>
      </w:r>
      <w:r>
        <w:t xml:space="preserve"> </w:t>
      </w:r>
      <w:r>
        <w:t xml:space="preserve">established methods, not only self-consistent within variational</w:t>
      </w:r>
      <w:r>
        <w:t xml:space="preserve"> </w:t>
      </w:r>
      <w:r>
        <w:t xml:space="preserve">inference.</w:t>
      </w:r>
    </w:p>
    <w:p>
      <w:pPr>
        <w:pStyle w:val="Compact"/>
        <w:numPr>
          <w:ilvl w:val="0"/>
          <w:numId w:val="1001"/>
        </w:numPr>
      </w:pPr>
      <w:r>
        <w:t xml:space="preserve">We further validate the correction on two independent real</w:t>
      </w:r>
      <w:r>
        <w:t xml:space="preserve"> </w:t>
      </w:r>
      <w:r>
        <w:t xml:space="preserve">pharmacokinetic datasets, including an external benchmark comparison</w:t>
      </w:r>
      <w:r>
        <w:t xml:space="preserve"> </w:t>
      </w:r>
      <w:r>
        <w:t xml:space="preserve">in which our fixed-effect estimates agree with an independently</w:t>
      </w:r>
      <w:r>
        <w:t xml:space="preserve"> </w:t>
      </w:r>
      <w:r>
        <w:t xml:space="preserve">published FOCEI fit despite using a simpler structural model.</w:t>
      </w:r>
    </w:p>
    <w:p>
      <w:pPr>
        <w:pStyle w:val="Compact"/>
        <w:numPr>
          <w:ilvl w:val="0"/>
          <w:numId w:val="1001"/>
        </w:numPr>
      </w:pPr>
      <w:r>
        <w:t xml:space="preserve">We extend the analysis to a genuinely nonlinear elimination model</w:t>
      </w:r>
      <w:r>
        <w:t xml:space="preserve"> </w:t>
      </w:r>
      <w:r>
        <w:t xml:space="preserve">(Michaelis-Menten kinetics) with no closed-form solution, and identify</w:t>
      </w:r>
      <w:r>
        <w:t xml:space="preserve"> </w:t>
      </w:r>
      <w:r>
        <w:t xml:space="preserve">a structural identifiability limitation, consistent with standard</w:t>
      </w:r>
      <w:r>
        <w:t xml:space="preserve"> </w:t>
      </w:r>
      <w:r>
        <w:t xml:space="preserve">pharmacometric practice rather than a VI-specific artifact, for estimating</w:t>
      </w:r>
      <w:r>
        <w:t xml:space="preserve"> </w:t>
      </w:r>
      <w:r>
        <w:t xml:space="preserve">between-subject variability on both Michaelis-Menten parameters</w:t>
      </w:r>
      <w:r>
        <w:t xml:space="preserve"> </w:t>
      </w:r>
      <w:r>
        <w:t xml:space="preserve">simultaneously, resolving it via a design restricting random effects to</w:t>
      </w:r>
      <w:r>
        <w:t xml:space="preserve"> </w:t>
      </w:r>
      <w:r>
        <w:t xml:space="preserve">the empirically well-identified parameter.</w:t>
      </w:r>
    </w:p>
    <w:p>
      <w:pPr>
        <w:pStyle w:val="Compact"/>
        <w:numPr>
          <w:ilvl w:val="0"/>
          <w:numId w:val="1001"/>
        </w:numPr>
      </w:pPr>
      <w:r>
        <w:t xml:space="preserve">We show that the marginal likelihood recovered by variational</w:t>
      </w:r>
      <w:r>
        <w:t xml:space="preserve"> </w:t>
      </w:r>
      <w:r>
        <w:t xml:space="preserve">inference is not uniformly valid for likelihood-ratio tests: for</w:t>
      </w:r>
      <w:r>
        <w:t xml:space="preserve"> </w:t>
      </w:r>
      <w:r>
        <w:t xml:space="preserve">comparisons that change the number of random effects, a per-subject</w:t>
      </w:r>
      <w:r>
        <w:t xml:space="preserve"> </w:t>
      </w:r>
      <w:r>
        <w:t xml:space="preserve">free posterior introduces additional effective degrees of freedom that</w:t>
      </w:r>
      <w:r>
        <w:t xml:space="preserve"> </w:t>
      </w:r>
      <w:r>
        <w:t xml:space="preserve">classical asymptotic theory, including the correct boundary-mixture</w:t>
      </w:r>
      <w:r>
        <w:t xml:space="preserve"> </w:t>
      </w:r>
      <w:r>
        <w:t xml:space="preserve">reference for testing a variance component against zero</w:t>
      </w:r>
      <w:r>
        <w:t xml:space="preserve"> </w:t>
      </w:r>
      <w:r>
        <w:t xml:space="preserve">(Self and Liang 1987)</w:t>
      </w:r>
      <w:r>
        <w:t xml:space="preserve">, does not account for, while an amortized</w:t>
      </w:r>
      <w:r>
        <w:t xml:space="preserve"> </w:t>
      </w:r>
      <w:r>
        <w:t xml:space="preserve">posterior’s shared encoder does not have this problem.</w:t>
      </w:r>
    </w:p>
    <w:p>
      <w:pPr>
        <w:pStyle w:val="Compact"/>
        <w:numPr>
          <w:ilvl w:val="0"/>
          <w:numId w:val="1001"/>
        </w:numPr>
      </w:pPr>
      <w:r>
        <w:t xml:space="preserve">We characterize an importance-sampling diagnostic (effective sample</w:t>
      </w:r>
      <w:r>
        <w:t xml:space="preserve"> </w:t>
      </w:r>
      <w:r>
        <w:t xml:space="preserve">size) that distinguishes well- from poorly-converged fits without</w:t>
      </w:r>
      <w:r>
        <w:t xml:space="preserve"> </w:t>
      </w:r>
      <w:r>
        <w:t xml:space="preserve">requiring access to ground truth, making it usable on real data where</w:t>
      </w:r>
      <w:r>
        <w:t xml:space="preserve"> </w:t>
      </w:r>
      <w:r>
        <w:t xml:space="preserve">the correctness of a fit cannot otherwise be directly verified.</w:t>
      </w:r>
    </w:p>
    <w:bookmarkEnd w:id="21"/>
    <w:bookmarkStart w:id="41" w:name="methods"/>
    <w:p>
      <w:pPr>
        <w:pStyle w:val="Heading2"/>
      </w:pPr>
      <w:r>
        <w:t xml:space="preserve">Methods</w:t>
      </w:r>
    </w:p>
    <w:bookmarkStart w:id="28" w:name="X0e65fce9e03699ec657c35cb932bf69f364dcf0"/>
    <w:p>
      <w:pPr>
        <w:pStyle w:val="Heading3"/>
      </w:pPr>
      <w:r>
        <w:t xml:space="preserve">NLME Model and the Variational Inference Objective</w:t>
      </w:r>
    </w:p>
    <w:p>
      <w:pPr>
        <w:pStyle w:val="FirstParagraph"/>
      </w:pPr>
      <w:r>
        <w:t xml:space="preserve">For a population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subjects, each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at times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, generated</w:t>
      </w:r>
      <w:r>
        <w:t xml:space="preserve"> </w:t>
      </w:r>
      <w:r>
        <w:t xml:space="preserve">by a structural model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subject-specific parameters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eq-residual-error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bookmarkStart w:id="22" w:name="eq-residual-error"/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2"/>
    </w:p>
    <w:p>
      <w:pPr>
        <w:pStyle w:val="FirstParagraph"/>
      </w:pPr>
      <w:r>
        <w:t xml:space="preserve">a log-normal (multiplicative) residual error model, equivalently additive</w:t>
      </w:r>
      <w:r>
        <w:t xml:space="preserve"> </w:t>
      </w:r>
      <w:r>
        <w:t xml:space="preserve">on the log scale (</w:t>
      </w:r>
      <w:hyperlink w:anchor="eq-log-residual-error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w:bookmarkStart w:id="23" w:name="eq-log-residual-error"/>
      <m:oMathPara>
        <m:oMathParaPr>
          <m:jc m:val="center"/>
        </m:oMathParaPr>
        <m:oMath>
          <m:r>
            <m:rPr>
              <m:sty m:val="p"/>
            </m:rPr>
            <m:t>log</m:t>
          </m:r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</m:oMath>
      </m:oMathPara>
      <w:bookmarkEnd w:id="23"/>
    </w:p>
    <w:p>
      <w:pPr>
        <w:pStyle w:val="FirstParagraph"/>
      </w:pPr>
      <w:r>
        <w:t xml:space="preserve">Subject-specific parameters are linked to population-level fixed effects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subject-specific random effects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through a</w:t>
      </w:r>
      <w:r>
        <w:t xml:space="preserve"> </w:t>
      </w:r>
      <w:r>
        <w:t xml:space="preserve">log-normal population model (</w:t>
      </w:r>
      <w:hyperlink w:anchor="eq-population-model">
        <w:r>
          <w:rPr>
            <w:rStyle w:val="Hyperlink"/>
          </w:rPr>
          <w:t xml:space="preserve">Equation 3</w:t>
        </w:r>
      </w:hyperlink>
      <w:r>
        <w:t xml:space="preserve">),</w:t>
      </w:r>
    </w:p>
    <w:p>
      <w:pPr>
        <w:pStyle w:val="BodyText"/>
      </w:pPr>
      <w:bookmarkStart w:id="24" w:name="eq-population-model"/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⊙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Ω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</m:e>
          </m:d>
        </m:oMath>
      </m:oMathPara>
      <w:bookmarkEnd w:id="24"/>
    </w:p>
    <w:p>
      <w:pPr>
        <w:pStyle w:val="FirstParagraph"/>
      </w:pPr>
      <w:r>
        <w:t xml:space="preserve">with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diagonal (independent random effects) throughout this work.</w:t>
      </w:r>
      <w:r>
        <w:t xml:space="preserve"> </w:t>
      </w:r>
      <w:r>
        <w:t xml:space="preserve">The population-level likelihood contribution of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requires</w:t>
      </w:r>
      <w:r>
        <w:t xml:space="preserve"> </w:t>
      </w:r>
      <w:r>
        <w:t xml:space="preserve">integrating the random effects out of the joint density</w:t>
      </w:r>
      <w:r>
        <w:t xml:space="preserve"> </w:t>
      </w:r>
      <w:r>
        <w:t xml:space="preserve">(</w:t>
      </w:r>
      <w:hyperlink w:anchor="eq-marginal-likelihood">
        <w:r>
          <w:rPr>
            <w:rStyle w:val="Hyperlink"/>
          </w:rPr>
          <w:t xml:space="preserve">Equation 4</w:t>
        </w:r>
      </w:hyperlink>
      <w:r>
        <w:t xml:space="preserve">),</w:t>
      </w:r>
    </w:p>
    <w:p>
      <w:pPr>
        <w:pStyle w:val="BodyText"/>
      </w:pPr>
      <w:bookmarkStart w:id="25" w:name="eq-marginal-likelihood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Ω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Ω</m:t>
              </m:r>
            </m:e>
          </m:d>
          <m:r>
            <m:t> </m:t>
          </m:r>
          <m:r>
            <m:t>d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</m:e>
          </m:d>
        </m:oMath>
      </m:oMathPara>
      <w:bookmarkEnd w:id="25"/>
    </w:p>
    <w:p>
      <w:pPr>
        <w:pStyle w:val="FirstParagraph"/>
      </w:pPr>
      <w:r>
        <w:t xml:space="preserve">an integral with no closed form for any structural model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beyond the</w:t>
      </w:r>
      <w:r>
        <w:t xml:space="preserve"> </w:t>
      </w:r>
      <w:r>
        <w:t xml:space="preserve">simplest linear cases, and the central computational obstacle every NLME</w:t>
      </w:r>
      <w:r>
        <w:t xml:space="preserve"> </w:t>
      </w:r>
      <w:r>
        <w:t xml:space="preserve">estimation method must address.</w:t>
      </w:r>
    </w:p>
    <w:p>
      <w:pPr>
        <w:pStyle w:val="BodyText"/>
      </w:pPr>
      <w:r>
        <w:t xml:space="preserve">Variational inference replaces this integral with an optimization</w:t>
      </w:r>
      <w:r>
        <w:t xml:space="preserve"> </w:t>
      </w:r>
      <w:r>
        <w:t xml:space="preserve">problem. For a tractable variational family</w:t>
      </w:r>
      <w:r>
        <w:t xml:space="preserve"> </w:t>
      </w:r>
      <m:oMath>
        <m:sSub>
          <m:e>
            <m:r>
              <m:t>q</m:t>
            </m:r>
          </m:e>
          <m:sub>
            <m:r>
              <m:t>λ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η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 the</w:t>
      </w:r>
      <w:r>
        <w:t xml:space="preserve"> </w:t>
      </w:r>
      <w:r>
        <w:t xml:space="preserve">standard evidence lower bound (ELBO) satisfies</w:t>
      </w:r>
      <w:r>
        <w:t xml:space="preserve"> </w:t>
      </w:r>
      <w:hyperlink w:anchor="eq-elbo">
        <w:r>
          <w:rPr>
            <w:rStyle w:val="Hyperlink"/>
          </w:rPr>
          <w:t xml:space="preserve">Equation 5</w:t>
        </w:r>
      </w:hyperlink>
      <w:r>
        <w:t xml:space="preserve">:</w:t>
      </w:r>
    </w:p>
    <w:p>
      <w:pPr>
        <w:pStyle w:val="BodyText"/>
      </w:pPr>
      <w:bookmarkStart w:id="26" w:name="eq-elbo"/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Ω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 </m:t>
          </m:r>
          <m:r>
            <m:rPr>
              <m:sty m:val="p"/>
            </m:rPr>
            <m:t>≥</m:t>
          </m:r>
          <m:r>
            <m:t> 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∼</m:t>
              </m:r>
              <m:sSub>
                <m:e>
                  <m:r>
                    <m:t>q</m:t>
                  </m:r>
                </m:e>
                <m:sub>
                  <m:r>
                    <m:t>λ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Ω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λ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  <m:r>
            <m:t> </m:t>
          </m:r>
          <m:r>
            <m:rPr>
              <m:sty m:val="p"/>
            </m:rPr>
            <m:t>=</m:t>
          </m:r>
          <m:r>
            <m:rPr>
              <m:sty m:val="p"/>
            </m:rPr>
            <m:t>:</m:t>
          </m:r>
          <m:r>
            <m:t> </m:t>
          </m:r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</m:e>
          </m:d>
        </m:oMath>
      </m:oMathPara>
      <w:bookmarkEnd w:id="26"/>
    </w:p>
    <w:p>
      <w:pPr>
        <w:pStyle w:val="FirstParagraph"/>
      </w:pPr>
      <w:r>
        <w:t xml:space="preserve">and population parameters are estimated by maximizing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i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jointly over the variational</w:t>
      </w:r>
      <w:r>
        <w:t xml:space="preserve"> </w:t>
      </w:r>
      <w:r>
        <w:t xml:space="preserve">parameters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Ω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Because this</w:t>
      </w:r>
      <w:r>
        <w:t xml:space="preserve"> </w:t>
      </w:r>
      <w:r>
        <w:t xml:space="preserve">bound need not be tight, we additionally use the</w:t>
      </w:r>
      <w:r>
        <w:t xml:space="preserve"> </w:t>
      </w:r>
      <m:oMath>
        <m:r>
          <m:t>K</m:t>
        </m:r>
      </m:oMath>
      <w:r>
        <w:t xml:space="preserve">-sample</w:t>
      </w:r>
      <w:r>
        <w:t xml:space="preserve"> </w:t>
      </w:r>
      <w:r>
        <w:t xml:space="preserve">importance-weighted ELBO (IW-ELBO)</w:t>
      </w:r>
      <w:r>
        <w:t xml:space="preserve"> </w:t>
      </w:r>
      <w:r>
        <w:t xml:space="preserve">(Burda, Grosse, and Salakhutdinov 2016)</w:t>
      </w:r>
      <w:r>
        <w:t xml:space="preserve">, defined in</w:t>
      </w:r>
      <w:r>
        <w:t xml:space="preserve"> </w:t>
      </w:r>
      <w:hyperlink w:anchor="eq-iw-elbo">
        <w:r>
          <w:rPr>
            <w:rStyle w:val="Hyperlink"/>
          </w:rPr>
          <w:t xml:space="preserve">Equation 6</w:t>
        </w:r>
      </w:hyperlink>
      <w:r>
        <w:t xml:space="preserve">:</w:t>
      </w:r>
    </w:p>
    <w:p>
      <w:pPr>
        <w:pStyle w:val="BodyText"/>
      </w:pPr>
      <w:bookmarkStart w:id="27" w:name="eq-iw-elbo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i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</m:e>
              </m:d>
            </m:sup>
          </m:sSubSup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Sup>
                <m:e>
                  <m:r>
                    <m:t>η</m:t>
                  </m:r>
                </m:e>
                <m:sub>
                  <m:r>
                    <m:t>i</m:t>
                  </m:r>
                </m:sub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η</m:t>
                  </m:r>
                </m:e>
                <m:sub>
                  <m:r>
                    <m:t>i</m:t>
                  </m:r>
                </m:sub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</m:e>
                  </m:d>
                </m:sup>
              </m:sSubSup>
              <m:limUpp>
                <m:e>
                  <m:r>
                    <m:rPr>
                      <m:sty m:val="p"/>
                    </m:rPr>
                    <m:t>∼</m:t>
                  </m:r>
                </m:e>
                <m:lim>
                  <m:r>
                    <m:rPr>
                      <m:nor/>
                      <m:sty m:val="p"/>
                    </m:rPr>
                    <m:t>iid</m:t>
                  </m:r>
                </m:lim>
              </m:limUpp>
              <m:sSub>
                <m:e>
                  <m:r>
                    <m:t>q</m:t>
                  </m:r>
                </m:e>
                <m:sub>
                  <m:r>
                    <m:t>λ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p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t>η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k</m:t>
                                  </m:r>
                                </m:e>
                              </m:d>
                            </m:sup>
                          </m:sSubSup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θ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Ω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num>
                    <m:den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λ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Sup>
                            <m:e>
                              <m:r>
                                <m:t>η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k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</m:e>
              </m:nary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</m:t>
              </m:r>
            </m:e>
          </m:d>
        </m:oMath>
      </m:oMathPara>
      <w:bookmarkEnd w:id="27"/>
    </w:p>
    <w:p>
      <w:pPr>
        <w:pStyle w:val="FirstParagraph"/>
      </w:pPr>
      <w:r>
        <w:t xml:space="preserve">which is provably a tighter lower bound for larger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converges to</w:t>
      </w:r>
      <w:r>
        <w:t xml:space="preserve"> </w:t>
      </w:r>
      <w:r>
        <w:t xml:space="preserve">the true marginal log-likelihood 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standard ELBO exactly. We fit models at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}</m:t>
        </m:r>
      </m:oMath>
      <w:r>
        <w:t xml:space="preserve"> </w:t>
      </w:r>
      <w:r>
        <w:t xml:space="preserve">throughout,</w:t>
      </w:r>
      <w:r>
        <w:t xml:space="preserve"> </w:t>
      </w:r>
      <w:r>
        <w:t xml:space="preserve">treating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the baseline against which the importance-weighting</w:t>
      </w:r>
      <w:r>
        <w:t xml:space="preserve"> </w:t>
      </w:r>
      <w:r>
        <w:t xml:space="preserve">correction is measured. A post-hoc, higher-precision importance-sampling</w:t>
      </w:r>
      <w:r>
        <w:t xml:space="preserve"> </w:t>
      </w:r>
      <w:r>
        <w:t xml:space="preserve">estimate of the marginal likelihood (independent of the training</w:t>
      </w:r>
      <w:r>
        <w:t xml:space="preserve"> </w:t>
      </w:r>
      <m:oMath>
        <m:r>
          <m:t>K</m:t>
        </m:r>
      </m:oMath>
      <w:r>
        <w:t xml:space="preserve">) is</w:t>
      </w:r>
      <w:r>
        <w:t xml:space="preserve"> </w:t>
      </w:r>
      <w:r>
        <w:t xml:space="preserve">also used to place fitted models on the same objective-function-value</w:t>
      </w:r>
      <w:r>
        <w:t xml:space="preserve"> </w:t>
      </w:r>
      <w:r>
        <w:t xml:space="preserve">(OFV) scale conventionally reported by FOCEI/SAEM software,</w:t>
      </w:r>
      <w: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log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,</m:t>
            </m:r>
            <m:r>
              <m:t>Ω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</w:p>
    <w:bookmarkEnd w:id="28"/>
    <w:bookmarkStart w:id="30" w:name="variational-posterior-families"/>
    <w:p>
      <w:pPr>
        <w:pStyle w:val="Heading3"/>
      </w:pPr>
      <w:r>
        <w:t xml:space="preserve">Variational Posterior Families</w:t>
      </w:r>
    </w:p>
    <w:p>
      <w:pPr>
        <w:pStyle w:val="FirstParagraph"/>
      </w:pPr>
      <w:r>
        <w:t xml:space="preserve">We cross two independent design choices for the variational posterior.</w:t>
      </w:r>
    </w:p>
    <w:p>
      <w:pPr>
        <w:pStyle w:val="BodyText"/>
      </w:pPr>
      <w:r>
        <w:rPr>
          <w:b/>
          <w:bCs/>
        </w:rPr>
        <w:t xml:space="preserve">Free vs. amortized.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free</w:t>
      </w:r>
      <w:r>
        <w:t xml:space="preserve"> </w:t>
      </w:r>
      <w:r>
        <w:t xml:space="preserve">posterior assigns each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its</w:t>
      </w:r>
      <w:r>
        <w:t xml:space="preserve"> </w:t>
      </w:r>
      <w:r>
        <w:t xml:space="preserve">own variational parameters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 optimized</w:t>
      </w:r>
      <w:r>
        <w:t xml:space="preserve"> </w:t>
      </w:r>
      <w:r>
        <w:t xml:space="preserve">independently subject by subject. An</w:t>
      </w:r>
      <w:r>
        <w:t xml:space="preserve"> </w:t>
      </w:r>
      <w:r>
        <w:rPr>
          <w:i/>
          <w:iCs/>
        </w:rPr>
        <w:t xml:space="preserve">amortized</w:t>
      </w:r>
      <w:r>
        <w:t xml:space="preserve"> </w:t>
      </w:r>
      <w:r>
        <w:t xml:space="preserve">posterior instead learns</w:t>
      </w:r>
      <w:r>
        <w:t xml:space="preserve"> </w:t>
      </w:r>
      <w:r>
        <w:t xml:space="preserve">a single shared encoder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ψ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mapping any subject’s</w:t>
      </w:r>
      <w:r>
        <w:t xml:space="preserve"> </w:t>
      </w:r>
      <w:r>
        <w:t xml:space="preserve">observed data directly to variational parameters, so that inference for a</w:t>
      </w:r>
      <w:r>
        <w:t xml:space="preserve"> </w:t>
      </w:r>
      <w:r>
        <w:t xml:space="preserve">new subject requires only a forward pass through</w:t>
      </w:r>
      <w:r>
        <w:t xml:space="preserve"> </w:t>
      </w:r>
      <m:oMath>
        <m:sSub>
          <m:e>
            <m:r>
              <m:t>g</m:t>
            </m:r>
          </m:e>
          <m:sub>
            <m:r>
              <m:t>ψ</m:t>
            </m:r>
          </m:sub>
        </m:sSub>
      </m:oMath>
      <w:r>
        <w:t xml:space="preserve"> </w:t>
      </w:r>
      <w:r>
        <w:t xml:space="preserve">rather than a</w:t>
      </w:r>
      <w:r>
        <w:t xml:space="preserve"> </w:t>
      </w:r>
      <w:r>
        <w:t xml:space="preserve">fresh per-subject optimization, the property that makes amortized VI</w:t>
      </w:r>
      <w:r>
        <w:t xml:space="preserve"> </w:t>
      </w:r>
      <w:r>
        <w:t xml:space="preserve">attractive for reuse across new datasets</w:t>
      </w:r>
      <w:r>
        <w:t xml:space="preserve"> </w:t>
      </w:r>
      <w:r>
        <w:t xml:space="preserve">(Arruda et al. 2024)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Gaussian vs. normalizing flow.</w:t>
      </w:r>
      <w:r>
        <w:t xml:space="preserve"> </w:t>
      </w:r>
      <w:r>
        <w:t xml:space="preserve">Within either posterior architecture,</w:t>
      </w:r>
      <w:r>
        <w:t xml:space="preserve"> </w:t>
      </w:r>
      <w:r>
        <w:t xml:space="preserve">the variational family itself may be a simple diagonal Gaussian,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η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e>
        </m:d>
      </m:oMath>
      <w:r>
        <w:t xml:space="preserve">, or a richer family</w:t>
      </w:r>
      <w:r>
        <w:t xml:space="preserve"> </w:t>
      </w:r>
      <w:r>
        <w:t xml:space="preserve">constructed via a conditional normalizing flow</w:t>
      </w:r>
      <w:r>
        <w:t xml:space="preserve"> </w:t>
      </w:r>
      <w:r>
        <w:t xml:space="preserve">(Rezende and Mohamed 2015; Papamakarios et al. 2021)</w:t>
      </w:r>
      <w:r>
        <w:t xml:space="preserve">. In the flow</w:t>
      </w:r>
      <w:r>
        <w:t xml:space="preserve"> </w:t>
      </w:r>
      <w:r>
        <w:t xml:space="preserve">case, a latent variable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t xml:space="preserve"> </w:t>
      </w:r>
      <w:r>
        <w:t xml:space="preserve">is transformed by an</w:t>
      </w:r>
      <w:r>
        <w:t xml:space="preserve"> </w:t>
      </w:r>
      <w:r>
        <w:t xml:space="preserve">invertible, differentiable map</w:t>
      </w:r>
      <w:r>
        <w:t xml:space="preserve"> </w:t>
      </w:r>
      <m:oMath>
        <m:sSub>
          <m:e>
            <m:r>
              <m:t>h</m:t>
            </m:r>
          </m:e>
          <m:sub>
            <m:r>
              <m:t>ψ</m:t>
            </m:r>
          </m:sub>
        </m:sSub>
      </m:oMath>
      <w:r>
        <w:t xml:space="preserve"> </w:t>
      </w:r>
      <w:r>
        <w:t xml:space="preserve">conditioned on the base</w:t>
      </w:r>
      <w:r>
        <w:t xml:space="preserve"> </w:t>
      </w:r>
      <w:r>
        <w:t xml:space="preserve">posterior’s parameters (</w:t>
      </w:r>
      <w:hyperlink w:anchor="eq-flow-density">
        <w:r>
          <w:rPr>
            <w:rStyle w:val="Hyperlink"/>
          </w:rPr>
          <w:t xml:space="preserve">Equation 7</w:t>
        </w:r>
      </w:hyperlink>
      <w:r>
        <w:t xml:space="preserve">),</w:t>
      </w:r>
    </w:p>
    <w:p>
      <w:pPr>
        <w:pStyle w:val="BodyText"/>
      </w:pPr>
      <w:bookmarkStart w:id="29" w:name="eq-flow-density"/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ψ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log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det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ψ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</m:t>
              </m:r>
            </m:e>
          </m:d>
        </m:oMath>
      </m:oMathPara>
      <w:bookmarkEnd w:id="29"/>
    </w:p>
    <w:p>
      <w:pPr>
        <w:pStyle w:val="FirstParagraph"/>
      </w:pPr>
      <w:r>
        <w:t xml:space="preserve">allowing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represent non-Gaussian posterior shapes (skew,</w:t>
      </w:r>
      <w:r>
        <w:t xml:space="preserve"> </w:t>
      </w:r>
      <w:r>
        <w:t xml:space="preserve">multimodality) that a diagonal Gaussian cannot. Crossing both design axes</w:t>
      </w:r>
      <w:r>
        <w:t xml:space="preserve"> </w:t>
      </w:r>
      <w:r>
        <w:t xml:space="preserve">gives four posterior configurations (free/amortized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Gaussian/flow); as detailed in the Results, one configuration</w:t>
      </w:r>
      <w:r>
        <w:t xml:space="preserve"> </w:t>
      </w:r>
      <w:r>
        <w:t xml:space="preserve">(amortized + flow) is unstable and excluded from headline results.</w:t>
      </w:r>
    </w:p>
    <w:bookmarkEnd w:id="30"/>
    <w:bookmarkStart w:id="31" w:name="training-and-convergence"/>
    <w:p>
      <w:pPr>
        <w:pStyle w:val="Heading3"/>
      </w:pPr>
      <w:r>
        <w:t xml:space="preserve">Training and Convergence</w:t>
      </w:r>
    </w:p>
    <w:p>
      <w:pPr>
        <w:pStyle w:val="FirstParagraph"/>
      </w:pPr>
      <w:r>
        <w:t xml:space="preserve">All models are trained via stochastic gradient ascent on</w:t>
      </w:r>
      <w:r>
        <w:t xml:space="preserve"> </w:t>
      </w:r>
      <m:oMath>
        <m:sSup>
          <m:e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</m:e>
            </m:d>
          </m:sup>
        </m:sSup>
      </m:oMath>
      <w:r>
        <w:t xml:space="preserve"> </w:t>
      </w:r>
      <w:r>
        <w:t xml:space="preserve">using Adam, with training continued adaptively</w:t>
      </w:r>
      <w:r>
        <w:t xml:space="preserve"> </w:t>
      </w:r>
      <w:r>
        <w:t xml:space="preserve">until the estimated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parameters themselves plateau (rather than a</w:t>
      </w:r>
      <w:r>
        <w:t xml:space="preserve"> </w:t>
      </w:r>
      <w:r>
        <w:t xml:space="preserve">fixed step count or loss-based stopping rule, which we found could</w:t>
      </w:r>
      <w:r>
        <w:t xml:space="preserve"> </w:t>
      </w:r>
      <w:r>
        <w:t xml:space="preserve">converge in loss while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was still drifting), subject to a safety</w:t>
      </w:r>
      <w:r>
        <w:t xml:space="preserve"> </w:t>
      </w:r>
      <w:r>
        <w:t xml:space="preserve">cap. The best-performing checkpoint by training objective is retained</w:t>
      </w:r>
      <w:r>
        <w:t xml:space="preserve"> </w:t>
      </w:r>
      <w:r>
        <w:t xml:space="preserve">regardless of where training terminates, guarding against a fit wandering</w:t>
      </w:r>
      <w:r>
        <w:t xml:space="preserve"> </w:t>
      </w:r>
      <w:r>
        <w:t xml:space="preserve">into and remaining in a poor basin late in training.</w:t>
      </w:r>
    </w:p>
    <w:bookmarkEnd w:id="31"/>
    <w:bookmarkStart w:id="33" w:name="simulation-study-design"/>
    <w:p>
      <w:pPr>
        <w:pStyle w:val="Heading3"/>
      </w:pPr>
      <w:r>
        <w:t xml:space="preserve">Simulation Study Design</w:t>
      </w:r>
    </w:p>
    <w:p>
      <w:pPr>
        <w:pStyle w:val="FirstParagraph"/>
      </w:pPr>
      <w:r>
        <w:rPr>
          <w:b/>
          <w:bCs/>
        </w:rPr>
        <w:t xml:space="preserve">Linear tier.</w:t>
      </w:r>
      <w:r>
        <w:t xml:space="preserve"> </w:t>
      </w:r>
      <w:r>
        <w:t xml:space="preserve">A one-compartment oral pharmacokinetic model with</w:t>
      </w:r>
      <w:r>
        <w:t xml:space="preserve"> </w:t>
      </w:r>
      <w:r>
        <w:t xml:space="preserve">first-order absorption and elimination (analytic solution, no numerical</w:t>
      </w:r>
      <w:r>
        <w:t xml:space="preserve"> </w:t>
      </w:r>
      <w:r>
        <w:t xml:space="preserve">integration required) is used as the primary simulated test bed, with</w:t>
      </w:r>
      <w:r>
        <w:t xml:space="preserve"> </w:t>
      </w:r>
      <w:r>
        <w:t xml:space="preserve">population parameters drawn from typical published ranges (clearance</w:t>
      </w:r>
      <w:r>
        <w:t xml:space="preserve"> </w:t>
      </w:r>
      <m:oMath>
        <m:r>
          <m:t>C</m:t>
        </m:r>
        <m:r>
          <m:t>L</m:t>
        </m:r>
      </m:oMath>
      <w:r>
        <w:t xml:space="preserve">, volume</w:t>
      </w:r>
      <w:r>
        <w:t xml:space="preserve"> </w:t>
      </w:r>
      <m:oMath>
        <m:r>
          <m:t>V</m:t>
        </m:r>
      </m:oMath>
      <w:r>
        <w:t xml:space="preserve">, absorption rate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, each with independent</w:t>
      </w:r>
      <w:r>
        <w:t xml:space="preserve"> </w:t>
      </w:r>
      <w:r>
        <w:t xml:space="preserve">between-subject variability, and multiplicative residual error</w:t>
      </w:r>
      <w:r>
        <w:t xml:space="preserve"> </w:t>
      </w:r>
      <m:oMath>
        <m:r>
          <m:t>σ</m:t>
        </m:r>
      </m:oMath>
      <w:r>
        <w:t xml:space="preserve">).</w:t>
      </w:r>
      <w:r>
        <w:t xml:space="preserve"> </w:t>
      </w:r>
      <w:r>
        <w:t xml:space="preserve">Two sampling designs are compared at matched</w:t>
      </w:r>
      <w:r>
        <w:t xml:space="preserve"> </w:t>
      </w:r>
      <m:oMath>
        <m:r>
          <m:t>K</m:t>
        </m:r>
      </m:oMath>
      <w:r>
        <w:t xml:space="preserve">: a dense design with six</w:t>
      </w:r>
      <w:r>
        <w:t xml:space="preserve"> </w:t>
      </w:r>
      <w:r>
        <w:t xml:space="preserve">observation times per subject, and a sparse design with fewer, more</w:t>
      </w:r>
      <w:r>
        <w:t xml:space="preserve"> </w:t>
      </w:r>
      <w:r>
        <w:t xml:space="preserve">widely spaced observations, to test whether the plain-ELBO bias</w:t>
      </w:r>
      <w:r>
        <w:t xml:space="preserve"> </w:t>
      </w:r>
      <w:r>
        <w:t xml:space="preserve">interacts with the identifiability of the sampling schedule itself.</w:t>
      </w:r>
    </w:p>
    <w:p>
      <w:pPr>
        <w:pStyle w:val="BodyText"/>
      </w:pPr>
      <w:r>
        <w:rPr>
          <w:b/>
          <w:bCs/>
        </w:rPr>
        <w:t xml:space="preserve">Nonlinear tier.</w:t>
      </w:r>
      <w:r>
        <w:t xml:space="preserve"> </w:t>
      </w:r>
      <w:r>
        <w:t xml:space="preserve">A one-compartment intravenous bolus model with</w:t>
      </w:r>
      <w:r>
        <w:t xml:space="preserve"> </w:t>
      </w:r>
      <w:r>
        <w:t xml:space="preserve">saturable, Michaelis-Menten elimination (</w:t>
      </w:r>
      <w:hyperlink w:anchor="eq-michaelis-menten">
        <w:r>
          <w:rPr>
            <w:rStyle w:val="Hyperlink"/>
          </w:rPr>
          <w:t xml:space="preserve">Equation 8</w:t>
        </w:r>
      </w:hyperlink>
      <w:r>
        <w:t xml:space="preserve">),</w:t>
      </w:r>
    </w:p>
    <w:p>
      <w:pPr>
        <w:pStyle w:val="BodyText"/>
      </w:pPr>
      <w:bookmarkStart w:id="32" w:name="eq-michaelis-menten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A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V</m:t>
                  </m:r>
                </m:e>
              </m:d>
            </m:num>
            <m:den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V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D</m:t>
          </m:r>
          <m:r>
            <m:rPr>
              <m:sty m:val="p"/>
            </m:rPr>
            <m:t>o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</m:e>
          </m:d>
        </m:oMath>
      </m:oMathPara>
      <w:bookmarkEnd w:id="32"/>
    </w:p>
    <w:p>
      <w:pPr>
        <w:pStyle w:val="FirstParagraph"/>
      </w:pPr>
      <w:r>
        <w:t xml:space="preserve">has no closed-form solution and is integrated numerically (fixed-step</w:t>
      </w:r>
      <w:r>
        <w:t xml:space="preserve"> </w:t>
      </w:r>
      <w:r>
        <w:t xml:space="preserve">RK4) at every training step, providing a genuinely nonlinear test of</w:t>
      </w:r>
      <w:r>
        <w:t xml:space="preserve"> </w:t>
      </w:r>
      <w:r>
        <w:t xml:space="preserve">whether the plain-ELBO bias and its correction survive outside the</w:t>
      </w:r>
      <w:r>
        <w:t xml:space="preserve"> </w:t>
      </w:r>
      <w:r>
        <w:t xml:space="preserve">analytically convenient linear case. Between-subject variability is</w:t>
      </w:r>
      <w:r>
        <w:t xml:space="preserve"> </w:t>
      </w:r>
      <w:r>
        <w:t xml:space="preserve">placed on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only, with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estimated as a fixed effect</w:t>
      </w:r>
      <w:r>
        <w:t xml:space="preserve"> </w:t>
      </w:r>
      <w:r>
        <w:t xml:space="preserve">without a random effect. This restriction is used because placing independent</w:t>
      </w:r>
      <w:r>
        <w:t xml:space="preserve"> </w:t>
      </w:r>
      <w:r>
        <w:t xml:space="preserve">between-subject variability on both Michaelis-Menten parameters</w:t>
      </w:r>
      <w:r>
        <w:t xml:space="preserve"> </w:t>
      </w:r>
      <w:r>
        <w:t xml:space="preserve">simultaneously is a recognized cross-method identifiability difficulty in</w:t>
      </w:r>
      <w:r>
        <w:t xml:space="preserve"> </w:t>
      </w:r>
      <w:r>
        <w:t xml:space="preserve">nonlinear mixed-effects modeling of saturable kinetics, not specific to</w:t>
      </w:r>
      <w:r>
        <w:t xml:space="preserve"> </w:t>
      </w:r>
      <w:r>
        <w:t xml:space="preserve">variational inference, and because this was directly confirmed</w:t>
      </w:r>
      <w:r>
        <w:t xml:space="preserve"> </w:t>
      </w:r>
      <w:r>
        <w:t xml:space="preserve">empirically in preliminary analyses (see Results). The dosing and</w:t>
      </w:r>
      <w:r>
        <w:t xml:space="preserve"> </w:t>
      </w:r>
      <w:r>
        <w:t xml:space="preserve">sampling design (dose and an observation window spanning approximately</w:t>
      </w:r>
      <w:r>
        <w:t xml:space="preserve"> </w:t>
      </w:r>
      <w:r>
        <w:t xml:space="preserve">60 hours) was chosen specifically to ensure the simulated concentration</w:t>
      </w:r>
      <w:r>
        <w:t xml:space="preserve"> </w:t>
      </w:r>
      <w:r>
        <w:t xml:space="preserve">trajectory crosses from the fully saturated regime into the first-order</w:t>
      </w:r>
      <w:r>
        <w:t xml:space="preserve"> </w:t>
      </w:r>
      <w:r>
        <w:t xml:space="preserve">elimination regime within the observation window; simulation confirmed</w:t>
      </w:r>
      <w:r>
        <w:t xml:space="preserve"> </w:t>
      </w:r>
      <w:r>
        <w:t xml:space="preserve">that a substantially shorter window remains entirely within the</w:t>
      </w:r>
      <w:r>
        <w:t xml:space="preserve"> </w:t>
      </w:r>
      <w:r>
        <w:t xml:space="preserve">saturated regime, in which the Michaelis-Menten equation is structurally</w:t>
      </w:r>
      <w:r>
        <w:t xml:space="preserve"> </w:t>
      </w:r>
      <w:r>
        <w:t xml:space="preserve">insensitive to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, and does not permit identification of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’s</w:t>
      </w:r>
      <w:r>
        <w:t xml:space="preserve"> </w:t>
      </w:r>
      <w:r>
        <w:t xml:space="preserve">population value at all, independent of any variational-inference</w:t>
      </w:r>
      <w:r>
        <w:t xml:space="preserve"> </w:t>
      </w:r>
      <w:r>
        <w:t xml:space="preserve">consideration.</w:t>
      </w:r>
    </w:p>
    <w:p>
      <w:pPr>
        <w:pStyle w:val="BodyText"/>
      </w:pPr>
      <w:r>
        <w:rPr>
          <w:b/>
          <w:bCs/>
        </w:rPr>
        <w:t xml:space="preserve">Design consistency.</w:t>
      </w:r>
      <w:r>
        <w:t xml:space="preserve"> </w:t>
      </w:r>
      <w:r>
        <w:t xml:space="preserve">Throughout, a single random seed generates one</w:t>
      </w:r>
      <w:r>
        <w:t xml:space="preserve"> </w:t>
      </w:r>
      <w:r>
        <w:t xml:space="preserve">simulated dataset per replicate, and every estimation-method arm being</w:t>
      </w:r>
      <w:r>
        <w:t xml:space="preserve"> </w:t>
      </w:r>
      <w:r>
        <w:t xml:space="preserve">compared (posterior architecture, family,</w:t>
      </w:r>
      <w:r>
        <w:t xml:space="preserve"> </w:t>
      </w:r>
      <m:oMath>
        <m:r>
          <m:t>K</m:t>
        </m:r>
      </m:oMath>
      <w:r>
        <w:t xml:space="preserve">) is fit to the identical</w:t>
      </w:r>
      <w:r>
        <w:t xml:space="preserve"> </w:t>
      </w:r>
      <w:r>
        <w:t xml:space="preserve">dataset, so that differences between arms reflect only the estimation</w:t>
      </w:r>
      <w:r>
        <w:t xml:space="preserve"> </w:t>
      </w:r>
      <w:r>
        <w:t xml:space="preserve">method and not sampling variability in the simulated data.</w:t>
      </w:r>
    </w:p>
    <w:bookmarkEnd w:id="33"/>
    <w:bookmarkStart w:id="34" w:name="real-data-validation"/>
    <w:p>
      <w:pPr>
        <w:pStyle w:val="Heading3"/>
      </w:pPr>
      <w:r>
        <w:t xml:space="preserve">Real-Data Validation</w:t>
      </w:r>
    </w:p>
    <w:p>
      <w:pPr>
        <w:pStyle w:val="FirstParagraph"/>
      </w:pPr>
      <w:r>
        <w:t xml:space="preserve">Two independent, publicly available pharmacokinetic datasets are used to</w:t>
      </w:r>
      <w:r>
        <w:t xml:space="preserve"> </w:t>
      </w:r>
      <w:r>
        <w:t xml:space="preserve">test whether the simulation-derived findings reproduce on real data,</w:t>
      </w:r>
      <w:r>
        <w:t xml:space="preserve"> </w:t>
      </w:r>
      <w:r>
        <w:t xml:space="preserve">where, unlike simulation, no ground truth is available and the</w:t>
      </w:r>
      <w:r>
        <w:t xml:space="preserve"> </w:t>
      </w:r>
      <w:r>
        <w:t xml:space="preserve">signature to look for is instead internal consistency: whether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under-reports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on the identical dataset, and</w:t>
      </w:r>
      <w:r>
        <w:t xml:space="preserve"> </w:t>
      </w:r>
      <w:r>
        <w:t xml:space="preserve">whether fixed-effect estimates are externally plausible.</w:t>
      </w:r>
    </w:p>
    <w:p>
      <w:pPr>
        <w:pStyle w:val="BodyText"/>
      </w:pPr>
      <w:r>
        <w:rPr>
          <w:b/>
          <w:bCs/>
        </w:rPr>
        <w:t xml:space="preserve">Theophylline.</w:t>
      </w:r>
      <w:r>
        <w:t xml:space="preserve"> </w:t>
      </w:r>
      <w:r>
        <w:t xml:space="preserve">The Boeckmann/Sheiner/Beal theophylline dataset</w:t>
      </w:r>
      <w:r>
        <w:t xml:space="preserve"> </w:t>
      </w:r>
      <w:r>
        <w:t xml:space="preserve">(Boeckmann, Sheiner, and Beal 1994)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subjects, oral dosing) is loaded</w:t>
      </w:r>
      <w:r>
        <w:t xml:space="preserve"> </w:t>
      </w:r>
      <w:r>
        <w:t xml:space="preserve">programmatically rather than transcribed by hand.</w:t>
      </w:r>
    </w:p>
    <w:p>
      <w:pPr>
        <w:pStyle w:val="BodyText"/>
      </w:pPr>
      <w:r>
        <w:rPr>
          <w:b/>
          <w:bCs/>
        </w:rPr>
        <w:t xml:space="preserve">Warfarin.</w:t>
      </w:r>
      <w:r>
        <w:t xml:space="preserve"> </w:t>
      </w:r>
      <w:r>
        <w:t xml:space="preserve">The classical warfarin pharmacokinetic/pharmacodynamic</w:t>
      </w:r>
      <w:r>
        <w:t xml:space="preserve"> </w:t>
      </w:r>
      <w:r>
        <w:t xml:space="preserve">dataset</w:t>
      </w:r>
      <w:r>
        <w:t xml:space="preserve"> </w:t>
      </w:r>
      <w:r>
        <w:t xml:space="preserve">(O’Reilly and Aggeler 1968)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33</m:t>
        </m:r>
      </m:oMath>
      <w:r>
        <w:t xml:space="preserve"> </w:t>
      </w:r>
      <w:r>
        <w:t xml:space="preserve">subjects, single oral dose) is</w:t>
      </w:r>
      <w:r>
        <w:t xml:space="preserve"> </w:t>
      </w:r>
      <w:r>
        <w:t xml:space="preserve">used, restricted to its pharmacokinetic (plasma concentration) endpoint;</w:t>
      </w:r>
      <w:r>
        <w:t xml:space="preserve"> </w:t>
      </w:r>
      <w:r>
        <w:t xml:space="preserve">the dataset also contains a pharmacodynamic (prothrombin complex</w:t>
      </w:r>
      <w:r>
        <w:t xml:space="preserve"> </w:t>
      </w:r>
      <w:r>
        <w:t xml:space="preserve">activity) endpoint not modeled here. Fitted fixed effects are compared</w:t>
      </w:r>
      <w:r>
        <w:t xml:space="preserve"> </w:t>
      </w:r>
      <w:r>
        <w:t xml:space="preserve">directly against an independently published FOCEI fit of this dataset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nlmixr2</w:t>
      </w:r>
      <w:r>
        <w:t xml:space="preserve"> </w:t>
      </w:r>
      <w:r>
        <w:t xml:space="preserve">software package</w:t>
      </w:r>
      <w:r>
        <w:t xml:space="preserve"> </w:t>
      </w:r>
      <w:r>
        <w:t xml:space="preserve">(Fidler et al. 2019)</w:t>
      </w:r>
      <w:r>
        <w:t xml:space="preserve">, which uses a</w:t>
      </w:r>
      <w:r>
        <w:t xml:space="preserve"> </w:t>
      </w:r>
      <w:r>
        <w:t xml:space="preserve">more detailed two-step transit-compartment absorption structure than the</w:t>
      </w:r>
      <w:r>
        <w:t xml:space="preserve"> </w:t>
      </w:r>
      <w:r>
        <w:t xml:space="preserve">simple first-order absorption model used here.</w:t>
      </w:r>
    </w:p>
    <w:bookmarkEnd w:id="34"/>
    <w:bookmarkStart w:id="35" w:name="X9310f459cbd48a4e3f1a26f50c8e0433e42ffeb"/>
    <w:p>
      <w:pPr>
        <w:pStyle w:val="Heading3"/>
      </w:pPr>
      <w:r>
        <w:t xml:space="preserve">Diagnostics: Importance-Sampling Effective Sample Size</w:t>
      </w:r>
    </w:p>
    <w:p>
      <w:pPr>
        <w:pStyle w:val="FirstParagraph"/>
      </w:pPr>
      <w:r>
        <w:t xml:space="preserve">Because no ground truth is available on real data, we additionally</w:t>
      </w:r>
      <w:r>
        <w:t xml:space="preserve"> </w:t>
      </w:r>
      <w:r>
        <w:t xml:space="preserve">characterize a diagnostic derived from the post-hoc importance-sampling</w:t>
      </w:r>
      <w:r>
        <w:t xml:space="preserve"> </w:t>
      </w:r>
      <w:r>
        <w:t xml:space="preserve">marginal-likelihood estimate: the effective sample size (ESS) of the</w:t>
      </w:r>
      <w:r>
        <w:t xml:space="preserve"> </w:t>
      </w:r>
      <w:r>
        <w:t xml:space="preserve">importance weights, which should be low when the variational posterior is</w:t>
      </w:r>
      <w:r>
        <w:t xml:space="preserve"> </w:t>
      </w:r>
      <w:r>
        <w:t xml:space="preserve">a poor approximation to the true posterior (as when a fit is</w:t>
      </w:r>
      <w:r>
        <w:t xml:space="preserve"> </w:t>
      </w:r>
      <w:r>
        <w:t xml:space="preserve">under-trained) and high when it is a good approximation. This diagnostic</w:t>
      </w:r>
      <w:r>
        <w:t xml:space="preserve"> </w:t>
      </w:r>
      <w:r>
        <w:t xml:space="preserve">is validated by deliberately comparing well-converged and</w:t>
      </w:r>
      <w:r>
        <w:t xml:space="preserve"> </w:t>
      </w:r>
      <w:r>
        <w:t xml:space="preserve">deliberately under-trained fits on identical simulated data and testing</w:t>
      </w:r>
      <w:r>
        <w:t xml:space="preserve"> </w:t>
      </w:r>
      <w:r>
        <w:t xml:space="preserve">whether ESS separates the two groups.</w:t>
      </w:r>
    </w:p>
    <w:bookmarkEnd w:id="35"/>
    <w:bookmarkStart w:id="38" w:name="likelihood-ratio-test-calibration"/>
    <w:p>
      <w:pPr>
        <w:pStyle w:val="Heading3"/>
      </w:pPr>
      <w:r>
        <w:t xml:space="preserve">Likelihood-Ratio Test Calibration</w:t>
      </w:r>
    </w:p>
    <w:p>
      <w:pPr>
        <w:pStyle w:val="FirstParagraph"/>
      </w:pPr>
      <w:r>
        <w:t xml:space="preserve">To test whether the marginal likelihood recovered via importance sampling</w:t>
      </w:r>
      <w:r>
        <w:t xml:space="preserve"> </w:t>
      </w:r>
      <w:r>
        <w:t xml:space="preserve">is valid for likelihood-ratio-based model comparison, we simulate data</w:t>
      </w:r>
      <w:r>
        <w:t xml:space="preserve"> </w:t>
      </w:r>
      <w:r>
        <w:t xml:space="preserve">under a null hypothesis in which one random effect’s variance is exactly</w:t>
      </w:r>
      <w:r>
        <w:t xml:space="preserve"> </w:t>
      </w:r>
      <w:r>
        <w:t xml:space="preserve">zero, fit both a reduced model (without that random effect) and a full</w:t>
      </w:r>
      <w:r>
        <w:t xml:space="preserve"> </w:t>
      </w:r>
      <w:r>
        <w:t xml:space="preserve">model (with it) to the identical simulated data, and compare the</w:t>
      </w:r>
      <w:r>
        <w:t xml:space="preserve"> </w:t>
      </w:r>
      <w:r>
        <w:t xml:space="preserve">empirical distribution of</w:t>
      </w:r>
      <w:r>
        <w:t xml:space="preserve"> </w:t>
      </w:r>
      <w:hyperlink w:anchor="eq-delta-ofv">
        <w:r>
          <w:rPr>
            <w:rStyle w:val="Hyperlink"/>
          </w:rPr>
          <w:t xml:space="preserve">Equation 9</w:t>
        </w:r>
      </w:hyperlink>
      <w:r>
        <w:t xml:space="preserve">,</w:t>
      </w:r>
    </w:p>
    <w:p>
      <w:pPr>
        <w:pStyle w:val="BodyText"/>
      </w:pPr>
      <w:bookmarkStart w:id="36" w:name="eq-delta-ofv"/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reduced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full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</m:e>
          </m:d>
        </m:oMath>
      </m:oMathPara>
      <w:bookmarkEnd w:id="36"/>
    </w:p>
    <w:p>
      <w:pPr>
        <w:pStyle w:val="FirstParagraph"/>
      </w:pPr>
      <w:r>
        <w:t xml:space="preserve">against its correct theoretical reference distribution. Testing a</w:t>
      </w:r>
      <w:r>
        <w:t xml:space="preserve"> </w:t>
      </w:r>
      <w:r>
        <w:t xml:space="preserve">variance component against the boundary of its parameter space</w:t>
      </w:r>
      <w:r>
        <w:t xml:space="preserve"> </w:t>
      </w:r>
      <w:r>
        <w:t xml:space="preserve">(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≥</m:t>
        </m:r>
        <m:r>
          <m:t>0</m:t>
        </m:r>
      </m:oMath>
      <w:r>
        <w:t xml:space="preserve">) is a non-regular testing problem: under the null,</w:t>
      </w:r>
      <w:r>
        <w:t xml:space="preserve"> </w:t>
      </w:r>
      <w:r>
        <w:t xml:space="preserve">the boundary constraint means the reduced model’s likelihood exceeds the</w:t>
      </w:r>
      <w:r>
        <w:t xml:space="preserve"> </w:t>
      </w:r>
      <w:r>
        <w:t xml:space="preserve">full model’s roughly half the time by chance alone, and the correct</w:t>
      </w:r>
      <w:r>
        <w:t xml:space="preserve"> </w:t>
      </w:r>
      <w:r>
        <w:t xml:space="preserve">asymptotic reference distribution is not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but the Self-Liang</w:t>
      </w:r>
      <w:r>
        <w:t xml:space="preserve"> </w:t>
      </w:r>
      <w:r>
        <w:t xml:space="preserve">boundary mixture</w:t>
      </w:r>
      <w:r>
        <w:t xml:space="preserve"> </w:t>
      </w:r>
      <w:r>
        <w:t xml:space="preserve">(Self and Liang 1987)</w:t>
      </w:r>
      <w:r>
        <w:t xml:space="preserve"> </w:t>
      </w:r>
      <w:r>
        <w:t xml:space="preserve">in</w:t>
      </w:r>
      <w:r>
        <w:t xml:space="preserve"> </w:t>
      </w:r>
      <w:hyperlink w:anchor="eq-self-liang-mixture">
        <w:r>
          <w:rPr>
            <w:rStyle w:val="Hyperlink"/>
          </w:rPr>
          <w:t xml:space="preserve">Equation 10</w:t>
        </w:r>
      </w:hyperlink>
      <w:r>
        <w:t xml:space="preserve">:</w:t>
      </w:r>
    </w:p>
    <w:p>
      <w:pPr>
        <w:pStyle w:val="BodyText"/>
      </w:pPr>
      <w:bookmarkStart w:id="37" w:name="eq-self-liang-mixture"/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V</m:t>
          </m:r>
          <m:r>
            <m:t> </m:t>
          </m:r>
          <m:r>
            <m:rPr>
              <m:sty m:val="p"/>
            </m:rPr>
            <m:t>|</m:t>
          </m:r>
          <m:r>
            <m:t> 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t> </m:t>
          </m:r>
          <m:r>
            <m:rPr>
              <m:sty m:val="p"/>
            </m:rPr>
            <m:t>∼</m:t>
          </m:r>
          <m:r>
            <m:t> 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t>δ</m:t>
              </m:r>
            </m:e>
            <m:sub>
              <m:r>
                <m:t>0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</m:t>
              </m:r>
            </m:e>
          </m:d>
        </m:oMath>
      </m:oMathPara>
      <w:bookmarkEnd w:id="37"/>
    </w:p>
    <w:p>
      <w:pPr>
        <w:pStyle w:val="FirstParagraph"/>
      </w:pPr>
      <w:r>
        <w:t xml:space="preserve">a 50:50 mixture of a point mass at zero and a standard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random</w:t>
      </w:r>
      <w:r>
        <w:t xml:space="preserve"> </w:t>
      </w:r>
      <w:r>
        <w:t xml:space="preserve">variable with one degree of freedom. Calibrating against the naive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reference instead would produce a silently underpowered test</w:t>
      </w:r>
      <w:r>
        <w:t xml:space="preserve"> </w:t>
      </w:r>
      <w:r>
        <w:t xml:space="preserve">(the naive test’s nominal 5% type-I error rate corresponds to only 2.5%</w:t>
      </w:r>
      <w:r>
        <w:t xml:space="preserve"> </w:t>
      </w:r>
      <w:r>
        <w:t xml:space="preserve">under the true mixture reference); we calibrate against the correct</w:t>
      </w:r>
      <w:r>
        <w:t xml:space="preserve"> </w:t>
      </w:r>
      <w:r>
        <w:t xml:space="preserve">mixture throughout, evaluating both the fraction of null replicates</w:t>
      </w:r>
      <w:r>
        <w:t xml:space="preserve"> </w:t>
      </w:r>
      <w:r>
        <w:t xml:space="preserve">landing at the boundary (expected</w:t>
      </w:r>
      <w:r>
        <w:t xml:space="preserve"> </w:t>
      </w:r>
      <m:oMath>
        <m:r>
          <m:rPr>
            <m:sty m:val="p"/>
          </m:rPr>
          <m:t>≈</m:t>
        </m:r>
        <m:r>
          <m:t>50</m:t>
        </m:r>
        <m:r>
          <m:rPr>
            <m:sty m:val="p"/>
          </m:rPr>
          <m:t>%</m:t>
        </m:r>
      </m:oMath>
      <w:r>
        <w:t xml:space="preserve">) and, for the</w:t>
      </w:r>
      <w:r>
        <w:t xml:space="preserve"> </w:t>
      </w:r>
      <w:r>
        <w:t xml:space="preserve">strictly-positive replicates, a Kolmogorov-Smirnov test against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"/>
    <w:bookmarkStart w:id="39" w:name="Xc7c61f44d96ad4acd70c24a88fe636278ec5bc8"/>
    <w:p>
      <w:pPr>
        <w:pStyle w:val="Heading3"/>
      </w:pPr>
      <w:r>
        <w:t xml:space="preserve">Comparison to Established Estimation Methods</w:t>
      </w:r>
    </w:p>
    <w:p>
      <w:pPr>
        <w:pStyle w:val="FirstParagraph"/>
      </w:pPr>
      <w:r>
        <w:t xml:space="preserve">FOCEI and SAEM baseline fits are obtained via the</w:t>
      </w:r>
      <w:r>
        <w:t xml:space="preserve"> </w:t>
      </w:r>
      <w:r>
        <w:rPr>
          <w:rStyle w:val="VerbatimChar"/>
        </w:rPr>
        <w:t xml:space="preserve">nlmixr2</w:t>
      </w:r>
      <w:r>
        <w:t xml:space="preserve"> </w:t>
      </w:r>
      <w:r>
        <w:t xml:space="preserve">R package</w:t>
      </w:r>
      <w:r>
        <w:t xml:space="preserve"> </w:t>
      </w:r>
      <w:r>
        <w:t xml:space="preserve">(Fidler et al. 2019)</w:t>
      </w:r>
      <w:r>
        <w:t xml:space="preserve">, using a structural model and log-normal residual</w:t>
      </w:r>
      <w:r>
        <w:t xml:space="preserve"> </w:t>
      </w:r>
      <w:r>
        <w:t xml:space="preserve">error model matched exactly to the variational-inference side’s</w:t>
      </w:r>
      <w:r>
        <w:t xml:space="preserve"> </w:t>
      </w:r>
      <w:r>
        <w:rPr>
          <w:rStyle w:val="VerbatimChar"/>
        </w:rPr>
        <w:t xml:space="preserve">OneCmtOral</w:t>
      </w:r>
      <w:r>
        <w:t xml:space="preserve">, with identical parameterization (</w:t>
      </w:r>
      <m:oMath>
        <m:r>
          <m:rPr>
            <m:sty m:val="p"/>
          </m:rPr>
          <m:t>log</m:t>
        </m:r>
        <m:r>
          <m:t>C</m:t>
        </m:r>
        <m:r>
          <m:t>L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C</m:t>
            </m:r>
            <m:r>
              <m:t>L</m:t>
            </m:r>
          </m:sub>
        </m:sSub>
        <m:r>
          <m:rPr>
            <m:sty m:val="p"/>
          </m:rPr>
          <m:t>+</m:t>
        </m:r>
        <m:sSub>
          <m:e>
            <m:r>
              <m:t>η</m:t>
            </m:r>
          </m:e>
          <m:sub>
            <m:r>
              <m:t>C</m:t>
            </m:r>
            <m:r>
              <m:t>L</m:t>
            </m:r>
          </m:sub>
        </m:sSub>
      </m:oMath>
      <w:r>
        <w:t xml:space="preserve">, and analogously for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), and the same off-truth</w:t>
      </w:r>
      <w:r>
        <w:t xml:space="preserve"> </w:t>
      </w:r>
      <w:r>
        <w:t xml:space="preserve">initial values used throughout this work for both estimation approaches,</w:t>
      </w:r>
      <w:r>
        <w:t xml:space="preserve"> </w:t>
      </w:r>
      <w:r>
        <w:t xml:space="preserve">so that neither starts closer to the truth than the other. The</w:t>
      </w:r>
      <w:r>
        <w:t xml:space="preserve"> </w:t>
      </w:r>
      <w:r>
        <w:t xml:space="preserve">comparison uses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subjects and 20 replicate simulated datasets,</w:t>
      </w:r>
      <w:r>
        <w:t xml:space="preserve"> </w:t>
      </w:r>
      <w:r>
        <w:t xml:space="preserve">matching the scale used for the linear-tier simulation study above; each</w:t>
      </w:r>
      <w:r>
        <w:t xml:space="preserve"> </w:t>
      </w:r>
      <w:r>
        <w:t xml:space="preserve">replicate is fit once by FOCEI, once by SAEM, and by variational</w:t>
      </w:r>
      <w:r>
        <w:t xml:space="preserve"> </w:t>
      </w:r>
      <w:r>
        <w:t xml:space="preserve">inference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, all on the identical simulated dataset.</w:t>
      </w:r>
      <w:r>
        <w:t xml:space="preserve"> </w:t>
      </w:r>
      <w:r>
        <w:t xml:space="preserve">Process CPU time was not reliably captured for the FOCEI and SAEM fits</w:t>
      </w:r>
      <w:r>
        <w:t xml:space="preserve"> </w:t>
      </w:r>
      <w:r>
        <w:t xml:space="preserve">in the current baseline pipeline; therefore, the baseline comparison is</w:t>
      </w:r>
      <w:r>
        <w:t xml:space="preserve"> </w:t>
      </w:r>
      <w:r>
        <w:t xml:space="preserve">restricted to estimation accuracy, and runtime is treated as a limitation</w:t>
      </w:r>
      <w:r>
        <w:t xml:space="preserve"> </w:t>
      </w:r>
      <w:r>
        <w:t xml:space="preserve">rather than a reported result.</w:t>
      </w:r>
    </w:p>
    <w:bookmarkEnd w:id="39"/>
    <w:bookmarkStart w:id="40" w:name="software-and-computational-environment"/>
    <w:p>
      <w:pPr>
        <w:pStyle w:val="Heading3"/>
      </w:pPr>
      <w:r>
        <w:t xml:space="preserve">Software and Computational Environment</w:t>
      </w:r>
    </w:p>
    <w:p>
      <w:pPr>
        <w:pStyle w:val="FirstParagraph"/>
      </w:pPr>
      <w:r>
        <w:t xml:space="preserve">All variational inference models are implemented in PyTorch</w:t>
      </w:r>
      <w:r>
        <w:t xml:space="preserve"> </w:t>
      </w:r>
      <w:r>
        <w:t xml:space="preserve">(Paszke et al. 2019)</w:t>
      </w:r>
      <w:r>
        <w:t xml:space="preserve">. FOCEI and SAEM baseline fits use the</w:t>
      </w:r>
      <w:r>
        <w:t xml:space="preserve"> </w:t>
      </w:r>
      <w:r>
        <w:rPr>
          <w:rStyle w:val="VerbatimChar"/>
        </w:rPr>
        <w:t xml:space="preserve">nlmixr2</w:t>
      </w:r>
      <w:r>
        <w:t xml:space="preserve"> </w:t>
      </w:r>
      <w:r>
        <w:t xml:space="preserve">R</w:t>
      </w:r>
      <w:r>
        <w:t xml:space="preserve"> </w:t>
      </w:r>
      <w:r>
        <w:t xml:space="preserve">package</w:t>
      </w:r>
      <w:r>
        <w:t xml:space="preserve"> </w:t>
      </w:r>
      <w:r>
        <w:t xml:space="preserve">(Fidler et al. 2019)</w:t>
      </w:r>
      <w:r>
        <w:t xml:space="preserve">.</w:t>
      </w:r>
    </w:p>
    <w:bookmarkEnd w:id="40"/>
    <w:bookmarkEnd w:id="41"/>
    <w:bookmarkStart w:id="82" w:name="results"/>
    <w:p>
      <w:pPr>
        <w:pStyle w:val="Heading2"/>
      </w:pPr>
      <w:r>
        <w:t xml:space="preserve">Results</w:t>
      </w:r>
    </w:p>
    <w:bookmarkStart w:id="48" w:name="X0a7d3ca6f436af520c04ca990f64bcab85b215a"/>
    <w:p>
      <w:pPr>
        <w:pStyle w:val="Heading3"/>
      </w:pPr>
      <w:r>
        <w:t xml:space="preserve">Plain-ELBO Variational Inference Underestimates Random-Effect Variance</w:t>
      </w:r>
    </w:p>
    <w:p>
      <w:pPr>
        <w:pStyle w:val="FirstParagraph"/>
      </w:pPr>
      <w:r>
        <w:t xml:space="preserve">On the linear one-compartment model with known ground truth, plain-ELBO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 fitting systematically underestimates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across both free</w:t>
      </w:r>
      <w:r>
        <w:t xml:space="preserve"> </w:t>
      </w:r>
      <w:r>
        <w:t xml:space="preserve">and amortized posteriors, with the bias substantially reduced by</w:t>
      </w:r>
      <w:r>
        <w:t xml:space="preserve"> </w:t>
      </w:r>
      <w:r>
        <w:t xml:space="preserve">importance-weighting (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), as shown in</w:t>
      </w:r>
      <w:r>
        <w:t xml:space="preserve"> </w:t>
      </w:r>
      <w:hyperlink w:anchor="fig-phase0-omega-bia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summarized in</w:t>
      </w:r>
      <w:r>
        <w:t xml:space="preserve"> </w:t>
      </w:r>
      <w:hyperlink w:anchor="tbl-phase0-headline">
        <w:r>
          <w:rPr>
            <w:rStyle w:val="Hyperlink"/>
          </w:rPr>
          <w:t xml:space="preserve">Table 1</w:t>
        </w:r>
      </w:hyperlink>
      <w:r>
        <w:t xml:space="preserve">. Fixed effects (clearance, volume,</w:t>
      </w:r>
      <w:r>
        <w:t xml:space="preserve"> </w:t>
      </w:r>
      <w:r>
        <w:t xml:space="preserve">absorption rate) show no corresponding bias at any</w:t>
      </w:r>
      <w:r>
        <w:t xml:space="preserve"> </w:t>
      </w:r>
      <m:oMath>
        <m:r>
          <m:t>K</m:t>
        </m:r>
      </m:oMath>
      <w:r>
        <w:t xml:space="preserve">, confirming that</w:t>
      </w:r>
      <w:r>
        <w:t xml:space="preserve"> </w:t>
      </w:r>
      <w:r>
        <w:t xml:space="preserve">the phenomenon is specific to variance-component estimation rather than</w:t>
      </w:r>
      <w:r>
        <w:t xml:space="preserve"> </w:t>
      </w:r>
      <w:r>
        <w:t xml:space="preserve">a general estimation problem with the variational approach</w:t>
      </w:r>
      <w:r>
        <w:t xml:space="preserve"> </w:t>
      </w:r>
      <w:r>
        <w:t xml:space="preserve">(</w:t>
      </w:r>
      <w:hyperlink w:anchor="tbl-phase0-fixed-effect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phase0-omega-bias"/>
          <w:p>
            <w:pPr>
              <w:pStyle w:val="Compact"/>
              <w:jc w:val="center"/>
            </w:pPr>
            <w:r>
              <w:drawing>
                <wp:inline>
                  <wp:extent cx="5334000" cy="203661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publication/figures/fig_phase0_omega_bias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Omega bias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shown separately for free and amortized posteriors</w:t>
            </w:r>
            <w:r>
              <w:t xml:space="preserve"> </w:t>
            </w:r>
            <w:r>
              <w:t xml:space="preserve">under the Gaussian variational family. The dashed line marks zero bias.</w:t>
            </w:r>
            <w:r>
              <w:t xml:space="preserve"> </w:t>
            </w:r>
            <w:r>
              <w:t xml:space="preserve">Error bars show the standard error across replicates.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phase0-headli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Mean relative bias (%) in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by posterior architecture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posterior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mean_bias_pct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sd_bias_pct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n_estimates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-47.83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39.58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-13.45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35.79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-16.5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14.09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-5.79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-9.67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13.43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-2.61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13.74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-47.43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42.03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-8.91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33.74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-16.38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13.58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-6.75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16.45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-9.0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phase0-fixed-effec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Mean relative bias (%) in fixed effects and residual error, by</w:t>
            </w:r>
            <w:r>
              <w:t xml:space="preserve"> </w:t>
            </w:r>
            <w:r>
              <w:t xml:space="preserve">posterior architecture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as a validation check against the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table above: fixed effects are expected to remain near zero</w:t>
            </w:r>
            <w:r>
              <w:t xml:space="preserve"> </w:t>
            </w:r>
            <w:r>
              <w:t xml:space="preserve">bias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unlike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posterior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mean_bias_pct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sd_bias_pct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n_estimates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-3.94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-4.07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2.89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3.89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amortized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3.69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-4.03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2.66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-3.2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3.46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-3.13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</w:tr>
          </w:tbl>
          <w:bookmarkEnd w:id="47"/>
          <w:p/>
        </w:tc>
      </w:tr>
    </w:tbl>
    <w:bookmarkEnd w:id="48"/>
    <w:bookmarkStart w:id="55" w:name="X2e3645864005c2b393e97a0d5efe83c375538e7"/>
    <w:p>
      <w:pPr>
        <w:pStyle w:val="Heading3"/>
      </w:pPr>
      <w:r>
        <w:t xml:space="preserve">Sparse Sampling Designs and Richer Variational Families</w:t>
      </w:r>
    </w:p>
    <w:p>
      <w:pPr>
        <w:pStyle w:val="FirstParagraph"/>
      </w:pPr>
      <w:r>
        <w:t xml:space="preserve">Sparse sampling designs roughly double the plain-ELBO bias relative to</w:t>
      </w:r>
      <w:r>
        <w:t xml:space="preserve"> </w:t>
      </w:r>
      <w:r>
        <w:t xml:space="preserve">dense sampling at matched</w:t>
      </w:r>
      <w:r>
        <w:t xml:space="preserve"> </w:t>
      </w:r>
      <m:oMath>
        <m:r>
          <m:t>K</m:t>
        </m:r>
      </m:oMath>
      <w:r>
        <w:t xml:space="preserve">, consistent with the mechanism being one of</w:t>
      </w:r>
      <w:r>
        <w:t xml:space="preserve"> </w:t>
      </w:r>
      <w:r>
        <w:t xml:space="preserve">identifiability: whichever random effect the sampling design least</w:t>
      </w:r>
      <w:r>
        <w:t xml:space="preserve"> </w:t>
      </w:r>
      <w:r>
        <w:t xml:space="preserve">constrains shrinks the most under plain-ELBO training. Independently, a</w:t>
      </w:r>
      <w:r>
        <w:t xml:space="preserve"> </w:t>
      </w:r>
      <w:r>
        <w:t xml:space="preserve">richer variational family (normalizing flow) closes most of the gap that</w:t>
      </w:r>
      <w:r>
        <w:t xml:space="preserve"> </w:t>
      </w:r>
      <w:r>
        <w:t xml:space="preserve">importance-weighting alone leaves at low</w:t>
      </w:r>
      <w:r>
        <w:t xml:space="preserve"> </w:t>
      </w:r>
      <m:oMath>
        <m:r>
          <m:t>K</m:t>
        </m:r>
      </m:oMath>
      <w:r>
        <w:t xml:space="preserve">, with the free posterior</w:t>
      </w:r>
      <w:r>
        <w:t xml:space="preserve"> </w:t>
      </w:r>
      <w:r>
        <w:t xml:space="preserve">under the flow family showing negligible bias even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dense</w:t>
      </w:r>
      <w:r>
        <w:t xml:space="preserve"> </w:t>
      </w:r>
      <w:r>
        <w:t xml:space="preserve">design (</w:t>
      </w:r>
      <w:hyperlink w:anchor="fig-phase1-grid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and</w:t>
      </w:r>
      <w:r>
        <w:t xml:space="preserve"> </w:t>
      </w:r>
      <w:hyperlink w:anchor="tbl-phase1-q2q4">
        <w:r>
          <w:rPr>
            <w:rStyle w:val="Hyperlink"/>
          </w:rPr>
          <w:t xml:space="preserve">Table 3</w:t>
        </w:r>
      </w:hyperlink>
      <w:r>
        <w:t xml:space="preserve">). Fixed-effect and</w:t>
      </w:r>
      <w:r>
        <w:t xml:space="preserve"> </w:t>
      </w:r>
      <w:r>
        <w:t xml:space="preserve">residual-error estimates remain near the data-generating values across</w:t>
      </w:r>
      <w:r>
        <w:t xml:space="preserve"> </w:t>
      </w:r>
      <w:r>
        <w:t xml:space="preserve">the same grid (</w:t>
      </w:r>
      <w:hyperlink w:anchor="tbl-phase1-q2q4-fixed-effects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phase1-grid"/>
          <w:p>
            <w:pPr>
              <w:pStyle w:val="Compact"/>
              <w:jc w:val="center"/>
            </w:pPr>
            <w:r>
              <w:drawing>
                <wp:inline>
                  <wp:extent cx="5046020" cy="733966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publication/figures/fig_phase1_grid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6020" cy="7339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Omega bias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faceted by sampling design (rows) and variational</w:t>
            </w:r>
            <w:r>
              <w:t xml:space="preserve"> </w:t>
            </w:r>
            <w:r>
              <w:t xml:space="preserve">family (columns), with one line per posterior architecture in each</w:t>
            </w:r>
            <w:r>
              <w:t xml:space="preserve"> </w:t>
            </w:r>
            <w:r>
              <w:t xml:space="preserve">panel.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phase1-q2q4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Mean relative bias (%) in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by sampling design, posterior</w:t>
            </w:r>
            <w:r>
              <w:t xml:space="preserve"> </w:t>
            </w:r>
            <w:r>
              <w:t xml:space="preserve">architecture, variational family,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scenario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posterior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family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mean_bias_pct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sd_bias_pct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n_estimates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-3.0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10.55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-19.27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-18.06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26.08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-5.21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</w:tbl>
          <w:bookmarkEnd w:id="5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phase1-q2q4-fixed-effec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Mean relative bias (%) in fixed effects and residual error, same</w:t>
            </w:r>
            <w:r>
              <w:t xml:space="preserve"> </w:t>
            </w:r>
            <w:r>
              <w:t xml:space="preserve">grouping as above, as a validation check.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scenario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posterior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family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mean_bias_pct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sd_bias_pct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n_estimates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</w:tr>
          </w:tbl>
          <w:bookmarkEnd w:id="54"/>
          <w:p/>
        </w:tc>
      </w:tr>
    </w:tbl>
    <w:p>
      <w:pPr>
        <w:pStyle w:val="BodyText"/>
      </w:pPr>
      <w:r>
        <w:t xml:space="preserve">One posterior configuration, an amortized posterior combined with the</w:t>
      </w:r>
      <w:r>
        <w:t xml:space="preserve"> </w:t>
      </w:r>
      <w:r>
        <w:t xml:space="preserve">normalizing-flow family, is unstable across every tested value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is excluded from the results above. Rather than 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-specific</w:t>
      </w:r>
      <w:r>
        <w:t xml:space="preserve"> </w:t>
      </w:r>
      <w:r>
        <w:t xml:space="preserve">problem, this combination shows a comparable rate of flagged,</w:t>
      </w:r>
      <w:r>
        <w:t xml:space="preserve"> </w:t>
      </w:r>
      <w:r>
        <w:t xml:space="preserve">substantially divergent fits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alike; higher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changes the character of the failure (from occasional gross</w:t>
      </w:r>
      <w:r>
        <w:t xml:space="preserve"> </w:t>
      </w:r>
      <w:r>
        <w:t xml:space="preserve">divergence to more consistent convergence onto a stable but incorrect</w:t>
      </w:r>
      <w:r>
        <w:t xml:space="preserve"> </w:t>
      </w:r>
      <w:r>
        <w:t xml:space="preserve">estimate) without reducing its frequency. We attribute this to the</w:t>
      </w:r>
      <w:r>
        <w:t xml:space="preserve"> </w:t>
      </w:r>
      <w:r>
        <w:t xml:space="preserve">amortized encoder’s output serving a double role under this</w:t>
      </w:r>
      <w:r>
        <w:t xml:space="preserve"> </w:t>
      </w:r>
      <w:r>
        <w:t xml:space="preserve">configuration. It simultaneously defines the flow’s base distribution</w:t>
      </w:r>
      <w:r>
        <w:t xml:space="preserve"> </w:t>
      </w:r>
      <w:r>
        <w:t xml:space="preserve">and its conditioning input, creating a moving optimization target not</w:t>
      </w:r>
      <w:r>
        <w:t xml:space="preserve"> </w:t>
      </w:r>
      <w:r>
        <w:t xml:space="preserve">present when either the posterior is not amortized or the family is not</w:t>
      </w:r>
      <w:r>
        <w:t xml:space="preserve"> </w:t>
      </w:r>
      <w:r>
        <w:t xml:space="preserve">a flow.</w:t>
      </w:r>
    </w:p>
    <w:bookmarkEnd w:id="55"/>
    <w:bookmarkStart w:id="61" w:name="nonlinear-elimination-kinetics"/>
    <w:p>
      <w:pPr>
        <w:pStyle w:val="Heading3"/>
      </w:pPr>
      <w:r>
        <w:t xml:space="preserve">Nonlinear Elimination Kinetics</w:t>
      </w:r>
    </w:p>
    <w:p>
      <w:pPr>
        <w:pStyle w:val="FirstParagraph"/>
      </w:pPr>
      <w:r>
        <w:t xml:space="preserve">Extending to the Michaelis-Menten elimination model, an initial attempt</w:t>
      </w:r>
      <w:r>
        <w:t xml:space="preserve"> </w:t>
      </w:r>
      <w:r>
        <w:t xml:space="preserve">to place between-subject variability on both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simultaneously showed severe, stable bias in</w:t>
      </w:r>
      <w:r>
        <w:t xml:space="preserve"> </w:t>
      </w:r>
      <m:oMath>
        <m:sSub>
          <m:e>
            <m:r>
              <m:t>Ω</m:t>
            </m:r>
          </m:e>
          <m:sub>
            <m:sSub>
              <m:e>
                <m:r>
                  <m:t>K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(on the order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90</m:t>
        </m:r>
        <m:r>
          <m:rPr>
            <m:sty m:val="p"/>
          </m:rPr>
          <m:t>%</m:t>
        </m:r>
      </m:oMath>
      <w:r>
        <w:t xml:space="preserve">) that did not improve with additional training</w:t>
      </w:r>
      <w:r>
        <w:t xml:space="preserve"> </w:t>
      </w:r>
      <w:r>
        <w:t xml:space="preserve">steps or a redesigned sampling window, while</w:t>
      </w:r>
      <w:r>
        <w:t xml:space="preserve"> </w:t>
      </w:r>
      <m:oMath>
        <m:sSub>
          <m:e>
            <m:r>
              <m:t>Ω</m:t>
            </m:r>
          </m:e>
          <m:sub>
            <m:sSub>
              <m:e>
                <m:r>
                  <m:t>V</m:t>
                </m:r>
              </m:e>
              <m:sub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</m:sub>
        </m:sSub>
      </m:oMath>
      <w:r>
        <w:t xml:space="preserve">’s bias</w:t>
      </w:r>
      <w:r>
        <w:t xml:space="preserve"> </w:t>
      </w:r>
      <w:r>
        <w:t xml:space="preserve">remained modest throughout. This pattern is consistent with a genuine</w:t>
      </w:r>
      <w:r>
        <w:t xml:space="preserve"> </w:t>
      </w:r>
      <w:r>
        <w:t xml:space="preserve">structural identifiability limitation of estimating variability on both</w:t>
      </w:r>
      <w:r>
        <w:t xml:space="preserve"> </w:t>
      </w:r>
      <w:r>
        <w:t xml:space="preserve">Michaelis-Menten parameters simultaneously, a difficulty recognized in</w:t>
      </w:r>
      <w:r>
        <w:t xml:space="preserve"> </w:t>
      </w:r>
      <w:r>
        <w:t xml:space="preserve">standard pharmacometric practice for saturable-kinetics models and not</w:t>
      </w:r>
      <w:r>
        <w:t xml:space="preserve"> </w:t>
      </w:r>
      <w:r>
        <w:t xml:space="preserve">specific to variational inference. Restricting between-subject</w:t>
      </w:r>
      <w:r>
        <w:t xml:space="preserve"> </w:t>
      </w:r>
      <w:r>
        <w:t xml:space="preserve">variability to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only, with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retained as a</w:t>
      </w:r>
      <w:r>
        <w:t xml:space="preserve"> </w:t>
      </w:r>
      <w:r>
        <w:t xml:space="preserve">population-level fixed effect, resolves this: fixed effects recover</w:t>
      </w:r>
      <w:r>
        <w:t xml:space="preserve"> </w:t>
      </w:r>
      <w:r>
        <w:t xml:space="preserve">cleanly, and the same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-to-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shrinkage-and-correction signature</w:t>
      </w:r>
      <w:r>
        <w:t xml:space="preserve"> </w:t>
      </w:r>
      <w:r>
        <w:t xml:space="preserve">seen in the linear tier reproduces on</w:t>
      </w:r>
      <w:r>
        <w:t xml:space="preserve"> </w:t>
      </w:r>
      <m:oMath>
        <m:sSub>
          <m:e>
            <m:r>
              <m:t>Ω</m:t>
            </m:r>
          </m:e>
          <m:sub>
            <m:sSub>
              <m:e>
                <m:r>
                  <m:t>V</m:t>
                </m:r>
              </m:e>
              <m:sub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Ω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(</w:t>
      </w:r>
      <w:hyperlink w:anchor="fig-phase1-nonlinea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and</w:t>
      </w:r>
      <w:r>
        <w:t xml:space="preserve"> </w:t>
      </w:r>
      <w:hyperlink w:anchor="tbl-phase1-q3-nonlinear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phase1-nonlinear"/>
          <w:p>
            <w:pPr>
              <w:pStyle w:val="Compact"/>
              <w:jc w:val="center"/>
            </w:pPr>
            <w:r>
              <w:drawing>
                <wp:inline>
                  <wp:extent cx="5334000" cy="40005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publication/figures/fig_phase1_nonlinear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Omega bias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for the Michaelis-Menten elimination model, free</w:t>
            </w:r>
            <w:r>
              <w:t xml:space="preserve"> </w:t>
            </w:r>
            <w:r>
              <w:t xml:space="preserve">posterior, Gaussian family, restricted 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random</w:t>
            </w:r>
            <w:r>
              <w:t xml:space="preserve"> </w:t>
            </w:r>
            <w:r>
              <w:t xml:space="preserve">effects.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tbl-phase1-q3-nonlinea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Mean parameter estimates, ground-truth values, relative bias (%), and</w:t>
            </w:r>
            <w:r>
              <w:t xml:space="preserve"> </w:t>
            </w:r>
            <w:r>
              <w:t xml:space="preserve">converged fraction for the Michaelis-Menten elimination model.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posterior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family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mean_estimate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truth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mean_bias_pct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frac_converged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-1.984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30.145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Vmax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8.011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-3.929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om_Vmax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1.976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-1.196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30.113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Vmax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7.898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-1.279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-1.066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om_Vmax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-1.062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1.983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-0.867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30.299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Vmax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7.886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-1.421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om_Vmax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-0.207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-2.043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</w:tr>
          </w:tbl>
          <w:bookmarkEnd w:id="60"/>
          <w:p/>
        </w:tc>
      </w:tr>
    </w:tbl>
    <w:p>
      <w:pPr>
        <w:pStyle w:val="BodyText"/>
      </w:pPr>
      <w:r>
        <w:t xml:space="preserve">We additionally tested the amortized posterior on this same nonlinear</w:t>
      </w:r>
      <w:r>
        <w:t xml:space="preserve"> </w:t>
      </w:r>
      <w:r>
        <w:t xml:space="preserve">model and found a distinct, substantial instability. This failure mode is</w:t>
      </w:r>
      <w:r>
        <w:t xml:space="preserve"> </w:t>
      </w:r>
      <w:r>
        <w:t xml:space="preserve">separate from the amortized-flow instability described above because no</w:t>
      </w:r>
      <w:r>
        <w:t xml:space="preserve"> </w:t>
      </w:r>
      <w:r>
        <w:t xml:space="preserve">flow is involved. In this setting,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bias increased rather than</w:t>
      </w:r>
      <w:r>
        <w:t xml:space="preserve"> </w:t>
      </w:r>
      <w:r>
        <w:t xml:space="preserve">decreased with</w:t>
      </w:r>
      <w:r>
        <w:t xml:space="preserve"> </w:t>
      </w:r>
      <m:oMath>
        <m:r>
          <m:t>K</m:t>
        </m:r>
      </m:oMath>
      <w:r>
        <w:t xml:space="preserve">, and a non-trivial fraction of fits failed to converge</w:t>
      </w:r>
      <w:r>
        <w:t xml:space="preserve"> </w:t>
      </w:r>
      <w:r>
        <w:t xml:space="preserve">within the training budget. Results using the amortized posterior on this</w:t>
      </w:r>
      <w:r>
        <w:t xml:space="preserve"> </w:t>
      </w:r>
      <w:r>
        <w:t xml:space="preserve">model are therefore excluded from the table and figure above.</w:t>
      </w:r>
    </w:p>
    <w:bookmarkEnd w:id="61"/>
    <w:bookmarkStart w:id="67" w:name="real-data-validation-1"/>
    <w:p>
      <w:pPr>
        <w:pStyle w:val="Heading3"/>
      </w:pPr>
      <w:r>
        <w:t xml:space="preserve">Real-Data Validation</w:t>
      </w:r>
    </w:p>
    <w:p>
      <w:pPr>
        <w:pStyle w:val="FirstParagraph"/>
      </w:pPr>
      <w:r>
        <w:t xml:space="preserve">Both real pharmacokinetic datasets reproduce the plain-ELBO shrinkage</w:t>
      </w:r>
      <w:r>
        <w:t xml:space="preserve"> </w:t>
      </w:r>
      <w:r>
        <w:t xml:space="preserve">signature identified in simulation: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reports smaller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than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on the identical dataset, with the clearance random effect</w:t>
      </w:r>
      <w:r>
        <w:t xml:space="preserve"> </w:t>
      </w:r>
      <w:r>
        <w:t xml:space="preserve">showing the least shrinkage of the three, consistent with clearance</w:t>
      </w:r>
      <w:r>
        <w:t xml:space="preserve"> </w:t>
      </w:r>
      <w:r>
        <w:t xml:space="preserve">being the most robustly identified parameter throughout the simulated</w:t>
      </w:r>
      <w:r>
        <w:t xml:space="preserve"> </w:t>
      </w:r>
      <w:r>
        <w:t xml:space="preserve">results above (</w:t>
      </w:r>
      <w:hyperlink w:anchor="fig-realdata-k1-vs-khigh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and</w:t>
      </w:r>
      <w:r>
        <w:t xml:space="preserve"> </w:t>
      </w:r>
      <w:hyperlink w:anchor="tbl-realdata-k1-vs-khigh">
        <w:r>
          <w:rPr>
            <w:rStyle w:val="Hyperlink"/>
          </w:rPr>
          <w:t xml:space="preserve">Table 6</w:t>
        </w:r>
      </w:hyperlink>
      <w:r>
        <w:t xml:space="preserve">). On warfarin, fixed-effect estimates for</w:t>
      </w:r>
      <w:r>
        <w:t xml:space="preserve"> </w:t>
      </w:r>
      <w:r>
        <w:t xml:space="preserve">clearance and volume of distribution fall inside the published 95%</w:t>
      </w:r>
      <w:r>
        <w:t xml:space="preserve"> </w:t>
      </w:r>
      <w:r>
        <w:t xml:space="preserve">confidence intervals of an independently fitted FOCEI model on the same</w:t>
      </w:r>
      <w:r>
        <w:t xml:space="preserve"> </w:t>
      </w:r>
      <w:r>
        <w:t xml:space="preserve">data</w:t>
      </w:r>
      <w:r>
        <w:t xml:space="preserve"> </w:t>
      </w:r>
      <w:r>
        <w:t xml:space="preserve">(Fidler et al. 2019)</w:t>
      </w:r>
      <w:r>
        <w:t xml:space="preserve"> </w:t>
      </w:r>
      <w:r>
        <w:t xml:space="preserve">despite this work’s simpler one-compartment,</w:t>
      </w:r>
      <w:r>
        <w:t xml:space="preserve"> </w:t>
      </w:r>
      <w:r>
        <w:t xml:space="preserve">single-step absorption structure versus the published model’s two-step</w:t>
      </w:r>
      <w:r>
        <w:t xml:space="preserve"> </w:t>
      </w:r>
      <w:r>
        <w:t xml:space="preserve">transit-compartment absorption. This provides external agreement on the</w:t>
      </w:r>
      <w:r>
        <w:t xml:space="preserve"> </w:t>
      </w:r>
      <w:r>
        <w:t xml:space="preserve">parameters that should agree given the shared elimination structure,</w:t>
      </w:r>
      <w:r>
        <w:t xml:space="preserve"> </w:t>
      </w:r>
      <w:r>
        <w:t xml:space="preserve">not merely a directional match.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realdata-k1-vs-khigh"/>
          <w:p>
            <w:pPr>
              <w:pStyle w:val="Compact"/>
              <w:jc w:val="center"/>
            </w:pPr>
            <w:r>
              <w:drawing>
                <wp:inline>
                  <wp:extent cx="5334000" cy="224027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publication/figures/fig_realdata_k1_vs_khigh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402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Omega estimates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t xml:space="preserve"> </w:t>
            </w:r>
            <w:r>
              <w:t xml:space="preserve">for each dataset, by parameter.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tbl-realdata-k1-vs-khigh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Parameter estimates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t xml:space="preserve"> </w:t>
            </w:r>
            <w:r>
              <w:t xml:space="preserve">for both real datasets, and</w:t>
            </w:r>
            <w:r>
              <w:t xml:space="preserve"> </w:t>
            </w:r>
            <w:r>
              <w:t xml:space="preserve">their percent difference.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K_low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estimate_K_low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K_high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estimate_K_high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pct_diff_low_vs_high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theophylline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0.0399780823466852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0.0403340132607083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theophylline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0.4624260144796536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0.4517957541038435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theophylline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1.285871545824862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1.3432511476026092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-4.27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theophylline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0.2449826753381065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0.25468847097044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-3.81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theophylline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0.0921426595674207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0.1127060108431509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-18.25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theophylline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0.6463371431773433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0.6819586125133786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-5.22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theophylline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0.1801019692209916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0.1718191712865529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4.82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warfarin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0.1324849190874699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0.1295015835469587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warfarin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7.938745771567575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8.019921779494958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warfarin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0.6168926858265219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0.6366073514523212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-3.1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warfarin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0.2783230432587028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0.276191849365181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warfarin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0.1895398792983538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0.2073812546980456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-8.6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warfarin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0.811148050786541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0.9777563030380608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-17.04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warfarin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0.2072281419688492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0.2029462916515008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2.11</w:t>
                  </w:r>
                </w:p>
              </w:tc>
            </w:tr>
          </w:tbl>
          <w:bookmarkEnd w:id="66"/>
          <w:p/>
        </w:tc>
      </w:tr>
    </w:tbl>
    <w:bookmarkEnd w:id="67"/>
    <w:bookmarkStart w:id="73" w:name="X627c9ea9ed2633dce633e0bb7f5cd1bb2177e8b"/>
    <w:p>
      <w:pPr>
        <w:pStyle w:val="Heading3"/>
      </w:pPr>
      <w:r>
        <w:t xml:space="preserve">Diagnosing Fit Quality via Effective Sample Size</w:t>
      </w:r>
    </w:p>
    <w:p>
      <w:pPr>
        <w:pStyle w:val="FirstParagraph"/>
      </w:pPr>
      <w:r>
        <w:t xml:space="preserve">Mean importance-sampling effective sample size cleanly separates</w:t>
      </w:r>
      <w:r>
        <w:t xml:space="preserve"> </w:t>
      </w:r>
      <w:r>
        <w:t xml:space="preserve">deliberately under-trained fits from well-converged fits on matched</w:t>
      </w:r>
      <w:r>
        <w:t xml:space="preserve"> </w:t>
      </w:r>
      <w:r>
        <w:t xml:space="preserve">simulated data (</w:t>
      </w:r>
      <w:hyperlink w:anchor="fig-psis-ess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and</w:t>
      </w:r>
      <w:r>
        <w:t xml:space="preserve"> </w:t>
      </w:r>
      <w:hyperlink w:anchor="tbl-psis-ess">
        <w:r>
          <w:rPr>
            <w:rStyle w:val="Hyperlink"/>
          </w:rPr>
          <w:t xml:space="preserve">Table 7</w:t>
        </w:r>
      </w:hyperlink>
      <w:r>
        <w:t xml:space="preserve">), supporting its use as</w:t>
      </w:r>
      <w:r>
        <w:t xml:space="preserve"> </w:t>
      </w:r>
      <w:r>
        <w:t xml:space="preserve">a practical diagnostic on real data where no ground truth is available</w:t>
      </w:r>
      <w:r>
        <w:t xml:space="preserve"> </w:t>
      </w:r>
      <w:r>
        <w:t xml:space="preserve">to check convergence directly. A fixed per-subject tail-count threshold</w:t>
      </w:r>
      <w:r>
        <w:t xml:space="preserve"> </w:t>
      </w:r>
      <w:r>
        <w:t xml:space="preserve">does not separate the two groups</w:t>
      </w:r>
      <w:r>
        <w:t xml:space="preserve"> </w:t>
      </w:r>
      <w:r>
        <w:t xml:space="preserve">as cleanly, reflecting genuine subject-to-subject variation in fit</w:t>
      </w:r>
      <w:r>
        <w:t xml:space="preserve"> </w:t>
      </w:r>
      <w:r>
        <w:t xml:space="preserve">difficulty independent of overall training adequacy; we therefore</w:t>
      </w:r>
      <w:r>
        <w:t xml:space="preserve"> </w:t>
      </w:r>
      <w:r>
        <w:t xml:space="preserve">recommend the aggregate (mean or median) ESS as the primary diagnostic,</w:t>
      </w:r>
      <w:r>
        <w:t xml:space="preserve"> </w:t>
      </w:r>
      <w:r>
        <w:t xml:space="preserve">not a fixed per-subject threshold.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psis-ess"/>
          <w:p>
            <w:pPr>
              <w:pStyle w:val="Compact"/>
              <w:jc w:val="center"/>
            </w:pPr>
            <w:r>
              <w:drawing>
                <wp:inline>
                  <wp:extent cx="5334000" cy="40005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publication/figures/fig_psis_ess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Per-subject effective sample size distribution, well-converged versus</w:t>
            </w:r>
            <w:r>
              <w:t xml:space="preserve"> </w:t>
            </w:r>
            <w:r>
              <w:t xml:space="preserve">deliberately under-trained fits on identical data.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tbl-psis-es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Aggregate effective sample size by fit-quality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1204.2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1175.7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2846.5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1788.7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1790.8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3217.0</w:t>
                  </w:r>
                </w:p>
              </w:tc>
            </w:tr>
          </w:tbl>
          <w:bookmarkEnd w:id="72"/>
          <w:p/>
        </w:tc>
      </w:tr>
    </w:tbl>
    <w:bookmarkEnd w:id="73"/>
    <w:bookmarkStart w:id="79" w:name="X81e26ee250042c7e8ed204a0b244bb633406c84"/>
    <w:p>
      <w:pPr>
        <w:pStyle w:val="Heading3"/>
      </w:pPr>
      <w:r>
        <w:t xml:space="preserve">Validity of the Recovered Likelihood for Model Selection</w:t>
      </w:r>
    </w:p>
    <w:p>
      <w:pPr>
        <w:pStyle w:val="FirstParagraph"/>
      </w:pPr>
      <w:r>
        <w:t xml:space="preserve">Likelihood-ratio tests built on the free posterior’s recovered marginal</w:t>
      </w:r>
      <w:r>
        <w:t xml:space="preserve"> </w:t>
      </w:r>
      <w:r>
        <w:t xml:space="preserve">likelihood are miscalibrated against the correct Self-Liang boundary</w:t>
      </w:r>
      <w:r>
        <w:t xml:space="preserve"> </w:t>
      </w:r>
      <w:r>
        <w:t xml:space="preserve">mixture reference for testing whether a random effect’s variance is</w:t>
      </w:r>
      <w:r>
        <w:t xml:space="preserve"> </w:t>
      </w:r>
      <w:r>
        <w:t xml:space="preserve">zero, with substantially too few null replicates landing at the</w:t>
      </w:r>
      <w:r>
        <w:t xml:space="preserve"> </w:t>
      </w:r>
      <w:r>
        <w:t xml:space="preserve">theoretical boundary (</w:t>
      </w:r>
      <w:hyperlink w:anchor="fig-deltaofv-calibration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and</w:t>
      </w:r>
      <w:r>
        <w:t xml:space="preserve"> </w:t>
      </w:r>
      <w:hyperlink w:anchor="tbl-deltaofv-calibration">
        <w:r>
          <w:rPr>
            <w:rStyle w:val="Hyperlink"/>
          </w:rPr>
          <w:t xml:space="preserve">Table 8</w:t>
        </w:r>
      </w:hyperlink>
      <w:r>
        <w:t xml:space="preserve">). This is not explained by insufficient</w:t>
      </w:r>
      <w:r>
        <w:t xml:space="preserve"> </w:t>
      </w:r>
      <w:r>
        <w:t xml:space="preserve">post-hoc importance-sampling precision (increasing the post-hoc</w:t>
      </w:r>
      <w:r>
        <w:t xml:space="preserve"> </w:t>
      </w:r>
      <w:r>
        <w:t xml:space="preserve">evaluation sample size by 5-fold left the calibration essentially</w:t>
      </w:r>
      <w:r>
        <w:t xml:space="preserve"> </w:t>
      </w:r>
      <w:r>
        <w:t xml:space="preserve">unchanged, including a specific highly discrepant replicate’s</w:t>
      </w:r>
      <w:r>
        <w:t xml:space="preserve"> </w:t>
      </w:r>
      <m:oMath>
        <m:r>
          <m:t>Δ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V</m:t>
        </m:r>
      </m:oMath>
      <w:r>
        <w:t xml:space="preserve"> </w:t>
      </w:r>
      <w:r>
        <w:t xml:space="preserve">value, which stayed nearly frozen despite the</w:t>
      </w:r>
      <w:r>
        <w:t xml:space="preserve"> </w:t>
      </w:r>
      <w:r>
        <w:t xml:space="preserve">increase, consistent with a systematic rather than finite-sample-noise</w:t>
      </w:r>
      <w:r>
        <w:t xml:space="preserve"> </w:t>
      </w:r>
      <w:r>
        <w:t xml:space="preserve">effect) nor by non-convergence. Switching to an amortized posterior for</w:t>
      </w:r>
      <w:r>
        <w:t xml:space="preserve"> </w:t>
      </w:r>
      <w:r>
        <w:t xml:space="preserve">this comparison corrects the boundary-mass component of the</w:t>
      </w:r>
      <w:r>
        <w:t xml:space="preserve"> </w:t>
      </w:r>
      <w:r>
        <w:t xml:space="preserve">miscalibration, reproducibly at two independent replicate counts, though</w:t>
      </w:r>
      <w:r>
        <w:t xml:space="preserve"> </w:t>
      </w:r>
      <w:r>
        <w:t xml:space="preserve">a smaller residual deviation in the shape of the non-boundary</w:t>
      </w:r>
      <w:r>
        <w:t xml:space="preserve"> </w:t>
      </w:r>
      <w:r>
        <w:t xml:space="preserve">distribution remains and is not yet explained. We attribute the free</w:t>
      </w:r>
      <w:r>
        <w:t xml:space="preserve"> </w:t>
      </w:r>
      <w:r>
        <w:t xml:space="preserve">posterior’s miscalibration to an effective-degrees-of-freedom mismatch:</w:t>
      </w:r>
      <w:r>
        <w:t xml:space="preserve"> </w:t>
      </w:r>
      <w:r>
        <w:t xml:space="preserve">the free posterior grants the more-complex model in a nested comparison</w:t>
      </w:r>
      <w:r>
        <w:t xml:space="preserve"> </w:t>
      </w:r>
      <w:r>
        <w:t xml:space="preserve">one additional free variational parameter pair</w:t>
      </w:r>
      <w:r>
        <w:t xml:space="preserve"> </w:t>
      </w:r>
      <w:r>
        <w:rPr>
          <w:i/>
          <w:iCs/>
        </w:rPr>
        <w:t xml:space="preserve">per subject</w:t>
      </w:r>
      <w:r>
        <w:t xml:space="preserve">, far</w:t>
      </w:r>
      <w:r>
        <w:t xml:space="preserve"> </w:t>
      </w:r>
      <w:r>
        <w:t xml:space="preserve">exceeding the single population-level parameter nominally being tested,</w:t>
      </w:r>
      <w:r>
        <w:t xml:space="preserve"> </w:t>
      </w:r>
      <w:r>
        <w:t xml:space="preserve">which classical asymptotic theory (including the correct boundary-mixture</w:t>
      </w:r>
      <w:r>
        <w:t xml:space="preserve"> </w:t>
      </w:r>
      <w:r>
        <w:t xml:space="preserve">reference) does not account for; an amortized posterior’s shared encoder</w:t>
      </w:r>
      <w:r>
        <w:t xml:space="preserve"> </w:t>
      </w:r>
      <w:r>
        <w:t xml:space="preserve">does not introduce this per-subject asymmetry.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deltaofv-calibration"/>
          <w:p>
            <w:pPr>
              <w:pStyle w:val="Compact"/>
              <w:jc w:val="center"/>
            </w:pPr>
            <w:r>
              <w:drawing>
                <wp:inline>
                  <wp:extent cx="5334000" cy="40005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publication/figures/fig_deltaofv_calibration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Empirical</w:t>
            </w:r>
            <w: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V</m:t>
              </m:r>
            </m:oMath>
            <w:r>
              <w:t xml:space="preserve"> </w:t>
            </w:r>
            <w:r>
              <w:t xml:space="preserve">distribution under the null hypothesis,</w:t>
            </w:r>
            <w:r>
              <w:t xml:space="preserve"> </w:t>
            </w:r>
            <w:r>
              <w:t xml:space="preserve">free versus amortized posterior, against the theoretical Self-Liang</w:t>
            </w:r>
            <w:r>
              <w:t xml:space="preserve"> </w:t>
            </w:r>
            <w:r>
              <w:t xml:space="preserve">mixture reference density.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tbl-deltaofv-calibr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</w:t>
            </w:r>
            <w: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V</m:t>
              </m:r>
            </m:oMath>
            <w:r>
              <w:t xml:space="preserve"> </w:t>
            </w:r>
            <w:r>
              <w:t xml:space="preserve">calibration summary: boundary fraction,</w:t>
            </w:r>
            <w:r>
              <w:t xml:space="preserve"> </w:t>
            </w:r>
            <w:r>
              <w:t xml:space="preserve">Kolmogorov-Smirnov statistic and p-value against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t xml:space="preserve">strictly-positive replicates, and empirical type-I error of the correct</w:t>
            </w:r>
            <w:r>
              <w:t xml:space="preserve"> </w:t>
            </w:r>
            <w:r>
              <w:t xml:space="preserve">boundary-mixture test.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condition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n_reps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boundary_fraction_pct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n_negative_dofv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ks_stat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ks_p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type1_error_correct_test_pct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free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25.0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0.2922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6.0</w:t>
                  </w:r>
                </w:p>
              </w:tc>
            </w:tr>
          </w:tbl>
          <w:bookmarkEnd w:id="78"/>
          <w:p/>
        </w:tc>
      </w:tr>
    </w:tbl>
    <w:p>
      <w:pPr>
        <w:pStyle w:val="BodyText"/>
      </w:pPr>
      <w:r>
        <w:t xml:space="preserve">This finding is scoped specifically to likelihood-ratio comparisons that</w:t>
      </w:r>
      <w:r>
        <w:t xml:space="preserve"> </w:t>
      </w:r>
      <w:r>
        <w:t xml:space="preserve">change the number of random effects; it does not affect the</w:t>
      </w:r>
      <w:r>
        <w:t xml:space="preserve"> </w:t>
      </w:r>
      <m:oMath>
        <m:r>
          <m:t>Ω</m:t>
        </m:r>
      </m:oMath>
      <w:r>
        <w:t xml:space="preserve">-bias</w:t>
      </w:r>
      <w:r>
        <w:t xml:space="preserve"> </w:t>
      </w:r>
      <w:r>
        <w:t xml:space="preserve">correction findings reported above, which never depended on nested-model</w:t>
      </w:r>
      <w:r>
        <w:t xml:space="preserve"> </w:t>
      </w:r>
      <w:r>
        <w:t xml:space="preserve">comparison.</w:t>
      </w:r>
    </w:p>
    <w:bookmarkEnd w:id="79"/>
    <w:bookmarkStart w:id="81" w:name="X7bc0bc5f740e0da78ed6ae748566b15951efbf7"/>
    <w:p>
      <w:pPr>
        <w:pStyle w:val="Heading3"/>
      </w:pPr>
      <w:r>
        <w:t xml:space="preserve">Comparison to Established Estimation Methods</w:t>
      </w:r>
    </w:p>
    <w:p>
      <w:pPr>
        <w:pStyle w:val="FirstParagraph"/>
      </w:pPr>
      <w:r>
        <w:t xml:space="preserve">On matched simulated data (</w:t>
      </w:r>
      <m:oMath>
        <m:r>
          <m:t>N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subjects, 20 replicates), FOCEI,</w:t>
      </w:r>
      <w:r>
        <w:t xml:space="preserve"> </w:t>
      </w:r>
      <w:r>
        <w:t xml:space="preserve">SAEM, and variational inference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recover both fixed effects and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with closely comparable accuracy, while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reproduces the</w:t>
      </w:r>
      <w:r>
        <w:t xml:space="preserve"> </w:t>
      </w:r>
      <w:r>
        <w:t xml:space="preserve">same systematic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underestimation established throughout the</w:t>
      </w:r>
      <w:r>
        <w:t xml:space="preserve"> </w:t>
      </w:r>
      <w:r>
        <w:t xml:space="preserve">linear-tier results above (</w:t>
      </w:r>
      <w:hyperlink w:anchor="tbl-baseline-comparison">
        <w:r>
          <w:rPr>
            <w:rStyle w:val="Hyperlink"/>
          </w:rPr>
          <w:t xml:space="preserve">Table 9</w:t>
        </w:r>
      </w:hyperlink>
      <w:r>
        <w:t xml:space="preserve">). Fixed-effect bias</w:t>
      </w:r>
      <w:r>
        <w:t xml:space="preserve"> </w:t>
      </w:r>
      <w:r>
        <w:t xml:space="preserve">is small for every method (under 2.1% in magnitude across</w:t>
      </w:r>
      <w:r>
        <w:t xml:space="preserve"> </w:t>
      </w:r>
      <m:oMath>
        <m:r>
          <m:t>C</m:t>
        </m:r>
        <m:r>
          <m:t>L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for FOCEI, SAEM, and both VI arms alike), consistent with the</w:t>
      </w:r>
      <w:r>
        <w:t xml:space="preserve"> </w:t>
      </w:r>
      <w:r>
        <w:t xml:space="preserve">pattern established throughout this work that fixed effects are not</w:t>
      </w:r>
      <w:r>
        <w:t xml:space="preserve"> </w:t>
      </w:r>
      <w:r>
        <w:t xml:space="preserve">affected by the plain-ELBO bias regardless of estimation method. For</w:t>
      </w:r>
      <w:r>
        <w:t xml:space="preserve"> </w:t>
      </w:r>
      <m:oMath>
        <m:r>
          <m:t>Ω</m:t>
        </m:r>
      </m:oMath>
      <w:r>
        <w:t xml:space="preserve">, FOCEI and SAEM show bias no larger than 3.6% on any parameter</w:t>
      </w:r>
      <w:r>
        <w:t xml:space="preserve"> </w:t>
      </w:r>
      <w:r>
        <w:t xml:space="preserve">(</w:t>
      </w:r>
      <m:oMath>
        <m:sSub>
          <m:e>
            <m:r>
              <m:t>Ω</m:t>
            </m:r>
          </m:e>
          <m:sub>
            <m:r>
              <m:t>k</m:t>
            </m:r>
            <m:r>
              <m:t>a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3.6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1.25</m:t>
        </m:r>
        <m:r>
          <m:rPr>
            <m:sty m:val="p"/>
          </m:rPr>
          <m:t>%</m:t>
        </m:r>
      </m:oMath>
      <w:r>
        <w:t xml:space="preserve"> </w:t>
      </w:r>
      <w:r>
        <w:t xml:space="preserve">respectively); VI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matches this closely, with bias under 1.2% on every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parameter</w:t>
      </w:r>
      <w:r>
        <w:t xml:space="preserve"> </w:t>
      </w:r>
      <w:r>
        <w:t xml:space="preserve">(</w:t>
      </w:r>
      <m:oMath>
        <m:sSub>
          <m:e>
            <m:r>
              <m:t>Ω</m:t>
            </m:r>
          </m:e>
          <m:sub>
            <m:r>
              <m:t>C</m:t>
            </m:r>
            <m:r>
              <m:t>L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0.30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sSub>
          <m:e>
            <m:r>
              <m:t>Ω</m:t>
            </m:r>
          </m:e>
          <m:sub>
            <m:r>
              <m:t>V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+</m:t>
        </m:r>
        <m:r>
          <m:t>1.15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sSub>
          <m:e>
            <m:r>
              <m:t>Ω</m:t>
            </m:r>
          </m:e>
          <m:sub>
            <m:r>
              <m:t>k</m:t>
            </m:r>
            <m:r>
              <m:t>a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1.18</m:t>
        </m:r>
        <m:r>
          <m:rPr>
            <m:sty m:val="p"/>
          </m:rPr>
          <m:t>%</m:t>
        </m:r>
      </m:oMath>
      <w:r>
        <w:t xml:space="preserve">). VI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by contrast, shows the characteristic pattern</w:t>
      </w:r>
      <w:r>
        <w:t xml:space="preserve"> </w:t>
      </w:r>
      <w:r>
        <w:t xml:space="preserve">identified throughout this work:</w:t>
      </w:r>
      <w:r>
        <w:t xml:space="preserve"> </w:t>
      </w:r>
      <m:oMath>
        <m:sSub>
          <m:e>
            <m:r>
              <m:t>Ω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Ω</m:t>
            </m:r>
          </m:e>
          <m:sub>
            <m:r>
              <m:t>k</m:t>
            </m:r>
            <m:r>
              <m:t>a</m:t>
            </m:r>
          </m:sub>
        </m:sSub>
      </m:oMath>
      <w:r>
        <w:t xml:space="preserve"> </w:t>
      </w:r>
      <w:r>
        <w:t xml:space="preserve">biased by</w:t>
      </w:r>
      <w:r>
        <w:t xml:space="preserve"> </w:t>
      </w:r>
      <m:oMath>
        <m:r>
          <m:rPr>
            <m:sty m:val="p"/>
          </m:rPr>
          <m:t>−</m:t>
        </m:r>
        <m:r>
          <m:t>14.3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21.9</m:t>
        </m:r>
        <m:r>
          <m:rPr>
            <m:sty m:val="p"/>
          </m:rPr>
          <m:t>%</m:t>
        </m:r>
      </m:oMath>
      <w:r>
        <w:t xml:space="preserve"> </w:t>
      </w:r>
      <w:r>
        <w:t xml:space="preserve">respectively, an order of magnitude larger than</w:t>
      </w:r>
      <w:r>
        <w:t xml:space="preserve"> </w:t>
      </w:r>
      <w:r>
        <w:t xml:space="preserve">FOCEI, SAEM, or VI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on the same parameters. A parallel pattern</w:t>
      </w:r>
      <w:r>
        <w:t xml:space="preserve"> </w:t>
      </w:r>
      <w:r>
        <w:t xml:space="preserve">holds for the residual-error parameter</w:t>
      </w:r>
      <w:r>
        <w:t xml:space="preserve"> </w:t>
      </w:r>
      <m:oMath>
        <m:r>
          <m:t>σ</m:t>
        </m:r>
      </m:oMath>
      <w:r>
        <w:t xml:space="preserve">: FOCEI, SAEM, and VI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all recover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within 2% of its true value, while VI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overestimates it by 7.4%.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baseline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Mean parameter estimates by method (FOCEI, SAEM, variational inference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t xml:space="preserve">) against ground truth,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 </w:t>
            </w:r>
            <w:r>
              <w:t xml:space="preserve">subjects, 20</w:t>
            </w:r>
            <w:r>
              <w:t xml:space="preserve"> </w:t>
            </w:r>
            <w:r>
              <w:t xml:space="preserve">replicates.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  <w:gridCol w:w="79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om_CL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om_ka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cpu_secs_mean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cpu_secs_median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3.0031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30.3044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1.1845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0.2961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0.2034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0.3856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0.1962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2.9804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30.0858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1.1899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0.2976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0.2034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0.1963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vi_K1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3.0005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30.4883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1.2072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0.2928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0.1715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0.3126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0.2148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4.9956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4.8898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vi_K64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2.9378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30.3606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1.1839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0.2991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0.2023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0.3953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0.1965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15.8076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17.0114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TRUTH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nan</w:t>
                  </w:r>
                </w:p>
              </w:tc>
            </w:tr>
          </w:tbl>
          <w:bookmarkEnd w:id="80"/>
          <w:p/>
        </w:tc>
      </w:tr>
    </w:tbl>
    <w:p>
      <w:pPr>
        <w:pStyle w:val="BodyText"/>
      </w:pPr>
      <w:r>
        <w:t xml:space="preserve">Runtime is not compared in this section because process CPU time was not</w:t>
      </w:r>
      <w:r>
        <w:t xml:space="preserve"> </w:t>
      </w:r>
      <w:r>
        <w:t xml:space="preserve">captured consistently for the FOCEI and SAEM fits in the current</w:t>
      </w:r>
      <w:r>
        <w:t xml:space="preserve"> </w:t>
      </w:r>
      <w:r>
        <w:t xml:space="preserve">baseline pipeline. Consequently, the baseline comparison reported here is</w:t>
      </w:r>
      <w:r>
        <w:t xml:space="preserve"> </w:t>
      </w:r>
      <w:r>
        <w:t xml:space="preserve">restricted to parameter-recovery accuracy.</w:t>
      </w:r>
    </w:p>
    <w:bookmarkEnd w:id="81"/>
    <w:bookmarkEnd w:id="82"/>
    <w:bookmarkStart w:id="83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Across simulated and real data, and across a linear analytically</w:t>
      </w:r>
      <w:r>
        <w:t xml:space="preserve"> </w:t>
      </w:r>
      <w:r>
        <w:t xml:space="preserve">tractable model and a genuinely nonlinear model requiring numerical</w:t>
      </w:r>
      <w:r>
        <w:t xml:space="preserve"> </w:t>
      </w:r>
      <w:r>
        <w:t xml:space="preserve">integration, we find a consistent picture: plain-ELBO 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variational inference systematically underestimates between-subject</w:t>
      </w:r>
      <w:r>
        <w:t xml:space="preserve"> </w:t>
      </w:r>
      <w:r>
        <w:t xml:space="preserve">variance components, this bias is substantially correctable by</w:t>
      </w:r>
      <w:r>
        <w:t xml:space="preserve"> </w:t>
      </w:r>
      <w:r>
        <w:t xml:space="preserve">importance-weighting the training objective (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t xml:space="preserve">) or by using a richer</w:t>
      </w:r>
      <w:r>
        <w:t xml:space="preserve"> </w:t>
      </w:r>
      <w:r>
        <w:t xml:space="preserve">variational family (normalizing flows), and the correction reproduces on</w:t>
      </w:r>
      <w:r>
        <w:t xml:space="preserve"> </w:t>
      </w:r>
      <w:r>
        <w:t xml:space="preserve">real pharmacokinetic data with external validation against an</w:t>
      </w:r>
      <w:r>
        <w:t xml:space="preserve"> </w:t>
      </w:r>
      <w:r>
        <w:t xml:space="preserve">independently published fit. Directly against independent FOCEI and SAEM</w:t>
      </w:r>
      <w:r>
        <w:t xml:space="preserve"> </w:t>
      </w:r>
      <w:r>
        <w:t xml:space="preserve">baseline fits on matched simulated data, corrected variational inference</w:t>
      </w:r>
      <w:r>
        <w:t xml:space="preserve"> </w:t>
      </w:r>
      <w:r>
        <w:t xml:space="preserve">matches both established methods’ accuracy closely, while uncorrected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shows bias an order of magnitude larger on the most affected</w:t>
      </w:r>
      <w:r>
        <w:t xml:space="preserve"> </w:t>
      </w:r>
      <w:r>
        <w:t xml:space="preserve">parameters. This indicates that the correction identified in this work is</w:t>
      </w:r>
      <w:r>
        <w:t xml:space="preserve"> </w:t>
      </w:r>
      <w:r>
        <w:t xml:space="preserve">not merely an internal, self-referential improvement within variational</w:t>
      </w:r>
      <w:r>
        <w:t xml:space="preserve"> </w:t>
      </w:r>
      <w:r>
        <w:t xml:space="preserve">inference, but brings VI to a level of accuracy quantitatively</w:t>
      </w:r>
      <w:r>
        <w:t xml:space="preserve"> </w:t>
      </w:r>
      <w:r>
        <w:t xml:space="preserve">comparable to the methods it is proposed to replace. This supports the</w:t>
      </w:r>
      <w:r>
        <w:t xml:space="preserve"> </w:t>
      </w:r>
      <w:r>
        <w:t xml:space="preserve">practical use of corrected variational inference as a faster alternative</w:t>
      </w:r>
      <w:r>
        <w:t xml:space="preserve"> </w:t>
      </w:r>
      <w:r>
        <w:t xml:space="preserve">to FOCEI/SAEM for NLME model fitting, with two important caveats</w:t>
      </w:r>
      <w:r>
        <w:t xml:space="preserve"> </w:t>
      </w:r>
      <w:r>
        <w:t xml:space="preserve">developed below: not every posterior architecture is safe to use for</w:t>
      </w:r>
      <w:r>
        <w:t xml:space="preserve"> </w:t>
      </w:r>
      <w:r>
        <w:t xml:space="preserve">every purpose, and the correction of point estimates does not</w:t>
      </w:r>
      <w:r>
        <w:t xml:space="preserve"> </w:t>
      </w:r>
      <w:r>
        <w:t xml:space="preserve">automatically extend to every downstream use of a fitted model.</w:t>
      </w:r>
    </w:p>
    <w:p>
      <w:pPr>
        <w:pStyle w:val="BodyText"/>
      </w:pPr>
      <w:r>
        <w:rPr>
          <w:b/>
          <w:bCs/>
        </w:rPr>
        <w:t xml:space="preserve">Practical guidance.</w:t>
      </w:r>
      <w:r>
        <w:t xml:space="preserve"> </w:t>
      </w:r>
      <w:r>
        <w:t xml:space="preserve">Three specific combinations identified in this</w:t>
      </w:r>
      <w:r>
        <w:t xml:space="preserve"> </w:t>
      </w:r>
      <w:r>
        <w:t xml:space="preserve">work should be avoided in practice rather than used as encountered.</w:t>
      </w:r>
      <w:r>
        <w:t xml:space="preserve"> </w:t>
      </w:r>
      <w:r>
        <w:t xml:space="preserve">First, amortized posteriors combined with normalizing flows are unstable</w:t>
      </w:r>
      <w:r>
        <w:t xml:space="preserve"> </w:t>
      </w:r>
      <w:r>
        <w:t xml:space="preserve">at every tested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linear model and should not be used;</w:t>
      </w:r>
      <w:r>
        <w:t xml:space="preserve"> </w:t>
      </w:r>
      <w:r>
        <w:t xml:space="preserve">free-posterior flows or amortized-posterior Gaussian families do not show</w:t>
      </w:r>
      <w:r>
        <w:t xml:space="preserve"> </w:t>
      </w:r>
      <w:r>
        <w:t xml:space="preserve">this instability and are the recommended alternatives depending on</w:t>
      </w:r>
      <w:r>
        <w:t xml:space="preserve"> </w:t>
      </w:r>
      <w:r>
        <w:t xml:space="preserve">whether reuse across datasets (amortization) or maximal bias correction</w:t>
      </w:r>
      <w:r>
        <w:t xml:space="preserve"> </w:t>
      </w:r>
      <w:r>
        <w:t xml:space="preserve">at low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(flow) is the priority. Second, amortized posteriors on the</w:t>
      </w:r>
      <w:r>
        <w:t xml:space="preserve"> </w:t>
      </w:r>
      <w:r>
        <w:t xml:space="preserve">nonlinear Michaelis-Menten model showed a distinct, substantial</w:t>
      </w:r>
      <w:r>
        <w:t xml:space="preserve"> </w:t>
      </w:r>
      <w:r>
        <w:t xml:space="preserve">instability not observed on the linear model; free posteriors are</w:t>
      </w:r>
      <w:r>
        <w:t xml:space="preserve"> </w:t>
      </w:r>
      <w:r>
        <w:t xml:space="preserve">recommended for nonlinear structural models pending further</w:t>
      </w:r>
      <w:r>
        <w:t xml:space="preserve"> </w:t>
      </w:r>
      <w:r>
        <w:t xml:space="preserve">investigation of this failure mode. Third, likelihood-ratio tests</w:t>
      </w:r>
      <w:r>
        <w:t xml:space="preserve"> </w:t>
      </w:r>
      <w:r>
        <w:t xml:space="preserve">comparing models that differ in random-effect structure should use an</w:t>
      </w:r>
      <w:r>
        <w:t xml:space="preserve"> </w:t>
      </w:r>
      <w:r>
        <w:t xml:space="preserve">amortized rather than free posterior, given the effective-degrees-of-</w:t>
      </w:r>
      <w:r>
        <w:t xml:space="preserve"> </w:t>
      </w:r>
      <w:r>
        <w:t xml:space="preserve">freedom mismatch identified above; free-posterior fixed-effect and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point estimates themselves remain valid, only their use for</w:t>
      </w:r>
      <w:r>
        <w:t xml:space="preserve"> </w:t>
      </w:r>
      <w:r>
        <w:t xml:space="preserve">nested-model hypothesis testing is affected.</w:t>
      </w:r>
    </w:p>
    <w:p>
      <w:pPr>
        <w:pStyle w:val="BodyText"/>
      </w:pPr>
      <w:r>
        <w:rPr>
          <w:b/>
          <w:bCs/>
        </w:rPr>
        <w:t xml:space="preserve">Michaelis-Menten identifiability.</w:t>
      </w:r>
      <w:r>
        <w:t xml:space="preserve"> </w:t>
      </w:r>
      <w:r>
        <w:t xml:space="preserve">The restriction of between-subject</w:t>
      </w:r>
      <w:r>
        <w:t xml:space="preserve"> </w:t>
      </w:r>
      <w:r>
        <w:t xml:space="preserve">variability to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alone (with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as a fixed effect) in the</w:t>
      </w:r>
      <w:r>
        <w:t xml:space="preserve"> </w:t>
      </w:r>
      <w:r>
        <w:t xml:space="preserve">nonlinear tier is not a limitation specific to this work’s variational</w:t>
      </w:r>
      <w:r>
        <w:t xml:space="preserve"> </w:t>
      </w:r>
      <w:r>
        <w:t xml:space="preserve">approach: correlation between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in saturable elimination</w:t>
      </w:r>
      <w:r>
        <w:t xml:space="preserve"> </w:t>
      </w:r>
      <w:r>
        <w:t xml:space="preserve">models is a recognized cross-method identifiability difficulty, and a</w:t>
      </w:r>
      <w:r>
        <w:t xml:space="preserve"> </w:t>
      </w:r>
      <w:r>
        <w:t xml:space="preserve">model specification allowing independent variability on both parameters</w:t>
      </w:r>
      <w:r>
        <w:t xml:space="preserve"> </w:t>
      </w:r>
      <w:r>
        <w:t xml:space="preserve">simultaneously would be equally problematic for FOCEI or SAEM. The</w:t>
      </w:r>
      <w:r>
        <w:t xml:space="preserve"> </w:t>
      </w:r>
      <w:r>
        <w:t xml:space="preserve">consistency of this project’s own empirical findings with that</w:t>
      </w:r>
      <w:r>
        <w:t xml:space="preserve"> </w:t>
      </w:r>
      <w:r>
        <w:t xml:space="preserve">established understanding supports this interpretation:</w:t>
      </w:r>
      <w:r>
        <w:t xml:space="preserve"> </w:t>
      </w:r>
      <m:oMath>
        <m:sSub>
          <m:e>
            <m:r>
              <m:t>Ω</m:t>
            </m:r>
          </m:e>
          <m:sub>
            <m:sSub>
              <m:e>
                <m:r>
                  <m:t>K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’s bias remained severe and stable across substantially</w:t>
      </w:r>
      <w:r>
        <w:t xml:space="preserve"> </w:t>
      </w:r>
      <w:r>
        <w:t xml:space="preserve">different training durations and sampling designs in exploratory</w:t>
      </w:r>
      <w:r>
        <w:t xml:space="preserve"> </w:t>
      </w:r>
      <w:r>
        <w:t xml:space="preserve">analyses, in a pattern distinct from the small-sample bias discussed</w:t>
      </w:r>
      <w:r>
        <w:t xml:space="preserve"> </w:t>
      </w:r>
      <w:r>
        <w:t xml:space="preserve">below. A direct comparison against FOCEI/SAEM on the</w:t>
      </w:r>
      <w:r>
        <w:t xml:space="preserve"> </w:t>
      </w:r>
      <w:r>
        <w:t xml:space="preserve">same restricted model specification would strengthen it further. The</w:t>
      </w:r>
      <w:r>
        <w:t xml:space="preserve"> </w:t>
      </w:r>
      <w:r>
        <w:t xml:space="preserve">FOCEI/SAEM baseline comparison reported above uses the linear tier only</w:t>
      </w:r>
      <w:r>
        <w:t xml:space="preserve"> </w:t>
      </w:r>
      <w:r>
        <w:t xml:space="preserve">and does not yet extend to the nonlinear (Michaelis-Menten) model.</w:t>
      </w:r>
    </w:p>
    <w:p>
      <w:pPr>
        <w:pStyle w:val="BodyText"/>
      </w:pPr>
      <w:r>
        <w:rPr>
          <w:b/>
          <w:bCs/>
        </w:rPr>
        <w:t xml:space="preserve">Small-sample bias.</w:t>
      </w:r>
      <w:r>
        <w:t xml:space="preserve"> </w:t>
      </w:r>
      <w:r>
        <w:t xml:space="preserve">Some residual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bias remaining at high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smallest real dataset (theophylline,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) is substantially, if</w:t>
      </w:r>
      <w:r>
        <w:t xml:space="preserve"> </w:t>
      </w:r>
      <w:r>
        <w:t xml:space="preserve">not completely, explained by classical small-sample maximum-likelihood</w:t>
      </w:r>
      <w:r>
        <w:t xml:space="preserve"> </w:t>
      </w:r>
      <w:r>
        <w:t xml:space="preserve">bias in variance-component estimation, the same phenomenon that</w:t>
      </w:r>
      <w:r>
        <w:t xml:space="preserve"> </w:t>
      </w:r>
      <w:r>
        <w:t xml:space="preserve">motivates REML-type corrections in linear mixed models, rather than a</w:t>
      </w:r>
      <w:r>
        <w:t xml:space="preserve"> </w:t>
      </w:r>
      <w:r>
        <w:t xml:space="preserve">failure of the importance-weighting correction: the residual bias shrinks</w:t>
      </w:r>
      <w:r>
        <w:t xml:space="preserve"> </w:t>
      </w:r>
      <w:r>
        <w:t xml:space="preserve">systematically as sample size increases, holding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fixed, in</w:t>
      </w:r>
      <w:r>
        <w:t xml:space="preserve"> </w:t>
      </w:r>
      <w:r>
        <w:t xml:space="preserve">supplementary analyses using both the real theophylline data at varying</w:t>
      </w:r>
      <w:r>
        <w:t xml:space="preserve"> </w:t>
      </w:r>
      <w:r>
        <w:t xml:space="preserve">subsample sizes and the Michaelis-Menten simulation tier’s own</w:t>
      </w:r>
      <w:r>
        <w:t xml:space="preserve"> </w:t>
      </w:r>
      <m:oMath>
        <m:sSub>
          <m:e>
            <m:r>
              <m:t>Ω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estimates.</w:t>
      </w:r>
    </w:p>
    <w:p>
      <w:pPr>
        <w:pStyle w:val="BodyText"/>
      </w:pPr>
      <w:r>
        <w:rPr>
          <w:b/>
          <w:bCs/>
        </w:rPr>
        <w:t xml:space="preserve">The amortized+flow and amortized-nonlinear instabilities as open</w:t>
      </w:r>
      <w:r>
        <w:rPr>
          <w:b/>
          <w:bCs/>
        </w:rPr>
        <w:t xml:space="preserve"> </w:t>
      </w:r>
      <w:r>
        <w:rPr>
          <w:b/>
          <w:bCs/>
        </w:rPr>
        <w:t xml:space="preserve">problems.</w:t>
      </w:r>
      <w:r>
        <w:t xml:space="preserve"> </w:t>
      </w:r>
      <w:r>
        <w:t xml:space="preserve">The amortized+flow instability is plausibly explained by the</w:t>
      </w:r>
      <w:r>
        <w:t xml:space="preserve"> </w:t>
      </w:r>
      <w:r>
        <w:t xml:space="preserve">amortized encoder’s output</w:t>
      </w:r>
      <w:r>
        <w:t xml:space="preserve"> </w:t>
      </w:r>
      <w:r>
        <w:t xml:space="preserve">serving a double role, both defining the flow’s base distribution and</w:t>
      </w:r>
      <w:r>
        <w:t xml:space="preserve"> </w:t>
      </w:r>
      <w:r>
        <w:t xml:space="preserve">its conditioning input, under this specific configuration. Notably,</w:t>
      </w:r>
      <w:r>
        <w:t xml:space="preserve"> </w:t>
      </w:r>
      <w:r>
        <w:t xml:space="preserve">Arruda et al. (2024)</w:t>
      </w:r>
      <w:r>
        <w:t xml:space="preserve">’s independent amortized-flow architecture for NLME</w:t>
      </w:r>
      <w:r>
        <w:t xml:space="preserve"> </w:t>
      </w:r>
      <w:r>
        <w:t xml:space="preserve">models does not share this coupling: their conditional normalizing</w:t>
      </w:r>
      <w:r>
        <w:t xml:space="preserve"> </w:t>
      </w:r>
      <w:r>
        <w:t xml:space="preserve">flow’s base distribution is a fixed standard normal, with the amortized</w:t>
      </w:r>
      <w:r>
        <w:t xml:space="preserve"> </w:t>
      </w:r>
      <w:r>
        <w:t xml:space="preserve">encoder’s (LSTM-based) summary statistics used solely as the flow’s</w:t>
      </w:r>
      <w:r>
        <w:t xml:space="preserve"> </w:t>
      </w:r>
      <w:r>
        <w:t xml:space="preserve">conditioning input, never as the base distribution’s own parameters. A</w:t>
      </w:r>
      <w:r>
        <w:t xml:space="preserve"> </w:t>
      </w:r>
      <w:r>
        <w:t xml:space="preserve">preliminary, architecturally decoupled variant following this design was</w:t>
      </w:r>
      <w:r>
        <w:t xml:space="preserve"> </w:t>
      </w:r>
      <w:r>
        <w:t xml:space="preserve">implemented and smoke-tested in the course of this work, producing</w:t>
      </w:r>
      <w:r>
        <w:t xml:space="preserve"> </w:t>
      </w:r>
      <w:r>
        <w:t xml:space="preserve">plausible (non-divergent) parameter estimates on a small-scale test, but</w:t>
      </w:r>
      <w:r>
        <w:t xml:space="preserve"> </w:t>
      </w:r>
      <w:r>
        <w:t xml:space="preserve">has not been validated at the scale needed to report as a result; we</w:t>
      </w:r>
      <w:r>
        <w:t xml:space="preserve"> </w:t>
      </w:r>
      <w:r>
        <w:t xml:space="preserve">flag it as a concrete, motivated direction for resolving this</w:t>
      </w:r>
      <w:r>
        <w:t xml:space="preserve"> </w:t>
      </w:r>
      <w:r>
        <w:t xml:space="preserve">instability rather than treating it as an unexplained dead end. The</w:t>
      </w:r>
      <w:r>
        <w:t xml:space="preserve"> </w:t>
      </w:r>
      <w:r>
        <w:t xml:space="preserve">amortized-nonlinear-model instability observed independently on the</w:t>
      </w:r>
      <w:r>
        <w:t xml:space="preserve"> </w:t>
      </w:r>
      <w:r>
        <w:t xml:space="preserve">Michaelis-Menten tier does not involve a flow at all and is therefore a</w:t>
      </w:r>
      <w:r>
        <w:t xml:space="preserve"> </w:t>
      </w:r>
      <w:r>
        <w:t xml:space="preserve">distinct problem; we speculate that it may reflect the greater difficulty</w:t>
      </w:r>
      <w:r>
        <w:t xml:space="preserve"> </w:t>
      </w:r>
      <w:r>
        <w:t xml:space="preserve">of learning one shared encoder mapping across subjects whose trajectory</w:t>
      </w:r>
      <w:r>
        <w:t xml:space="preserve"> </w:t>
      </w:r>
      <w:r>
        <w:t xml:space="preserve">shapes vary substantially more (spanning saturated, transitional, and</w:t>
      </w:r>
      <w:r>
        <w:t xml:space="preserve"> </w:t>
      </w:r>
      <w:r>
        <w:t xml:space="preserve">first-order elimination regimes) than the comparatively uniform</w:t>
      </w:r>
      <w:r>
        <w:t xml:space="preserve"> </w:t>
      </w:r>
      <w:r>
        <w:t xml:space="preserve">trajectory shapes of the linear tier, but this is not yet tested.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The accuracy side of the FOCEI/SAEM comparison (see</w:t>
      </w:r>
      <w:r>
        <w:t xml:space="preserve"> </w:t>
      </w:r>
      <w:r>
        <w:t xml:space="preserve">Results) is now complete and directly supports this work’s central</w:t>
      </w:r>
      <w:r>
        <w:t xml:space="preserve"> </w:t>
      </w:r>
      <w:r>
        <w:t xml:space="preserve">claim on the linear tier. Two gaps remain. First, the runtime side of</w:t>
      </w:r>
      <w:r>
        <w:t xml:space="preserve"> </w:t>
      </w:r>
      <w:r>
        <w:t xml:space="preserve">that comparison is not reported because process CPU time was not</w:t>
      </w:r>
      <w:r>
        <w:t xml:space="preserve"> </w:t>
      </w:r>
      <w:r>
        <w:t xml:space="preserve">correctly captured for the FOCEI and SAEM fits in the current baseline</w:t>
      </w:r>
      <w:r>
        <w:t xml:space="preserve"> </w:t>
      </w:r>
      <w:r>
        <w:t xml:space="preserve">pipeline. As a result, the practical speed question motivating this work</w:t>
      </w:r>
      <w:r>
        <w:t xml:space="preserve"> </w:t>
      </w:r>
      <w:r>
        <w:t xml:space="preserve">cannot yet be answered quantitatively for this model, except by</w:t>
      </w:r>
      <w:r>
        <w:t xml:space="preserve"> </w:t>
      </w:r>
      <w:r>
        <w:t xml:space="preserve">comparison to the general literature’s reported comparisons for other</w:t>
      </w:r>
      <w:r>
        <w:t xml:space="preserve"> </w:t>
      </w:r>
      <w:r>
        <w:t xml:space="preserve">models, such as the roughly two-orders-of-magnitude speedup reported by</w:t>
      </w:r>
      <w:r>
        <w:t xml:space="preserve"> </w:t>
      </w:r>
      <w:r>
        <w:t xml:space="preserve">Arruda et al. (2024)</w:t>
      </w:r>
      <w:r>
        <w:t xml:space="preserve">. Second, the baseline comparison currently covers</w:t>
      </w:r>
      <w:r>
        <w:t xml:space="preserve"> </w:t>
      </w:r>
      <w:r>
        <w:t xml:space="preserve">only the linear tier; extending it to the Michaelis-Menten nonlinear tier</w:t>
      </w:r>
      <w:r>
        <w:t xml:space="preserve"> </w:t>
      </w:r>
      <w:r>
        <w:t xml:space="preserve">would substantiate the identifiability claim made above with a direct</w:t>
      </w:r>
      <w:r>
        <w:t xml:space="preserve"> </w:t>
      </w:r>
      <w:r>
        <w:t xml:space="preserve">comparison rather than an appeal to general pharmacometric practice.</w:t>
      </w:r>
      <w:r>
        <w:t xml:space="preserve"> </w:t>
      </w:r>
      <w:r>
        <w:t xml:space="preserve">Beyond the baseline comparison, this work tests a single linear</w:t>
      </w:r>
      <w:r>
        <w:t xml:space="preserve"> </w:t>
      </w:r>
      <w:r>
        <w:t xml:space="preserve">structural model class and a single nonlinear structural model class;</w:t>
      </w:r>
      <w:r>
        <w:t xml:space="preserve"> </w:t>
      </w:r>
      <w:r>
        <w:t xml:space="preserve">whether the identified biases and corrections</w:t>
      </w:r>
      <w:r>
        <w:t xml:space="preserve"> </w:t>
      </w:r>
      <w:r>
        <w:t xml:space="preserve">generalize to structurally more complex models (multiple compartments,</w:t>
      </w:r>
      <w:r>
        <w:t xml:space="preserve"> </w:t>
      </w:r>
      <w:r>
        <w:t xml:space="preserve">covariate effects, time-varying dosing) is not directly tested here. The</w:t>
      </w:r>
      <w:r>
        <w:t xml:space="preserve"> </w:t>
      </w:r>
      <w:r>
        <w:t xml:space="preserve">residual, smaller miscalibration remaining in the amortized-posterior</w:t>
      </w:r>
      <w:r>
        <w:t xml:space="preserve"> </w:t>
      </w:r>
      <w:r>
        <w:t xml:space="preserve">likelihood-ratio test calibration after the boundary-mass correction</w:t>
      </w:r>
      <w:r>
        <w:t xml:space="preserve"> </w:t>
      </w:r>
      <w:r>
        <w:t xml:space="preserve">(see Results) also remains unexplained; a follow-up analysis testing</w:t>
      </w:r>
      <w:r>
        <w:t xml:space="preserve"> </w:t>
      </w:r>
      <w:r>
        <w:t xml:space="preserve">whether divergence in the two nested models’ residual-error estimates</w:t>
      </w:r>
      <w:r>
        <w:t xml:space="preserve"> </w:t>
      </w:r>
      <w:r>
        <w:t xml:space="preserve">explains this residual found a real correlation but could not establish</w:t>
      </w:r>
      <w:r>
        <w:t xml:space="preserve"> </w:t>
      </w:r>
      <w:r>
        <w:t xml:space="preserve">it as a mechanism independent of the already-understood boundary-mass</w:t>
      </w:r>
      <w:r>
        <w:t xml:space="preserve"> </w:t>
      </w:r>
      <w:r>
        <w:t xml:space="preserve">effect, given that the residual-error parameter appears directly inside</w:t>
      </w:r>
      <w:r>
        <w:t xml:space="preserve"> </w:t>
      </w:r>
      <w:r>
        <w:t xml:space="preserve">the likelihood by construction.</w:t>
      </w:r>
    </w:p>
    <w:p>
      <w:pPr>
        <w:pStyle w:val="BodyText"/>
      </w:pPr>
      <w:r>
        <w:rPr>
          <w:b/>
          <w:bCs/>
        </w:rPr>
        <w:t xml:space="preserve">Future work.</w:t>
      </w:r>
      <w:r>
        <w:t xml:space="preserve"> </w:t>
      </w:r>
      <w:r>
        <w:t xml:space="preserve">Beyond correcting the runtime measurement in the</w:t>
      </w:r>
      <w:r>
        <w:t xml:space="preserve"> </w:t>
      </w:r>
      <w:r>
        <w:t xml:space="preserve">FOCEI/SAEM baseline comparison and extending it to the nonlinear tier,</w:t>
      </w:r>
      <w:r>
        <w:t xml:space="preserve"> </w:t>
      </w:r>
      <w:r>
        <w:t xml:space="preserve">concrete directions include: validating the decoupled-base-distribution</w:t>
      </w:r>
      <w:r>
        <w:t xml:space="preserve"> </w:t>
      </w:r>
      <w:r>
        <w:t xml:space="preserve">flow architecture described above at production scale; extending the</w:t>
      </w:r>
      <w:r>
        <w:t xml:space="preserve"> </w:t>
      </w:r>
      <w:r>
        <w:t xml:space="preserve">nonlinear tier to structurally harder models such as target-mediated drug</w:t>
      </w:r>
      <w:r>
        <w:t xml:space="preserve"> </w:t>
      </w:r>
      <w:r>
        <w:t xml:space="preserve">disposition; and, given that the nonlinear tier’s numerical integration</w:t>
      </w:r>
      <w:r>
        <w:t xml:space="preserve"> </w:t>
      </w:r>
      <w:r>
        <w:t xml:space="preserve">is the dominant computational cost identified in this work, evaluating</w:t>
      </w:r>
      <w:r>
        <w:t xml:space="preserve"> </w:t>
      </w:r>
      <w:r>
        <w:t xml:space="preserve">whether purpose-built ODE solvers such as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(Rackauckas and Nie 2017)</w:t>
      </w:r>
      <w:r>
        <w:t xml:space="preserve">, already used by</w:t>
      </w:r>
      <w:r>
        <w:t xml:space="preserve"> </w:t>
      </w:r>
      <w:r>
        <w:t xml:space="preserve">Arruda et al. (2024)</w:t>
      </w:r>
      <w:r>
        <w:t xml:space="preserve"> </w:t>
      </w:r>
      <w:r>
        <w:t xml:space="preserve">for their more structurally complex model, would</w:t>
      </w:r>
      <w:r>
        <w:t xml:space="preserve"> </w:t>
      </w:r>
      <w:r>
        <w:t xml:space="preserve">meaningfully reduce this cost without requiring changes to the</w:t>
      </w:r>
      <w:r>
        <w:t xml:space="preserve"> </w:t>
      </w:r>
      <w:r>
        <w:t xml:space="preserve">variational inference machinery itself.</w:t>
      </w:r>
    </w:p>
    <w:bookmarkEnd w:id="83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84" w:name="ref-arruda2024amortized"/>
    <w:p>
      <w:pPr>
        <w:pStyle w:val="Bibliography"/>
      </w:pPr>
      <w:r>
        <w:t xml:space="preserve">Arruda, Jonas, Yannik Schälte, Clemens Peiter, Olga Teplytska, Ulrich Jaehde, and Jan Hasenauer. 2024.</w:t>
      </w:r>
      <w:r>
        <w:t xml:space="preserve"> </w:t>
      </w:r>
      <w:r>
        <w:t xml:space="preserve">“An Amortized Approach to Non-Linear Mixed-Effects Modeling Based on Neural Posterior Estimation.”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41st International Conference on Machine Learning</w:t>
      </w:r>
      <w:r>
        <w:t xml:space="preserve">. Vol. 235. Proceedings of Machine Learning Research. Vienna, Austria: PMLR.</w:t>
      </w:r>
    </w:p>
    <w:bookmarkEnd w:id="84"/>
    <w:bookmarkStart w:id="85" w:name="ref-beal1980nonmem"/>
    <w:p>
      <w:pPr>
        <w:pStyle w:val="Bibliography"/>
      </w:pPr>
      <w:r>
        <w:t xml:space="preserve">Beal, Stuart, and Lewis Sheiner. 1980.</w:t>
      </w:r>
      <w:r>
        <w:t xml:space="preserve"> </w:t>
      </w:r>
      <w:r>
        <w:t xml:space="preserve">“The</w:t>
      </w:r>
      <w:r>
        <w:t xml:space="preserve"> </w:t>
      </w:r>
      <w:r>
        <w:t xml:space="preserve">NONMEM</w:t>
      </w:r>
      <w:r>
        <w:t xml:space="preserve"> </w:t>
      </w:r>
      <w:r>
        <w:t xml:space="preserve">System.”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34 (2): 118–19.</w:t>
      </w:r>
    </w:p>
    <w:bookmarkEnd w:id="85"/>
    <w:bookmarkStart w:id="86" w:name="ref-boeckmann1994nonmem"/>
    <w:p>
      <w:pPr>
        <w:pStyle w:val="Bibliography"/>
      </w:pPr>
      <w:r>
        <w:t xml:space="preserve">Boeckmann, A. J., L. B. Sheiner, and S. L. Beal. 1994.</w:t>
      </w:r>
      <w:r>
        <w:t xml:space="preserve"> </w:t>
      </w:r>
      <w:r>
        <w:t xml:space="preserve">“</w:t>
      </w:r>
      <w:r>
        <w:t xml:space="preserve">NONMEM</w:t>
      </w:r>
      <w:r>
        <w:t xml:space="preserve"> </w:t>
      </w:r>
      <w:r>
        <w:t xml:space="preserve">Users Guide: Part v.”</w:t>
      </w:r>
      <w:r>
        <w:t xml:space="preserve"> </w:t>
      </w:r>
      <w:r>
        <w:t xml:space="preserve">University of California, San Francisco.</w:t>
      </w:r>
    </w:p>
    <w:bookmarkEnd w:id="86"/>
    <w:bookmarkStart w:id="87" w:name="ref-burda2016importance"/>
    <w:p>
      <w:pPr>
        <w:pStyle w:val="Bibliography"/>
      </w:pPr>
      <w:r>
        <w:t xml:space="preserve">Burda, Yuri, Roger Grosse, and Ruslan Salakhutdinov. 2016.</w:t>
      </w:r>
      <w:r>
        <w:t xml:space="preserve"> </w:t>
      </w:r>
      <w:r>
        <w:t xml:space="preserve">“Importance Weighted Autoencoders.”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bookmarkEnd w:id="87"/>
    <w:bookmarkStart w:id="88" w:name="ref-fidler2019nonlinear"/>
    <w:p>
      <w:pPr>
        <w:pStyle w:val="Bibliography"/>
      </w:pPr>
      <w:r>
        <w:t xml:space="preserve">Fidler, Matthew, Justin J. Wilkins, Rik Hooijmaijers, Teun M. Post, Rik Schoemaker, Mirjam N. Trame, Yuan Xiong, and Wenping Wang. 2019.</w:t>
      </w:r>
      <w:r>
        <w:t xml:space="preserve"> </w:t>
      </w:r>
      <w:r>
        <w:t xml:space="preserve">“Nonlinear Mixed-Effects Model Development and Simulation Using</w:t>
      </w:r>
      <w:r>
        <w:t xml:space="preserve"> </w:t>
      </w:r>
      <w:r>
        <w:t xml:space="preserve">nlmixr</w:t>
      </w:r>
      <w:r>
        <w:t xml:space="preserve"> </w:t>
      </w:r>
      <w:r>
        <w:t xml:space="preserve">and Related</w:t>
      </w:r>
      <w:r>
        <w:t xml:space="preserve"> </w:t>
      </w:r>
      <w:r>
        <w:t xml:space="preserve">R</w:t>
      </w:r>
      <w:r>
        <w:t xml:space="preserve"> </w:t>
      </w:r>
      <w:r>
        <w:t xml:space="preserve">Open-Source Packages.”</w:t>
      </w:r>
      <w:r>
        <w:t xml:space="preserve"> </w:t>
      </w:r>
      <w:r>
        <w:rPr>
          <w:i/>
          <w:iCs/>
        </w:rPr>
        <w:t xml:space="preserve">CPT: Pharmacometrics &amp; Systems Pharmacology</w:t>
      </w:r>
      <w:r>
        <w:t xml:space="preserve"> </w:t>
      </w:r>
      <w:r>
        <w:t xml:space="preserve">8 (9): 621–33.</w:t>
      </w:r>
    </w:p>
    <w:bookmarkEnd w:id="88"/>
    <w:bookmarkStart w:id="89" w:name="ref-kuhn2005maximum"/>
    <w:p>
      <w:pPr>
        <w:pStyle w:val="Bibliography"/>
      </w:pPr>
      <w:r>
        <w:t xml:space="preserve">Kuhn, Estelle, and Marc Lavielle. 2005.</w:t>
      </w:r>
      <w:r>
        <w:t xml:space="preserve"> </w:t>
      </w:r>
      <w:r>
        <w:t xml:space="preserve">“Maximum Likelihood Estimation in Nonlinear Mixed Effects Models.”</w:t>
      </w:r>
      <w:r>
        <w:t xml:space="preserve"> </w:t>
      </w:r>
      <w:r>
        <w:rPr>
          <w:i/>
          <w:iCs/>
        </w:rPr>
        <w:t xml:space="preserve">Computational Statistics &amp; Data Analysis</w:t>
      </w:r>
      <w:r>
        <w:t xml:space="preserve"> </w:t>
      </w:r>
      <w:r>
        <w:t xml:space="preserve">49 (4): 1020–38.</w:t>
      </w:r>
    </w:p>
    <w:bookmarkEnd w:id="89"/>
    <w:bookmarkStart w:id="90" w:name="ref-oreilly1968studies"/>
    <w:p>
      <w:pPr>
        <w:pStyle w:val="Bibliography"/>
      </w:pPr>
      <w:r>
        <w:t xml:space="preserve">O’Reilly, Robert A., and Paul M. Aggeler. 1968.</w:t>
      </w:r>
      <w:r>
        <w:t xml:space="preserve"> </w:t>
      </w:r>
      <w:r>
        <w:t xml:space="preserve">“Studies on Coumarin Anticoagulant Drugs: Initiation of Warfarin Therapy Without a Loading Dose.”</w:t>
      </w:r>
      <w:r>
        <w:t xml:space="preserve"> </w:t>
      </w:r>
      <w:r>
        <w:rPr>
          <w:i/>
          <w:iCs/>
        </w:rPr>
        <w:t xml:space="preserve">Circulation</w:t>
      </w:r>
      <w:r>
        <w:t xml:space="preserve"> </w:t>
      </w:r>
      <w:r>
        <w:t xml:space="preserve">38 (1): 169–77.</w:t>
      </w:r>
    </w:p>
    <w:bookmarkEnd w:id="90"/>
    <w:bookmarkStart w:id="91" w:name="ref-papamakarios2021normalizing"/>
    <w:p>
      <w:pPr>
        <w:pStyle w:val="Bibliography"/>
      </w:pPr>
      <w:r>
        <w:t xml:space="preserve">Papamakarios, George, Eric T. Nalisnick, Danilo Jimenez Rezende, Shakir Mohamed, and Balaji Lakshminarayanan. 2021.</w:t>
      </w:r>
      <w:r>
        <w:t xml:space="preserve"> </w:t>
      </w:r>
      <w:r>
        <w:t xml:space="preserve">“Normalizing Flows for Probabilistic Modeling and Inference.”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22 (57): 1–64.</w:t>
      </w:r>
    </w:p>
    <w:bookmarkEnd w:id="91"/>
    <w:bookmarkStart w:id="92" w:name="ref-paszke2019pytorch"/>
    <w:p>
      <w:pPr>
        <w:pStyle w:val="Bibliography"/>
      </w:pPr>
      <w:r>
        <w:t xml:space="preserve">Paszke, Adam, Sam Gross, Francisco Massa, Adam Lerer, James Bradbury, Gregory Chanan, Trevor Killeen, et al. 2019.</w:t>
      </w:r>
      <w:r>
        <w:t xml:space="preserve"> </w:t>
      </w:r>
      <w:r>
        <w:t xml:space="preserve">“</w:t>
      </w:r>
      <w:r>
        <w:t xml:space="preserve">PyTorch</w:t>
      </w:r>
      <w:r>
        <w:t xml:space="preserve">: An Imperative Style, High-Performance Deep Learning Library.”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. Vol. 32.</w:t>
      </w:r>
    </w:p>
    <w:bookmarkEnd w:id="92"/>
    <w:bookmarkStart w:id="93" w:name="ref-pinheiro1994topics"/>
    <w:p>
      <w:pPr>
        <w:pStyle w:val="Bibliography"/>
      </w:pPr>
      <w:r>
        <w:t xml:space="preserve">Pinheiro, José C. 1994.</w:t>
      </w:r>
      <w:r>
        <w:t xml:space="preserve"> </w:t>
      </w:r>
      <w:r>
        <w:t xml:space="preserve">“Topics in Mixed Effects Models.”</w:t>
      </w:r>
      <w:r>
        <w:t xml:space="preserve"> </w:t>
      </w:r>
      <w:r>
        <w:t xml:space="preserve">PhD thesis, Madison, USA: University of Wisconsin, Madison.</w:t>
      </w:r>
    </w:p>
    <w:bookmarkEnd w:id="93"/>
    <w:bookmarkStart w:id="94" w:name="ref-rackauckas2017differentialequations"/>
    <w:p>
      <w:pPr>
        <w:pStyle w:val="Bibliography"/>
      </w:pPr>
      <w:r>
        <w:t xml:space="preserve">Rackauckas, Christopher, and Qing Nie. 2017.</w:t>
      </w:r>
      <w:r>
        <w:t xml:space="preserve"> </w:t>
      </w:r>
      <w:r>
        <w:t xml:space="preserve">“</w:t>
      </w:r>
      <w:r>
        <w:t xml:space="preserve">DifferentialEquations.jl</w:t>
      </w:r>
      <w:r>
        <w:t xml:space="preserve"> </w:t>
      </w:r>
      <w:r>
        <w:t xml:space="preserve">– a Performant and Feature-Rich Ecosystem for Solving Differential Equations in</w:t>
      </w:r>
      <w:r>
        <w:t xml:space="preserve"> </w:t>
      </w:r>
      <w:r>
        <w:t xml:space="preserve">Julia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Open Research Software</w:t>
      </w:r>
      <w:r>
        <w:t xml:space="preserve"> </w:t>
      </w:r>
      <w:r>
        <w:t xml:space="preserve">5 (1).</w:t>
      </w:r>
    </w:p>
    <w:bookmarkEnd w:id="94"/>
    <w:bookmarkStart w:id="95" w:name="ref-rezende2015variational"/>
    <w:p>
      <w:pPr>
        <w:pStyle w:val="Bibliography"/>
      </w:pPr>
      <w:r>
        <w:t xml:space="preserve">Rezende, Danilo, and Shakir Mohamed. 2015.</w:t>
      </w:r>
      <w:r>
        <w:t xml:space="preserve"> </w:t>
      </w:r>
      <w:r>
        <w:t xml:space="preserve">“Variational Inference with Normalizing Flows.”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Machine Learning</w:t>
      </w:r>
      <w:r>
        <w:t xml:space="preserve">, 1530–38. PMLR.</w:t>
      </w:r>
    </w:p>
    <w:bookmarkEnd w:id="95"/>
    <w:bookmarkStart w:id="96" w:name="ref-self1987asymptotic"/>
    <w:p>
      <w:pPr>
        <w:pStyle w:val="Bibliography"/>
      </w:pPr>
      <w:r>
        <w:t xml:space="preserve">Self, Steven G., and Kung-Yee Liang. 1987.</w:t>
      </w:r>
      <w:r>
        <w:t xml:space="preserve"> </w:t>
      </w:r>
      <w:r>
        <w:t xml:space="preserve">“Asymptotic Properties of Maximum Likelihood Estimators and Likelihood Ratio Tests Under Nonstandard Conditions.”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82 (398): 605–10.</w:t>
      </w:r>
    </w:p>
    <w:bookmarkEnd w:id="96"/>
    <w:bookmarkStart w:id="97" w:name="ref-wang2008derivation"/>
    <w:p>
      <w:pPr>
        <w:pStyle w:val="Bibliography"/>
      </w:pPr>
      <w:r>
        <w:t xml:space="preserve">Wang, Yaning. 2008.</w:t>
      </w:r>
      <w:r>
        <w:t xml:space="preserve"> </w:t>
      </w:r>
      <w:r>
        <w:t xml:space="preserve">“Derivation of Various</w:t>
      </w:r>
      <w:r>
        <w:t xml:space="preserve"> </w:t>
      </w:r>
      <w:r>
        <w:t xml:space="preserve">NONMEM</w:t>
      </w:r>
      <w:r>
        <w:t xml:space="preserve"> </w:t>
      </w:r>
      <w:r>
        <w:t xml:space="preserve">Estimation Methods.”</w:t>
      </w:r>
      <w:r>
        <w:t xml:space="preserve"> </w:t>
      </w:r>
      <w:r>
        <w:rPr>
          <w:i/>
          <w:iCs/>
        </w:rPr>
        <w:t xml:space="preserve">Journal of Pharmacokinetics and Pharmacodynamics</w:t>
      </w:r>
      <w:r>
        <w:t xml:space="preserve"> </w:t>
      </w:r>
      <w:r>
        <w:t xml:space="preserve">35 (2): 249–49.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4" Target="media/rId74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68" Target="media/rId68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Importance-Weighted Variational Inference for Nonlinear Mixed-Effects Models: Characterizing and Correcting Random-Effect Variance Bias</dc:title>
  <dc:creator/>
  <cp:keywords/>
  <dcterms:created xsi:type="dcterms:W3CDTF">2026-08-15T23:08:26Z</dcterms:created>
  <dcterms:modified xsi:type="dcterms:W3CDTF">2026-08-15T23:08:26Z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