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97.png" ContentType="image/png"/>
  <Override PartName="/word/media/rId42.png" ContentType="image/png"/>
  <Override PartName="/word/media/rId47.png" ContentType="image/png"/>
  <Override PartName="/word/media/rId101.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 </w:t>
      </w:r>
      <w:r>
        <w:t xml:space="preserve">as in</w:t>
      </w:r>
      <w:r>
        <w:t xml:space="preserve"> </w:t>
      </w:r>
      <w:hyperlink w:anchor="eq-residual-error">
        <w:r>
          <w:rPr>
            <w:rStyle w:val="Hyperlink"/>
          </w:rPr>
          <w:t xml:space="preserve">Equation 1</w:t>
        </w:r>
      </w:hyperlink>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 (</w:t>
      </w:r>
      <w:hyperlink w:anchor="eq-log-residual-error">
        <w:r>
          <w:rPr>
            <w:rStyle w:val="Hyperlink"/>
          </w:rPr>
          <w:t xml:space="preserve">Equation 2</w:t>
        </w:r>
      </w:hyperlink>
      <w:r>
        <w:t xml:space="preserv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 (</w:t>
      </w:r>
      <w:hyperlink w:anchor="eq-population-model">
        <w:r>
          <w:rPr>
            <w:rStyle w:val="Hyperlink"/>
          </w:rPr>
          <w:t xml:space="preserve">Equation 3</w:t>
        </w:r>
      </w:hyperlink>
      <w:r>
        <w:t xml:space="preserve">),</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r>
        <w:t xml:space="preserve"> </w:t>
      </w:r>
      <w:r>
        <w:t xml:space="preserve">(</w:t>
      </w:r>
      <w:hyperlink w:anchor="eq-marginal-likelihood">
        <w:r>
          <w:rPr>
            <w:rStyle w:val="Hyperlink"/>
          </w:rPr>
          <w:t xml:space="preserve">Equation 4</w:t>
        </w:r>
      </w:hyperlink>
      <w:r>
        <w:t xml:space="preserve">),</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r>
        <w:t xml:space="preserve"> </w:t>
      </w:r>
      <w:hyperlink w:anchor="eq-elbo">
        <w:r>
          <w:rPr>
            <w:rStyle w:val="Hyperlink"/>
          </w:rPr>
          <w:t xml:space="preserve">Equation 5</w:t>
        </w:r>
      </w:hyperlink>
      <w:r>
        <w:t xml:space="preserve">:</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 defined in</w:t>
      </w:r>
      <w:r>
        <w:t xml:space="preserve"> </w:t>
      </w:r>
      <w:hyperlink w:anchor="eq-iw-elbo">
        <w:r>
          <w:rPr>
            <w:rStyle w:val="Hyperlink"/>
          </w:rPr>
          <w:t xml:space="preserve">Equation 6</w:t>
        </w:r>
      </w:hyperlink>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 (</w:t>
      </w:r>
      <w:hyperlink w:anchor="eq-flow-density">
        <w:r>
          <w:rPr>
            <w:rStyle w:val="Hyperlink"/>
          </w:rPr>
          <w:t xml:space="preserve">Equation 7</w:t>
        </w:r>
      </w:hyperlink>
      <w:r>
        <w:t xml:space="preserve">),</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 (</w:t>
      </w:r>
      <w:hyperlink w:anchor="eq-michaelis-menten">
        <w:r>
          <w:rPr>
            <w:rStyle w:val="Hyperlink"/>
          </w:rPr>
          <w:t xml:space="preserve">Equation 8</w:t>
        </w:r>
      </w:hyperlink>
      <w:r>
        <w:t xml:space="preserve">),</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 of</w:t>
      </w:r>
      <w:r>
        <w:t xml:space="preserve"> </w:t>
      </w:r>
      <w:hyperlink w:anchor="eq-delta-ofv">
        <w:r>
          <w:rPr>
            <w:rStyle w:val="Hyperlink"/>
          </w:rPr>
          <w:t xml:space="preserve">Equation 9</w:t>
        </w:r>
      </w:hyperlink>
      <w:r>
        <w:t xml:space="preserve">,</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 </w:t>
      </w:r>
      <w:r>
        <w:t xml:space="preserve">in</w:t>
      </w:r>
      <w:r>
        <w:t xml:space="preserve"> </w:t>
      </w:r>
      <w:hyperlink w:anchor="eq-self-liang-mixture">
        <w:r>
          <w:rPr>
            <w:rStyle w:val="Hyperlink"/>
          </w:rPr>
          <w:t xml:space="preserve">Equation 10</w:t>
        </w:r>
      </w:hyperlink>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036618"/>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79272"/>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40005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a working</w:t>
      </w:r>
      <w:r>
        <w:t xml:space="preserve"> </w:t>
      </w:r>
      <w:r>
        <w:t xml:space="preserve">hypothesis,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S5</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24027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24027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S6</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40005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S7</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40005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FOCEI</w:t>
                  </w:r>
                </w:p>
              </w:tc>
              <w:tc>
                <w:tcPr/>
                <w:p>
                  <w:pPr>
                    <w:pStyle w:val="Compact"/>
                    <w:jc w:val="center"/>
                  </w:pPr>
                  <w:r>
                    <w:t xml:space="preserve">SAEM</w:t>
                  </w:r>
                </w:p>
              </w:tc>
              <w:tc>
                <w:tcPr/>
                <w:p>
                  <w:pPr>
                    <w:pStyle w:val="Compact"/>
                    <w:jc w:val="center"/>
                  </w:pPr>
                  <w:r>
                    <w:t xml:space="preserve">VI, K = 1</w:t>
                  </w:r>
                </w:p>
              </w:tc>
              <w:tc>
                <w:tcPr/>
                <w:p>
                  <w:pPr>
                    <w:pStyle w:val="Compact"/>
                    <w:jc w:val="center"/>
                  </w:pPr>
                  <w:r>
                    <w:t xml:space="preserve">VI, K = 64</w:t>
                  </w:r>
                </w:p>
              </w:tc>
            </w:tr>
            <w:tr>
              <w:tc>
                <w:tcPr/>
                <w:p>
                  <w:pPr>
                    <w:pStyle w:val="Compact"/>
                    <w:jc w:val="center"/>
                  </w:pPr>
                  <m:oMath>
                    <m:r>
                      <m:t>C</m:t>
                    </m:r>
                    <m:r>
                      <m:t>L</m:t>
                    </m:r>
                  </m:oMath>
                </w:p>
              </w:tc>
              <w:tc>
                <w:tcPr/>
                <w:p>
                  <w:pPr>
                    <w:pStyle w:val="Compact"/>
                    <w:jc w:val="center"/>
                  </w:pPr>
                  <w:r>
                    <w:t xml:space="preserve">3</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3</w:t>
                  </w:r>
                </w:p>
              </w:tc>
              <w:tc>
                <w:tcPr/>
                <w:p>
                  <w:pPr>
                    <w:pStyle w:val="Compact"/>
                    <w:jc w:val="center"/>
                  </w:pPr>
                  <w:r>
                    <w:t xml:space="preserve">2.94</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30.3</w:t>
                  </w:r>
                </w:p>
              </w:tc>
              <w:tc>
                <w:tcPr/>
                <w:p>
                  <w:pPr>
                    <w:pStyle w:val="Compact"/>
                    <w:jc w:val="center"/>
                  </w:pPr>
                  <w:r>
                    <w:t xml:space="preserve">30.1</w:t>
                  </w:r>
                </w:p>
              </w:tc>
              <w:tc>
                <w:tcPr/>
                <w:p>
                  <w:pPr>
                    <w:pStyle w:val="Compact"/>
                    <w:jc w:val="center"/>
                  </w:pPr>
                  <w:r>
                    <w:t xml:space="preserve">30.5</w:t>
                  </w:r>
                </w:p>
              </w:tc>
              <w:tc>
                <w:tcPr/>
                <w:p>
                  <w:pPr>
                    <w:pStyle w:val="Compact"/>
                    <w:jc w:val="center"/>
                  </w:pPr>
                  <w:r>
                    <w:t xml:space="preserve">30.4</w:t>
                  </w:r>
                </w:p>
              </w:tc>
            </w:tr>
            <w:tr>
              <w:tc>
                <w:tcPr/>
                <w:p>
                  <w:pPr>
                    <w:pStyle w:val="Compact"/>
                    <w:jc w:val="center"/>
                  </w:pPr>
                  <m:oMath>
                    <m:sSub>
                      <m:e>
                        <m:r>
                          <m:t>k</m:t>
                        </m:r>
                      </m:e>
                      <m:sub>
                        <m:r>
                          <m:t>a</m:t>
                        </m:r>
                      </m:sub>
                    </m:sSub>
                  </m:oMath>
                </w:p>
              </w:tc>
              <w:tc>
                <w:tcPr/>
                <w:p>
                  <w:pPr>
                    <w:pStyle w:val="Compact"/>
                    <w:jc w:val="center"/>
                  </w:pPr>
                  <w:r>
                    <w:t xml:space="preserve">1.2</w:t>
                  </w:r>
                </w:p>
              </w:tc>
              <w:tc>
                <w:tcPr/>
                <w:p>
                  <w:pPr>
                    <w:pStyle w:val="Compact"/>
                    <w:jc w:val="center"/>
                  </w:pPr>
                  <w:r>
                    <w:t xml:space="preserve">1.18</w:t>
                  </w:r>
                </w:p>
              </w:tc>
              <w:tc>
                <w:tcPr/>
                <w:p>
                  <w:pPr>
                    <w:pStyle w:val="Compact"/>
                    <w:jc w:val="center"/>
                  </w:pPr>
                  <w:r>
                    <w:t xml:space="preserve">1.19</w:t>
                  </w:r>
                </w:p>
              </w:tc>
              <w:tc>
                <w:tcPr/>
                <w:p>
                  <w:pPr>
                    <w:pStyle w:val="Compact"/>
                    <w:jc w:val="center"/>
                  </w:pPr>
                  <w:r>
                    <w:t xml:space="preserve">1.21</w:t>
                  </w:r>
                </w:p>
              </w:tc>
              <w:tc>
                <w:tcPr/>
                <w:p>
                  <w:pPr>
                    <w:pStyle w:val="Compact"/>
                    <w:jc w:val="center"/>
                  </w:pPr>
                  <w:r>
                    <w:t xml:space="preserve">1.18</w:t>
                  </w:r>
                </w:p>
              </w:tc>
            </w:tr>
            <w:tr>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0.296</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0.299</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0.204</w:t>
                  </w:r>
                </w:p>
              </w:tc>
              <w:tc>
                <w:tcPr/>
                <w:p>
                  <w:pPr>
                    <w:pStyle w:val="Compact"/>
                    <w:jc w:val="center"/>
                  </w:pPr>
                  <w:r>
                    <w:t xml:space="preserve">0.203</w:t>
                  </w:r>
                </w:p>
              </w:tc>
              <w:tc>
                <w:tcPr/>
                <w:p>
                  <w:pPr>
                    <w:pStyle w:val="Compact"/>
                    <w:jc w:val="center"/>
                  </w:pPr>
                  <w:r>
                    <w:t xml:space="preserve">0.172</w:t>
                  </w:r>
                </w:p>
              </w:tc>
              <w:tc>
                <w:tcPr/>
                <w:p>
                  <w:pPr>
                    <w:pStyle w:val="Compact"/>
                    <w:jc w:val="center"/>
                  </w:pPr>
                  <w:r>
                    <w:t xml:space="preserve">0.202</w:t>
                  </w:r>
                </w:p>
              </w:tc>
            </w:tr>
            <w:tr>
              <w:tc>
                <w:tcPr/>
                <w:p>
                  <w:pPr>
                    <w:pStyle w:val="Compact"/>
                    <w:jc w:val="center"/>
                  </w:pPr>
                  <m:oMath>
                    <m:sSub>
                      <m:e>
                        <m:r>
                          <m:t>ω</m:t>
                        </m:r>
                      </m:e>
                      <m:sub>
                        <m:sSub>
                          <m:e>
                            <m:r>
                              <m:t>k</m:t>
                            </m:r>
                          </m:e>
                          <m:sub>
                            <m:r>
                              <m:t>a</m:t>
                            </m:r>
                          </m:sub>
                        </m:sSub>
                      </m:sub>
                    </m:sSub>
                  </m:oMath>
                </w:p>
              </w:tc>
              <w:tc>
                <w:tcPr/>
                <w:p>
                  <w:pPr>
                    <w:pStyle w:val="Compact"/>
                    <w:jc w:val="center"/>
                  </w:pPr>
                  <w:r>
                    <w:t xml:space="preserve">0.4</w:t>
                  </w:r>
                </w:p>
              </w:tc>
              <w:tc>
                <w:tcPr/>
                <w:p>
                  <w:pPr>
                    <w:pStyle w:val="Compact"/>
                    <w:jc w:val="center"/>
                  </w:pPr>
                  <w:r>
                    <w:t xml:space="preserve">0.389</w:t>
                  </w:r>
                </w:p>
              </w:tc>
              <w:tc>
                <w:tcPr/>
                <w:p>
                  <w:pPr>
                    <w:pStyle w:val="Compact"/>
                    <w:jc w:val="center"/>
                  </w:pPr>
                  <w:r>
                    <w:t xml:space="preserve">0.395</w:t>
                  </w:r>
                </w:p>
              </w:tc>
              <w:tc>
                <w:tcPr/>
                <w:p>
                  <w:pPr>
                    <w:pStyle w:val="Compact"/>
                    <w:jc w:val="center"/>
                  </w:pPr>
                  <w:r>
                    <w:t xml:space="preserve">0.313</w:t>
                  </w:r>
                </w:p>
              </w:tc>
              <w:tc>
                <w:tcPr/>
                <w:p>
                  <w:pPr>
                    <w:pStyle w:val="Compact"/>
                    <w:jc w:val="center"/>
                  </w:pPr>
                  <w:r>
                    <w:t xml:space="preserve">0.395</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0.196</w:t>
                  </w:r>
                </w:p>
              </w:tc>
              <w:tc>
                <w:tcPr/>
                <w:p>
                  <w:pPr>
                    <w:pStyle w:val="Compact"/>
                    <w:jc w:val="center"/>
                  </w:pPr>
                  <w:r>
                    <w:t xml:space="preserve">0.196</w:t>
                  </w:r>
                </w:p>
              </w:tc>
              <w:tc>
                <w:tcPr/>
                <w:p>
                  <w:pPr>
                    <w:pStyle w:val="Compact"/>
                    <w:jc w:val="center"/>
                  </w:pPr>
                  <w:r>
                    <w:t xml:space="preserve">0.215</w:t>
                  </w:r>
                </w:p>
              </w:tc>
              <w:tc>
                <w:tcPr/>
                <w:p>
                  <w:pPr>
                    <w:pStyle w:val="Compact"/>
                    <w:jc w:val="center"/>
                  </w:pPr>
                  <w:r>
                    <w:t xml:space="preserve">0.197</w:t>
                  </w:r>
                </w:p>
              </w:tc>
            </w:tr>
            <w:tr>
              <w:tc>
                <w:tcPr/>
                <w:p>
                  <w:pPr>
                    <w:pStyle w:val="Compact"/>
                    <w:jc w:val="center"/>
                  </w:pPr>
                  <w:r>
                    <w:t xml:space="preserve">Median runtime (s)</w:t>
                  </w:r>
                </w:p>
              </w:tc>
              <w:tc>
                <w:tcPr/>
                <w:p>
                  <w:pPr>
                    <w:pStyle w:val="Compact"/>
                  </w:pPr>
                </w:p>
              </w:tc>
              <w:tc>
                <w:tcPr/>
                <w:p>
                  <w:pPr>
                    <w:pStyle w:val="Compact"/>
                    <w:jc w:val="center"/>
                  </w:pPr>
                  <w:r>
                    <w:t xml:space="preserve">11.1</w:t>
                  </w:r>
                </w:p>
              </w:tc>
              <w:tc>
                <w:tcPr/>
                <w:p>
                  <w:pPr>
                    <w:pStyle w:val="Compact"/>
                    <w:jc w:val="center"/>
                  </w:pPr>
                  <w:r>
                    <w:t xml:space="preserve">12.6</w:t>
                  </w:r>
                </w:p>
              </w:tc>
              <w:tc>
                <w:tcPr/>
                <w:p>
                  <w:pPr>
                    <w:pStyle w:val="Compact"/>
                    <w:jc w:val="center"/>
                  </w:pPr>
                  <w:r>
                    <w:t xml:space="preserve">4.94</w:t>
                  </w:r>
                </w:p>
              </w:tc>
              <w:tc>
                <w:tcPr/>
                <w:p>
                  <w:pPr>
                    <w:pStyle w:val="Compact"/>
                    <w:jc w:val="center"/>
                  </w:pPr>
                  <w:r>
                    <w:t xml:space="preserve">17.7</w:t>
                  </w: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One possibility is that a single shared encoder is more difficult to train when subject trajectories span qualitatively different dynamical regimes, including saturated, transitional, and approximately first-order elimination. This interpretation remains speculative and requires dedicated investigation.</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6" w:name="references"/>
    <w:p>
      <w:pPr>
        <w:pStyle w:val="Heading2"/>
      </w:pPr>
      <w:r>
        <w:t xml:space="preserve">References</w:t>
      </w:r>
    </w:p>
    <w:bookmarkStart w:id="95"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6"/>
    <w:bookmarkStart w:id="87"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7"/>
    <w:bookmarkStart w:id="88"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8"/>
    <w:bookmarkStart w:id="89"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89"/>
    <w:bookmarkStart w:id="90"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0"/>
    <w:bookmarkStart w:id="91"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1"/>
    <w:bookmarkStart w:id="92"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2"/>
    <w:bookmarkStart w:id="93"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3"/>
    <w:bookmarkStart w:id="94"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4"/>
    <w:bookmarkEnd w:id="95"/>
    <w:bookmarkEnd w:id="96"/>
    <w:bookmarkStart w:id="114" w:name="supplementary-material"/>
    <w:p>
      <w:pPr>
        <w:pStyle w:val="Heading2"/>
      </w:pPr>
      <w:r>
        <w:t xml:space="preserve">Supplementary Material</w:t>
      </w:r>
    </w:p>
    <w:bookmarkStart w:id="105"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0" w:name="suppfig-phase0-fixed-effects"/>
          <w:p>
            <w:pPr>
              <w:pStyle w:val="Compact"/>
              <w:jc w:val="center"/>
            </w:pPr>
            <w:r>
              <w:drawing>
                <wp:inline>
                  <wp:extent cx="5334000" cy="2036618"/>
                  <wp:effectExtent b="0" l="0" r="0" t="0"/>
                  <wp:docPr descr="" title="" id="98" name="Picture"/>
                  <a:graphic>
                    <a:graphicData uri="http://schemas.openxmlformats.org/drawingml/2006/picture">
                      <pic:pic>
                        <pic:nvPicPr>
                          <pic:cNvPr descr="publication/figures/fig_phase0_fixed_effects.png" id="99" name="Picture"/>
                          <pic:cNvPicPr>
                            <a:picLocks noChangeArrowheads="1" noChangeAspect="1"/>
                          </pic:cNvPicPr>
                        </pic:nvPicPr>
                        <pic:blipFill>
                          <a:blip r:embed="rId97"/>
                          <a:stretch>
                            <a:fillRect/>
                          </a:stretch>
                        </pic:blipFill>
                        <pic:spPr bwMode="auto">
                          <a:xfrm>
                            <a:off x="0" y="0"/>
                            <a:ext cx="5334000" cy="2036618"/>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fig-phase1-fixed-effects"/>
          <w:p>
            <w:pPr>
              <w:pStyle w:val="Compact"/>
              <w:jc w:val="center"/>
            </w:pPr>
            <w:r>
              <w:drawing>
                <wp:inline>
                  <wp:extent cx="5334000" cy="2540000"/>
                  <wp:effectExtent b="0" l="0" r="0" t="0"/>
                  <wp:docPr descr="" title="" id="102" name="Picture"/>
                  <a:graphic>
                    <a:graphicData uri="http://schemas.openxmlformats.org/drawingml/2006/picture">
                      <pic:pic>
                        <pic:nvPicPr>
                          <pic:cNvPr descr="publication/figures/fig_phase1_grid_fixed_effects.png" id="103" name="Picture"/>
                          <pic:cNvPicPr>
                            <a:picLocks noChangeArrowheads="1" noChangeAspect="1"/>
                          </pic:cNvPicPr>
                        </pic:nvPicPr>
                        <pic:blipFill>
                          <a:blip r:embed="rId101"/>
                          <a:stretch>
                            <a:fillRect/>
                          </a:stretch>
                        </pic:blipFill>
                        <pic:spPr bwMode="auto">
                          <a:xfrm>
                            <a:off x="0" y="0"/>
                            <a:ext cx="5334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04"/>
        </w:tc>
      </w:tr>
    </w:tbl>
    <w:bookmarkEnd w:id="105"/>
    <w:bookmarkStart w:id="113"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06" w:name="supptbl-phase0-combined"/>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p>
            <w:pPr>
              <w:jc w:val="center"/>
            </w:pPr>
            <w:pPr>
              <w:jc w:val="left"/>
              <w:spacing w:before="200"/>
              <w:pStyle w:val="ImageCaption"/>
            </w:pPr>
            <w:r>
              <w:t xml:space="preserve">Table S1: Mean relative bias (%) in structural fixed effects, residual variability, and random-effect standard deviations by posterior architecture and</w:t>
            </w:r>
            <w:r>
              <w:t xml:space="preserve"> </w:t>
            </w:r>
            <m:oMath>
              <m:r>
                <m:t>K</m:t>
              </m:r>
            </m:oMath>
            <w:r>
              <w:t xml:space="preserve">. Values in parentheses are the standard deviation of relative bias across replicates.</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supptbl-phase1-den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bl>
          <w:p>
            <w:pPr>
              <w:jc w:val="center"/>
            </w:pPr>
            <w:pPr>
              <w:jc w:val="left"/>
              <w:spacing w:before="200"/>
              <w:pStyle w:val="ImageCaption"/>
            </w:pPr>
            <w:r>
              <w:t xml:space="preserve">Table S2: Mean relative bias (%) in structural fixed effects, residual variability, and random-effect standard deviations for the dense Phase 1 sampling design, by posterior architecture, variational family, and</w:t>
            </w:r>
            <w:r>
              <w:t xml:space="preserve"> </w:t>
            </w:r>
            <m:oMath>
              <m:r>
                <m:t>K</m:t>
              </m:r>
            </m:oMath>
            <w:r>
              <w:t xml:space="preserve">. Values are mean relative bias with the standard deviation across replicates in parentheses.</w:t>
            </w:r>
          </w:p>
          <w:bookmarkEnd w:id="1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supptbl-phase1-spar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Structural 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Residual variability</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 SD</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p>
            <w:pPr>
              <w:jc w:val="center"/>
            </w:pPr>
            <w:pPr>
              <w:jc w:val="left"/>
              <w:spacing w:before="200"/>
              <w:pStyle w:val="ImageCaption"/>
            </w:pPr>
            <w:r>
              <w:t xml:space="preserve">Table S3: Mean relative bias (%) in structural fixed effects, residual variability, and random-effect standard deviations for the sparse Phase 1 sampling design, by posterior architecture, variational family, and</w:t>
            </w:r>
            <w:r>
              <w:t xml:space="preserve"> </w:t>
            </w:r>
            <m:oMath>
              <m:r>
                <m:t>K</m:t>
              </m:r>
            </m:oMath>
            <w:r>
              <w:t xml:space="preserve">. Values are mean relative bias with the standard deviation across replicates in parentheses.</w:t>
            </w:r>
          </w:p>
          <w:bookmarkEnd w:id="1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supptbl-phase1-q3-nonlinear"/>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m:oMath>
                    <m:sSub>
                      <m:e>
                        <m:r>
                          <m:t>K</m:t>
                        </m:r>
                      </m:e>
                      <m:sub>
                        <m:r>
                          <m:t>m</m:t>
                        </m:r>
                      </m:sub>
                    </m:sSub>
                  </m:oMath>
                </w:p>
              </w:tc>
              <w:tc>
                <w:tcPr/>
                <w:p>
                  <w:pPr>
                    <w:pStyle w:val="Compact"/>
                    <w:jc w:val="center"/>
                  </w:pPr>
                  <w:r>
                    <w:t xml:space="preserve">2</w:t>
                  </w:r>
                </w:p>
              </w:tc>
              <w:tc>
                <w:tcPr/>
                <w:p>
                  <w:pPr>
                    <w:pStyle w:val="Compact"/>
                    <w:jc w:val="center"/>
                  </w:pPr>
                  <w:r>
                    <w:t xml:space="preserve">1.96 (-1.98%)</w:t>
                  </w:r>
                </w:p>
              </w:tc>
              <w:tc>
                <w:tcPr/>
                <w:p>
                  <w:pPr>
                    <w:pStyle w:val="Compact"/>
                    <w:jc w:val="center"/>
                  </w:pPr>
                  <w:r>
                    <w:t xml:space="preserve">1.98 (-1.2%)</w:t>
                  </w:r>
                </w:p>
              </w:tc>
              <w:tc>
                <w:tcPr/>
                <w:p>
                  <w:pPr>
                    <w:pStyle w:val="Compact"/>
                    <w:jc w:val="center"/>
                  </w:pPr>
                  <w:r>
                    <w:t xml:space="preserve">1.98 (-0.867%)</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30.1 (0.483%)</w:t>
                  </w:r>
                </w:p>
              </w:tc>
              <w:tc>
                <w:tcPr/>
                <w:p>
                  <w:pPr>
                    <w:pStyle w:val="Compact"/>
                    <w:jc w:val="center"/>
                  </w:pPr>
                  <w:r>
                    <w:t xml:space="preserve">30.1 (0.376%)</w:t>
                  </w:r>
                </w:p>
              </w:tc>
              <w:tc>
                <w:tcPr/>
                <w:p>
                  <w:pPr>
                    <w:pStyle w:val="Compact"/>
                    <w:jc w:val="center"/>
                  </w:pPr>
                  <w:r>
                    <w:t xml:space="preserve">30.3 (0.996%)</w:t>
                  </w:r>
                </w:p>
              </w:tc>
            </w:tr>
            <w:tr>
              <w:tc>
                <w:tcPr/>
                <w:p>
                  <w:pPr>
                    <w:pStyle w:val="Compact"/>
                    <w:jc w:val="center"/>
                  </w:pPr>
                  <m:oMath>
                    <m:sSub>
                      <m:e>
                        <m:r>
                          <m:t>V</m:t>
                        </m:r>
                      </m:e>
                      <m:sub>
                        <m:r>
                          <m:rPr>
                            <m:sty m:val="p"/>
                          </m:rPr>
                          <m:t>max</m:t>
                        </m:r>
                      </m:sub>
                    </m:sSub>
                  </m:oMath>
                </w:p>
              </w:tc>
              <w:tc>
                <w:tcPr/>
                <w:p>
                  <w:pPr>
                    <w:pStyle w:val="Compact"/>
                    <w:jc w:val="center"/>
                  </w:pPr>
                  <w:r>
                    <w:t xml:space="preserve">8</w:t>
                  </w:r>
                </w:p>
              </w:tc>
              <w:tc>
                <w:tcPr/>
                <w:p>
                  <w:pPr>
                    <w:pStyle w:val="Compact"/>
                    <w:jc w:val="center"/>
                  </w:pPr>
                  <w:r>
                    <w:t xml:space="preserve">8.01 (0.134%)</w:t>
                  </w:r>
                </w:p>
              </w:tc>
              <w:tc>
                <w:tcPr/>
                <w:p>
                  <w:pPr>
                    <w:pStyle w:val="Compact"/>
                    <w:jc w:val="center"/>
                  </w:pPr>
                  <w:r>
                    <w:t xml:space="preserve">7.9 (-1.28%)</w:t>
                  </w:r>
                </w:p>
              </w:tc>
              <w:tc>
                <w:tcPr/>
                <w:p>
                  <w:pPr>
                    <w:pStyle w:val="Compact"/>
                    <w:jc w:val="center"/>
                  </w:pPr>
                  <w:r>
                    <w:t xml:space="preserve">7.89 (-1.42%)</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0.192 (-3.93%)</w:t>
                  </w:r>
                </w:p>
              </w:tc>
              <w:tc>
                <w:tcPr/>
                <w:p>
                  <w:pPr>
                    <w:pStyle w:val="Compact"/>
                    <w:jc w:val="center"/>
                  </w:pPr>
                  <w:r>
                    <w:t xml:space="preserve">0.198 (-1.07%)</w:t>
                  </w:r>
                </w:p>
              </w:tc>
              <w:tc>
                <w:tcPr/>
                <w:p>
                  <w:pPr>
                    <w:pStyle w:val="Compact"/>
                    <w:jc w:val="center"/>
                  </w:pPr>
                  <w:r>
                    <w:t xml:space="preserve">0.2 (0.137%)</w:t>
                  </w:r>
                </w:p>
              </w:tc>
            </w:tr>
            <w:tr>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0.301 (0.352%)</w:t>
                  </w:r>
                </w:p>
              </w:tc>
              <w:tc>
                <w:tcPr/>
                <w:p>
                  <w:pPr>
                    <w:pStyle w:val="Compact"/>
                    <w:jc w:val="center"/>
                  </w:pPr>
                  <w:r>
                    <w:t xml:space="preserve">0.3 (0.129%)</w:t>
                  </w:r>
                </w:p>
              </w:tc>
              <w:tc>
                <w:tcPr/>
                <w:p>
                  <w:pPr>
                    <w:pStyle w:val="Compact"/>
                    <w:jc w:val="center"/>
                  </w:pPr>
                  <w:r>
                    <w:t xml:space="preserve">0.299 (-0.207%)</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0.201 (0.719%)</w:t>
                  </w:r>
                </w:p>
              </w:tc>
              <w:tc>
                <w:tcPr/>
                <w:p>
                  <w:pPr>
                    <w:pStyle w:val="Compact"/>
                    <w:jc w:val="center"/>
                  </w:pPr>
                  <w:r>
                    <w:t xml:space="preserve">0.198 (-1.06%)</w:t>
                  </w:r>
                </w:p>
              </w:tc>
              <w:tc>
                <w:tcPr/>
                <w:p>
                  <w:pPr>
                    <w:pStyle w:val="Compact"/>
                    <w:jc w:val="center"/>
                  </w:pPr>
                  <w:r>
                    <w:t xml:space="preserve">0.196 (-2.04%)</w:t>
                  </w:r>
                </w:p>
              </w:tc>
            </w:tr>
          </w:tbl>
          <w:p>
            <w:pPr>
              <w:jc w:val="center"/>
            </w:pPr>
            <w:pPr>
              <w:jc w:val="left"/>
              <w:spacing w:before="200"/>
              <w:pStyle w:val="ImageCaption"/>
            </w:pPr>
            <w:r>
              <w:t xml:space="preserve">Table S4: Mean parameter estimates for the Michaelis-Menten elimination model at each</w:t>
            </w:r>
            <w:r>
              <w:t xml:space="preserve"> </w:t>
            </w:r>
            <m:oMath>
              <m:r>
                <m:t>K</m:t>
              </m:r>
            </m:oMath>
            <w:r>
              <w:t xml:space="preserve">. Relative bias (%) is shown in parentheses; ground-truth values are provided for reference.</w:t>
            </w:r>
          </w:p>
          <w:bookmarkEnd w:id="1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tbl-realdata-k1-vs-khigh"/>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64</m:t>
                    </m:r>
                  </m:oMath>
                </w:p>
              </w:tc>
              <w:tc>
                <w:tcPr/>
                <w:p>
                  <w:pPr>
                    <w:pStyle w:val="Compact"/>
                    <w:jc w:val="center"/>
                  </w:pPr>
                  <w:r>
                    <w:t xml:space="preserve">Difference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0.0403</w:t>
                  </w:r>
                </w:p>
              </w:tc>
              <w:tc>
                <w:tcPr/>
                <w:p>
                  <w:pPr>
                    <w:pStyle w:val="Compact"/>
                    <w:jc w:val="center"/>
                  </w:pPr>
                  <w:r>
                    <w:t xml:space="preserve">-0.882</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0.462</w:t>
                  </w:r>
                </w:p>
              </w:tc>
              <w:tc>
                <w:tcPr/>
                <w:p>
                  <w:pPr>
                    <w:pStyle w:val="Compact"/>
                    <w:jc w:val="center"/>
                  </w:pPr>
                  <w:r>
                    <w:t xml:space="preserve">0.452</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1.29</w:t>
                  </w:r>
                </w:p>
              </w:tc>
              <w:tc>
                <w:tcPr/>
                <w:p>
                  <w:pPr>
                    <w:pStyle w:val="Compact"/>
                    <w:jc w:val="center"/>
                  </w:pPr>
                  <w:r>
                    <w:t xml:space="preserve">1.34</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0.245</w:t>
                  </w:r>
                </w:p>
              </w:tc>
              <w:tc>
                <w:tcPr/>
                <w:p>
                  <w:pPr>
                    <w:pStyle w:val="Compact"/>
                    <w:jc w:val="center"/>
                  </w:pPr>
                  <w:r>
                    <w:t xml:space="preserve">0.255</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0.0921</w:t>
                  </w:r>
                </w:p>
              </w:tc>
              <w:tc>
                <w:tcPr/>
                <w:p>
                  <w:pPr>
                    <w:pStyle w:val="Compact"/>
                    <w:jc w:val="center"/>
                  </w:pPr>
                  <w:r>
                    <w:t xml:space="preserve">0.113</w:t>
                  </w:r>
                </w:p>
              </w:tc>
              <w:tc>
                <w:tcPr/>
                <w:p>
                  <w:pPr>
                    <w:pStyle w:val="Compact"/>
                    <w:jc w:val="center"/>
                  </w:pPr>
                  <w:r>
                    <w:t xml:space="preserve">-18.2</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0.646</w:t>
                  </w:r>
                </w:p>
              </w:tc>
              <w:tc>
                <w:tcPr/>
                <w:p>
                  <w:pPr>
                    <w:pStyle w:val="Compact"/>
                    <w:jc w:val="center"/>
                  </w:pPr>
                  <w:r>
                    <w:t xml:space="preserve">0.682</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0.18</w:t>
                  </w:r>
                </w:p>
              </w:tc>
              <w:tc>
                <w:tcPr/>
                <w:p>
                  <w:pPr>
                    <w:pStyle w:val="Compact"/>
                    <w:jc w:val="center"/>
                  </w:pPr>
                  <w:r>
                    <w:t xml:space="preserve">0.172</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0.132</w:t>
                  </w:r>
                </w:p>
              </w:tc>
              <w:tc>
                <w:tcPr/>
                <w:p>
                  <w:pPr>
                    <w:pStyle w:val="Compact"/>
                    <w:jc w:val="center"/>
                  </w:pPr>
                  <w:r>
                    <w:t xml:space="preserve">0.13</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7.94</w:t>
                  </w:r>
                </w:p>
              </w:tc>
              <w:tc>
                <w:tcPr/>
                <w:p>
                  <w:pPr>
                    <w:pStyle w:val="Compact"/>
                    <w:jc w:val="center"/>
                  </w:pPr>
                  <w:r>
                    <w:t xml:space="preserve">8.02</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0.617</w:t>
                  </w:r>
                </w:p>
              </w:tc>
              <w:tc>
                <w:tcPr/>
                <w:p>
                  <w:pPr>
                    <w:pStyle w:val="Compact"/>
                    <w:jc w:val="center"/>
                  </w:pPr>
                  <w:r>
                    <w:t xml:space="preserve">0.637</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0.278</w:t>
                  </w:r>
                </w:p>
              </w:tc>
              <w:tc>
                <w:tcPr/>
                <w:p>
                  <w:pPr>
                    <w:pStyle w:val="Compact"/>
                    <w:jc w:val="center"/>
                  </w:pPr>
                  <w:r>
                    <w:t xml:space="preserve">0.276</w:t>
                  </w:r>
                </w:p>
              </w:tc>
              <w:tc>
                <w:tcPr/>
                <w:p>
                  <w:pPr>
                    <w:pStyle w:val="Compact"/>
                    <w:jc w:val="center"/>
                  </w:pPr>
                  <w:r>
                    <w:t xml:space="preserve">0.772</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0.19</w:t>
                  </w:r>
                </w:p>
              </w:tc>
              <w:tc>
                <w:tcPr/>
                <w:p>
                  <w:pPr>
                    <w:pStyle w:val="Compact"/>
                    <w:jc w:val="center"/>
                  </w:pPr>
                  <w:r>
                    <w:t xml:space="preserve">0.207</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0.811</w:t>
                  </w:r>
                </w:p>
              </w:tc>
              <w:tc>
                <w:tcPr/>
                <w:p>
                  <w:pPr>
                    <w:pStyle w:val="Compact"/>
                    <w:jc w:val="center"/>
                  </w:pPr>
                  <w:r>
                    <w:t xml:space="preserve">0.978</w:t>
                  </w:r>
                </w:p>
              </w:tc>
              <w:tc>
                <w:tcPr/>
                <w:p>
                  <w:pPr>
                    <w:pStyle w:val="Compact"/>
                    <w:jc w:val="center"/>
                  </w:pPr>
                  <w:r>
                    <w:t xml:space="preserve">-17</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0.207</w:t>
                  </w:r>
                </w:p>
              </w:tc>
              <w:tc>
                <w:tcPr/>
                <w:p>
                  <w:pPr>
                    <w:pStyle w:val="Compact"/>
                    <w:jc w:val="center"/>
                  </w:pPr>
                  <w:r>
                    <w:t xml:space="preserve">0.203</w:t>
                  </w:r>
                </w:p>
              </w:tc>
              <w:tc>
                <w:tcPr/>
                <w:p>
                  <w:pPr>
                    <w:pStyle w:val="Compact"/>
                    <w:jc w:val="center"/>
                  </w:pPr>
                  <w:r>
                    <w:t xml:space="preserve">2.11</w:t>
                  </w:r>
                </w:p>
              </w:tc>
            </w:tr>
          </w:tbl>
          <w:p>
            <w:pPr>
              <w:jc w:val="center"/>
            </w:pPr>
            <w:pPr>
              <w:jc w:val="left"/>
              <w:spacing w:before="200"/>
              <w:pStyle w:val="ImageCaption"/>
            </w:pPr>
            <w:r>
              <w:t xml:space="preserve">Table S5: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1200</w:t>
                  </w:r>
                </w:p>
              </w:tc>
              <w:tc>
                <w:tcPr/>
                <w:p>
                  <w:pPr>
                    <w:pStyle w:val="Compact"/>
                    <w:jc w:val="center"/>
                  </w:pPr>
                  <w:r>
                    <w:t xml:space="preserve">1180</w:t>
                  </w:r>
                </w:p>
              </w:tc>
              <w:tc>
                <w:tcPr/>
                <w:p>
                  <w:pPr>
                    <w:pStyle w:val="Compact"/>
                    <w:jc w:val="center"/>
                  </w:pPr>
                  <w:r>
                    <w:t xml:space="preserve">175</w:t>
                  </w:r>
                </w:p>
              </w:tc>
              <w:tc>
                <w:tcPr/>
                <w:p>
                  <w:pPr>
                    <w:pStyle w:val="Compact"/>
                    <w:jc w:val="center"/>
                  </w:pPr>
                  <w:r>
                    <w:t xml:space="preserve">2850</w:t>
                  </w:r>
                </w:p>
              </w:tc>
            </w:tr>
            <w:tr>
              <w:tc>
                <w:tcPr/>
                <w:p>
                  <w:pPr>
                    <w:pStyle w:val="Compact"/>
                    <w:jc w:val="center"/>
                  </w:pPr>
                  <w:r>
                    <w:t xml:space="preserve">good</w:t>
                  </w:r>
                </w:p>
              </w:tc>
              <w:tc>
                <w:tcPr/>
                <w:p>
                  <w:pPr>
                    <w:pStyle w:val="Compact"/>
                    <w:jc w:val="center"/>
                  </w:pPr>
                  <w:r>
                    <w:t xml:space="preserve">1790</w:t>
                  </w:r>
                </w:p>
              </w:tc>
              <w:tc>
                <w:tcPr/>
                <w:p>
                  <w:pPr>
                    <w:pStyle w:val="Compact"/>
                    <w:jc w:val="center"/>
                  </w:pPr>
                  <w:r>
                    <w:t xml:space="preserve">1790</w:t>
                  </w:r>
                </w:p>
              </w:tc>
              <w:tc>
                <w:tcPr/>
                <w:p>
                  <w:pPr>
                    <w:pStyle w:val="Compact"/>
                    <w:jc w:val="center"/>
                  </w:pPr>
                  <w:r>
                    <w:t xml:space="preserve">10.7</w:t>
                  </w:r>
                </w:p>
              </w:tc>
              <w:tc>
                <w:tcPr/>
                <w:p>
                  <w:pPr>
                    <w:pStyle w:val="Compact"/>
                    <w:jc w:val="center"/>
                  </w:pPr>
                  <w:r>
                    <w:t xml:space="preserve">3220</w:t>
                  </w:r>
                </w:p>
              </w:tc>
            </w:tr>
          </w:tbl>
          <w:p>
            <w:pPr>
              <w:jc w:val="center"/>
            </w:pPr>
            <w:pPr>
              <w:jc w:val="left"/>
              <w:spacing w:before="200"/>
              <w:pStyle w:val="ImageCaption"/>
            </w:pPr>
            <w:r>
              <w:t xml:space="preserve">Table S6: Aggregate importance-sampling effective sample size by fit-quality arm.</w:t>
            </w:r>
          </w:p>
          <w:bookmarkEnd w:id="1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2"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&lt;0.0001</w:t>
                  </w:r>
                </w:p>
              </w:tc>
              <w:tc>
                <w:tcPr/>
                <w:p>
                  <w:pPr>
                    <w:pStyle w:val="Compact"/>
                    <w:jc w:val="center"/>
                  </w:pPr>
                  <w:r>
                    <w:t xml:space="preserve">6</w:t>
                  </w:r>
                </w:p>
              </w:tc>
            </w:tr>
          </w:tbl>
          <w:p>
            <w:pPr>
              <w:jc w:val="center"/>
            </w:pPr>
            <w:pPr>
              <w:jc w:val="left"/>
              <w:spacing w:before="200"/>
              <w:pStyle w:val="ImageCaption"/>
            </w:pPr>
            <w:r>
              <w:t xml:space="preserve">Table S7:</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12"/>
        </w:tc>
      </w:tr>
    </w:tbl>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01" Target="media/rId101.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2026-08-17T01:52:29Z</dcterms:created>
  <dcterms:modified xsi:type="dcterms:W3CDTF">2026-08-17T01:52:29Z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