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107.png" ContentType="image/png"/>
  <Override PartName="/word/media/rId42.png" ContentType="image/png"/>
  <Override PartName="/word/media/rId47.png" ContentType="image/png"/>
  <Override PartName="/word/media/rId111.png" ContentType="image/png"/>
  <Override PartName="/word/media/rId52.png" ContentType="image/png"/>
  <Override PartName="/word/media/rId62.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Importance-Weighted Variational Inference for Nonlinear Mixed-Effects Models: Characterizing and Correcting Bias in Between-Subject Variability</w:t>
      </w:r>
    </w:p>
    <w:bookmarkStart w:id="20" w:name="abstract"/>
    <w:p>
      <w:pPr>
        <w:pStyle w:val="Heading2"/>
      </w:pPr>
      <w:r>
        <w:t xml:space="preserve">Abstract</w:t>
      </w:r>
    </w:p>
    <w:p>
      <w:pPr>
        <w:pStyle w:val="FirstParagraph"/>
      </w:pPr>
      <w:r>
        <w:t xml:space="preserve">Nonlinear mixed-effects (NLME) models are widely used to characterize population-level effects and between-subject variability in pharmacokinetic and pharmacodynamic data. Established estimation methods such as first-order conditional estimation with interaction (FOCEI) and stochastic approximation expectation-maximization (SAEM) can become computationally demanding as population size and model complexity increase. Variational inference (VI) offers an optimization-based alternative, including amortized formulations that reuse a shared inference model across subjects and datasets. Across simulated and real data, we show that the standard evidence lower bound (ELBO;</w:t>
      </w:r>
      <w:r>
        <w:t xml:space="preserve"> </w:t>
      </w:r>
      <m:oMath>
        <m:r>
          <m:t>K</m:t>
        </m:r>
        <m:r>
          <m:rPr>
            <m:sty m:val="p"/>
          </m:rPr>
          <m:t>=</m:t>
        </m:r>
        <m:r>
          <m:t>1</m:t>
        </m:r>
      </m:oMath>
      <w:r>
        <w:t xml:space="preserve">) systematically underestimates between-subject variability, whereas the importance-weighted ELBO (IW-ELBO;</w:t>
      </w:r>
      <w:r>
        <w:t xml:space="preserve"> </w:t>
      </w:r>
      <m:oMath>
        <m:r>
          <m:t>K</m:t>
        </m:r>
        <m:r>
          <m:rPr>
            <m:sty m:val="p"/>
          </m:rPr>
          <m:t>&gt;</m:t>
        </m:r>
        <m:r>
          <m:t>1</m:t>
        </m:r>
      </m:oMath>
      <w:r>
        <w:t xml:space="preserve">) and richer variational families substantially reduce this bias. In matched simulated data, VI at</w:t>
      </w:r>
      <w:r>
        <w:t xml:space="preserve"> </w:t>
      </w:r>
      <m:oMath>
        <m:r>
          <m:t>K</m:t>
        </m:r>
        <m:r>
          <m:rPr>
            <m:sty m:val="p"/>
          </m:rPr>
          <m:t>=</m:t>
        </m:r>
        <m:r>
          <m:t>64</m:t>
        </m:r>
      </m:oMath>
      <w:r>
        <w:t xml:space="preserve"> </w:t>
      </w:r>
      <w:r>
        <w:t xml:space="preserve">recovers fixed effects and between-subject variability with accuracy comparable to FOCEI and SAEM, with bias below 1.2% for every reported random-effect standard deviation, whereas</w:t>
      </w:r>
      <w:r>
        <w:t xml:space="preserve"> </w:t>
      </w:r>
      <m:oMath>
        <m:r>
          <m:t>K</m:t>
        </m:r>
        <m:r>
          <m:rPr>
            <m:sty m:val="p"/>
          </m:rPr>
          <m:t>=</m:t>
        </m:r>
        <m:r>
          <m:t>1</m:t>
        </m:r>
      </m:oMath>
      <w:r>
        <w:t xml:space="preserve"> </w:t>
      </w:r>
      <w:r>
        <w:t xml:space="preserve">reproduces the systematic underestimation observed throughout the study. The same pattern is observed in two independent real pharmacokinetic datasets (theophylline and warfarin). In a nonlinear Michaelis-Menten elimination model, the correction persists for identifiable random effects, while exploratory analyses reveal a cross-method identifiability limitation when variability is assigned simultaneously to both Michaelis-Menten parameters. We further show that likelihood-ratio tests based on recovered marginal likelihoods are not uniformly calibrated across posterior architectures: tests that alter the random-effect structure are miscalibrated under a per-subject free posterior but substantially improved under a shared amortized posterior. Finally, importance-sampling effective sample size distinguishes well-converged from deliberately under-trained fits without requiring ground truth. These results delineate when corrected VI provides accurate NLME estimation and identify settings in which posterior architecture or downstream inference requires additional safeguards.</w:t>
      </w:r>
    </w:p>
    <w:bookmarkEnd w:id="20"/>
    <w:bookmarkStart w:id="21" w:name="introduction"/>
    <w:p>
      <w:pPr>
        <w:pStyle w:val="Heading2"/>
      </w:pPr>
      <w:r>
        <w:t xml:space="preserve">Introduction</w:t>
      </w:r>
    </w:p>
    <w:p>
      <w:pPr>
        <w:pStyle w:val="FirstParagraph"/>
      </w:pPr>
      <w:r>
        <w:t xml:space="preserve">Nonlinear mixed-effects (NLME) models are widely used to characterize population-level trends and between-subject variability in pharmacokinetic, pharmacodynamic, and related longitudinal data. They are particularly useful when repeated observations are collected from heterogeneous populations. Fitting an NLME model requires integrating over subject-specific random effects, an integral that is generally unavailable in closed form</w:t>
      </w:r>
      <w:r>
        <w:t xml:space="preserve"> </w:t>
      </w:r>
      <w:r>
        <w:t xml:space="preserve">(Pinheiro 1994)</w:t>
      </w:r>
      <w:r>
        <w:t xml:space="preserve">. Established estimation methods therefore rely on approximations. First-order conditional estimation with interaction (FOCEI)</w:t>
      </w:r>
      <w:r>
        <w:t xml:space="preserve"> </w:t>
      </w:r>
      <w:r>
        <w:t xml:space="preserve">(Beal and Sheiner 1980; Wang 2008)</w:t>
      </w:r>
      <w:r>
        <w:t xml:space="preserve"> </w:t>
      </w:r>
      <w:r>
        <w:t xml:space="preserve">linearizes the model around each subject’s conditional mode, whereas stochastic approximation expectation-maximization (SAEM)</w:t>
      </w:r>
      <w:r>
        <w:t xml:space="preserve"> </w:t>
      </w:r>
      <w:r>
        <w:t xml:space="preserve">(Kuhn and Lavielle 2005)</w:t>
      </w:r>
      <w:r>
        <w:t xml:space="preserve"> </w:t>
      </w:r>
      <w:r>
        <w:t xml:space="preserve">uses stochastic sampling within an iterative optimization scheme.</w:t>
      </w:r>
    </w:p>
    <w:p>
      <w:pPr>
        <w:pStyle w:val="BodyText"/>
      </w:pPr>
      <w:r>
        <w:t xml:space="preserve">Variational inference (VI) approaches the same integration problem through optimization. A tractable approximate posterior is fit by maximizing a lower bound on the marginal likelihood, the evidence lower bound (ELBO). Recent work has extended this framework to</w:t>
      </w:r>
      <w:r>
        <w:t xml:space="preserve"> </w:t>
      </w:r>
      <w:r>
        <w:rPr>
          <w:i/>
          <w:iCs/>
        </w:rPr>
        <w:t xml:space="preserve">amortized</w:t>
      </w:r>
      <w:r>
        <w:t xml:space="preserve"> </w:t>
      </w:r>
      <w:r>
        <w:t xml:space="preserve">VI for NLME models, in which a shared neural encoder maps a subject’s data to subject-specific posterior parameters</w:t>
      </w:r>
      <w:r>
        <w:t xml:space="preserve"> </w:t>
      </w:r>
      <w:r>
        <w:t xml:space="preserve">(Arruda et al. 2024)</w:t>
      </w:r>
      <w:r>
        <w:t xml:space="preserve">. Once trained, the encoder can be reused across subjects and potentially across related datasets, making amortized inference attractive in settings where repeated fitting is required.</w:t>
      </w:r>
    </w:p>
    <w:p>
      <w:pPr>
        <w:pStyle w:val="BodyText"/>
      </w:pPr>
      <w:r>
        <w:t xml:space="preserve">A central limitation of the standard ELBO is that an imperfect variational approximation can produce a loose bound and distorted posterior uncertainty. Recent applications of VI to NLME models have noted underestimation of variability parameters</w:t>
      </w:r>
      <w:r>
        <w:t xml:space="preserve"> </w:t>
      </w:r>
      <w:r>
        <w:t xml:space="preserve">(Tarek and Afonso 2026; Li et al. 2026; Baaz, Sjöberg, and Jirstrand 2026)</w:t>
      </w:r>
      <w:r>
        <w:t xml:space="preserve">, but the phenomenon has not been systematically characterized across sampling designs, posterior architectures, and variational families. In NLME models, this issue is especially important because between-subject variability is often scientifically consequential and can influence downstream decisions such as covariate modeling and random-effect selection. It is therefore necessary to determine not only whether the bias occurs, but also whether it can be corrected and whether corrected point estimates are sufficient for downstream likelihood-based inference.</w:t>
      </w:r>
    </w:p>
    <w:p>
      <w:pPr>
        <w:pStyle w:val="BodyText"/>
      </w:pPr>
      <w:r>
        <w:t xml:space="preserve">In this work, we systematically characterize the dependence of between-subject variability estimates on the number of importance samples,</w:t>
      </w:r>
      <w:r>
        <w:t xml:space="preserve"> </w:t>
      </w:r>
      <m:oMath>
        <m:r>
          <m:t>K</m:t>
        </m:r>
      </m:oMath>
      <w:r>
        <w:t xml:space="preserve">, under the standard ELBO (</w:t>
      </w:r>
      <m:oMath>
        <m:r>
          <m:t>K</m:t>
        </m:r>
        <m:r>
          <m:rPr>
            <m:sty m:val="p"/>
          </m:rPr>
          <m:t>=</m:t>
        </m:r>
        <m:r>
          <m:t>1</m:t>
        </m:r>
      </m:oMath>
      <w:r>
        <w:t xml:space="preserve">) and IW-ELBO (</w:t>
      </w:r>
      <m:oMath>
        <m:r>
          <m:t>K</m:t>
        </m:r>
        <m:r>
          <m:rPr>
            <m:sty m:val="p"/>
          </m:rPr>
          <m:t>&gt;</m:t>
        </m:r>
        <m:r>
          <m:t>1</m:t>
        </m:r>
      </m:oMath>
      <w:r>
        <w:t xml:space="preserve">). We examine dense and sparse sampling designs, free and amortized posterior architectures, and Gaussian and normalizing-flow variational families. We benchmark corrected VI against FOCEI and SAEM on matched simulated datasets, test whether the same pattern reproduces in two real pharmacokinetic datasets, and extend the analysis to a nonlinear Michaelis-Menten elimination model. We further evaluate importance-sampling effective sample size as a practical diagnostic of fit quality and assess whether recovered marginal likelihoods support calibrated likelihood-ratio testing for changes in random-effect structure. Together, these experiments identify where VI provides reliable NLME estimation, where importance weighting materially improves accuracy, and where posterior architecture remains important for downstream inference.</w:t>
      </w:r>
    </w:p>
    <w:bookmarkEnd w:id="21"/>
    <w:bookmarkStart w:id="41" w:name="methods"/>
    <w:p>
      <w:pPr>
        <w:pStyle w:val="Heading2"/>
      </w:pPr>
      <w:r>
        <w:t xml:space="preserve">Methods</w:t>
      </w:r>
    </w:p>
    <w:bookmarkStart w:id="28" w:name="X0e65fce9e03699ec657c35cb932bf69f364dcf0"/>
    <w:p>
      <w:pPr>
        <w:pStyle w:val="Heading3"/>
      </w:pPr>
      <w:r>
        <w:t xml:space="preserve">NLME Model and the Variational Inference Objective</w:t>
      </w:r>
    </w:p>
    <w:p>
      <w:pPr>
        <w:pStyle w:val="FirstParagraph"/>
      </w:pPr>
      <w:r>
        <w:t xml:space="preserve">For a population of</w:t>
      </w:r>
      <w:r>
        <w:t xml:space="preserve"> </w:t>
      </w:r>
      <m:oMath>
        <m:r>
          <m:t>N</m:t>
        </m:r>
      </m:oMath>
      <w:r>
        <w:t xml:space="preserve"> </w:t>
      </w:r>
      <w:r>
        <w:t xml:space="preserve">subjects, each subject</w:t>
      </w:r>
      <w:r>
        <w:t xml:space="preserve"> </w:t>
      </w:r>
      <m:oMath>
        <m:r>
          <m:t>i</m:t>
        </m:r>
      </m:oMath>
      <w:r>
        <w:t xml:space="preserve"> </w:t>
      </w:r>
      <w:r>
        <w:t xml:space="preserve">contributes</w:t>
      </w:r>
      <w:r>
        <w:t xml:space="preserve"> </w:t>
      </w:r>
      <w:r>
        <w:t xml:space="preserve">observations</w:t>
      </w:r>
      <w:r>
        <w:t xml:space="preserve"> </w:t>
      </w:r>
      <m:oMath>
        <m:sSub>
          <m:e>
            <m:r>
              <m:t>y</m:t>
            </m:r>
          </m:e>
          <m:sub>
            <m:r>
              <m:t>i</m:t>
            </m:r>
            <m:r>
              <m:t>j</m:t>
            </m:r>
          </m:sub>
        </m:sSub>
      </m:oMath>
      <w:r>
        <w:t xml:space="preserve"> </w:t>
      </w:r>
      <w:r>
        <w:t xml:space="preserve">at times</w:t>
      </w:r>
      <w:r>
        <w:t xml:space="preserve"> </w:t>
      </w:r>
      <m:oMath>
        <m:sSub>
          <m:e>
            <m:r>
              <m:t>t</m:t>
            </m:r>
          </m:e>
          <m:sub>
            <m:r>
              <m:t>i</m:t>
            </m:r>
            <m:r>
              <m:t>j</m:t>
            </m:r>
          </m:sub>
        </m:sSub>
      </m:oMath>
      <w:r>
        <w:t xml:space="preserve">,</w:t>
      </w:r>
      <w:r>
        <w:t xml:space="preserve"> </w:t>
      </w:r>
      <m:oMath>
        <m:r>
          <m:t>j</m:t>
        </m:r>
        <m:r>
          <m:rPr>
            <m:sty m:val="p"/>
          </m:rPr>
          <m:t>=</m:t>
        </m:r>
        <m:r>
          <m:t>1</m:t>
        </m:r>
        <m:r>
          <m:rPr>
            <m:sty m:val="p"/>
          </m:rPr>
          <m:t>,</m:t>
        </m:r>
        <m:r>
          <m:rPr>
            <m:sty m:val="p"/>
          </m:rPr>
          <m:t>…</m:t>
        </m:r>
        <m:r>
          <m:rPr>
            <m:sty m:val="p"/>
          </m:rPr>
          <m:t>,</m:t>
        </m:r>
        <m:sSub>
          <m:e>
            <m:r>
              <m:t>n</m:t>
            </m:r>
          </m:e>
          <m:sub>
            <m:r>
              <m:t>i</m:t>
            </m:r>
          </m:sub>
        </m:sSub>
      </m:oMath>
      <w:r>
        <w:t xml:space="preserve">, generated</w:t>
      </w:r>
      <w:r>
        <w:t xml:space="preserve"> </w:t>
      </w:r>
      <w:r>
        <w:t xml:space="preserve">by a structural model</w:t>
      </w:r>
      <w:r>
        <w:t xml:space="preserve"> </w:t>
      </w:r>
      <m:oMath>
        <m:r>
          <m:t>f</m:t>
        </m:r>
      </m:oMath>
      <w:r>
        <w:t xml:space="preserve"> </w:t>
      </w:r>
      <w:r>
        <w:t xml:space="preserve">evaluated at subject-specific parameters</w:t>
      </w:r>
      <w:r>
        <w:t xml:space="preserve"> </w:t>
      </w:r>
      <m:oMath>
        <m:sSub>
          <m:e>
            <m:r>
              <m:t>ϕ</m:t>
            </m:r>
          </m:e>
          <m:sub>
            <m:r>
              <m:t>i</m:t>
            </m:r>
          </m:sub>
        </m:sSub>
      </m:oMath>
      <w:r>
        <w:t xml:space="preserve">:</w:t>
      </w:r>
    </w:p>
    <w:p>
      <w:pPr>
        <w:pStyle w:val="BodyText"/>
      </w:pPr>
      <w:bookmarkStart w:id="22" w:name="eq-residual-error"/>
      <m:oMathPara>
        <m:oMathParaPr>
          <m:jc m:val="center"/>
        </m:oMathParaPr>
        <m:oMath>
          <m:sSub>
            <m:e>
              <m:r>
                <m:t>y</m:t>
              </m:r>
            </m:e>
            <m:sub>
              <m:r>
                <m:t>i</m:t>
              </m:r>
              <m:r>
                <m:t>j</m:t>
              </m:r>
            </m:sub>
          </m:sSub>
          <m:r>
            <m:rPr>
              <m:sty m:val="p"/>
            </m:rPr>
            <m:t>=</m:t>
          </m:r>
          <m:r>
            <m:t>f</m:t>
          </m:r>
          <m:d>
            <m:dPr>
              <m:begChr m:val="("/>
              <m:sepChr m:val=""/>
              <m:endChr m:val=")"/>
              <m:grow/>
            </m:dPr>
            <m:e>
              <m:sSub>
                <m:e>
                  <m:r>
                    <m:t>t</m:t>
                  </m:r>
                </m:e>
                <m:sub>
                  <m:r>
                    <m:t>i</m:t>
                  </m:r>
                  <m:r>
                    <m:t>j</m:t>
                  </m:r>
                </m:sub>
              </m:sSub>
              <m:r>
                <m:rPr>
                  <m:sty m:val="p"/>
                </m:rPr>
                <m:t>,</m:t>
              </m:r>
              <m:sSub>
                <m:e>
                  <m:r>
                    <m:t>ϕ</m:t>
                  </m:r>
                </m:e>
                <m:sub>
                  <m:r>
                    <m:t>i</m:t>
                  </m:r>
                </m:sub>
              </m:sSub>
            </m:e>
          </m:d>
          <m:r>
            <m:rPr>
              <m:sty m:val="p"/>
            </m:rPr>
            <m:t>⋅</m:t>
          </m:r>
          <m:r>
            <m:rPr>
              <m:sty m:val="p"/>
            </m:rPr>
            <m:t>exp</m:t>
          </m:r>
          <m:d>
            <m:dPr>
              <m:begChr m:val="("/>
              <m:sepChr m:val=""/>
              <m:endChr m:val=")"/>
              <m:grow/>
            </m:dPr>
            <m:e>
              <m:sSub>
                <m:e>
                  <m:r>
                    <m:t>ϵ</m:t>
                  </m:r>
                </m:e>
                <m:sub>
                  <m:r>
                    <m:t>i</m:t>
                  </m:r>
                  <m:r>
                    <m:t>j</m:t>
                  </m:r>
                </m:sub>
              </m:sSub>
            </m:e>
          </m:d>
          <m:r>
            <m:rPr>
              <m:sty m:val="p"/>
            </m:rPr>
            <m:t>,</m:t>
          </m:r>
          <m:r>
            <m:t>  </m:t>
          </m:r>
          <m:sSub>
            <m:e>
              <m:r>
                <m:t>ϵ</m:t>
              </m:r>
            </m:e>
            <m:sub>
              <m:r>
                <m:t>i</m:t>
              </m:r>
              <m:r>
                <m:t>j</m:t>
              </m:r>
            </m:sub>
          </m:sSub>
          <m:r>
            <m:rPr>
              <m:sty m:val="p"/>
            </m:rPr>
            <m:t>∼</m:t>
          </m:r>
          <m:r>
            <m:rPr>
              <m:sty m:val="p"/>
              <m:scr m:val="script"/>
            </m:rPr>
            <m:t>N</m:t>
          </m:r>
          <m:d>
            <m:dPr>
              <m:begChr m:val="("/>
              <m:sepChr m:val=""/>
              <m:endChr m:val=")"/>
              <m:grow/>
            </m:dPr>
            <m:e>
              <m:r>
                <m:t>0</m:t>
              </m:r>
              <m:r>
                <m:rPr>
                  <m:sty m:val="p"/>
                </m:rPr>
                <m:t>,</m:t>
              </m:r>
              <m:sSup>
                <m:e>
                  <m:r>
                    <m:t>σ</m:t>
                  </m:r>
                </m:e>
                <m:sup>
                  <m:r>
                    <m:t>2</m:t>
                  </m:r>
                </m:sup>
              </m:sSup>
            </m:e>
          </m:d>
          <m:r>
            <m:rPr>
              <m:sty m:val="p"/>
            </m:rPr>
            <m:t>,</m:t>
          </m:r>
          <m:r>
            <m:t>  </m:t>
          </m:r>
          <m:d>
            <m:dPr>
              <m:begChr m:val="("/>
              <m:sepChr m:val=""/>
              <m:endChr m:val=")"/>
              <m:grow/>
            </m:dPr>
            <m:e>
              <m:r>
                <m:t>1</m:t>
              </m:r>
            </m:e>
          </m:d>
        </m:oMath>
      </m:oMathPara>
      <w:bookmarkEnd w:id="22"/>
    </w:p>
    <w:p>
      <w:pPr>
        <w:pStyle w:val="FirstParagraph"/>
      </w:pPr>
      <w:r>
        <w:t xml:space="preserve">a log-normal (multiplicative) residual error model, equivalently additive</w:t>
      </w:r>
      <w:r>
        <w:t xml:space="preserve"> </w:t>
      </w:r>
      <w:r>
        <w:t xml:space="preserve">on the log scale:</w:t>
      </w:r>
    </w:p>
    <w:p>
      <w:pPr>
        <w:pStyle w:val="BodyText"/>
      </w:pPr>
      <w:bookmarkStart w:id="23" w:name="eq-log-residual-error"/>
      <m:oMathPara>
        <m:oMathParaPr>
          <m:jc m:val="center"/>
        </m:oMathParaPr>
        <m:oMath>
          <m:r>
            <m:rPr>
              <m:sty m:val="p"/>
            </m:rPr>
            <m:t>log</m:t>
          </m:r>
          <m:sSub>
            <m:e>
              <m:r>
                <m:t>y</m:t>
              </m:r>
            </m:e>
            <m:sub>
              <m:r>
                <m:t>i</m:t>
              </m:r>
              <m:r>
                <m:t>j</m:t>
              </m:r>
            </m:sub>
          </m:sSub>
          <m:r>
            <m:rPr>
              <m:sty m:val="p"/>
            </m:rPr>
            <m:t>=</m:t>
          </m:r>
          <m:r>
            <m:rPr>
              <m:sty m:val="p"/>
            </m:rPr>
            <m:t>log</m:t>
          </m:r>
          <m:r>
            <m:t>f</m:t>
          </m:r>
          <m:d>
            <m:dPr>
              <m:begChr m:val="("/>
              <m:sepChr m:val=""/>
              <m:endChr m:val=")"/>
              <m:grow/>
            </m:dPr>
            <m:e>
              <m:sSub>
                <m:e>
                  <m:r>
                    <m:t>t</m:t>
                  </m:r>
                </m:e>
                <m:sub>
                  <m:r>
                    <m:t>i</m:t>
                  </m:r>
                  <m:r>
                    <m:t>j</m:t>
                  </m:r>
                </m:sub>
              </m:sSub>
              <m:r>
                <m:rPr>
                  <m:sty m:val="p"/>
                </m:rPr>
                <m:t>,</m:t>
              </m:r>
              <m:sSub>
                <m:e>
                  <m:r>
                    <m:t>ϕ</m:t>
                  </m:r>
                </m:e>
                <m:sub>
                  <m:r>
                    <m:t>i</m:t>
                  </m:r>
                </m:sub>
              </m:sSub>
            </m:e>
          </m:d>
          <m:r>
            <m:rPr>
              <m:sty m:val="p"/>
            </m:rPr>
            <m:t>+</m:t>
          </m:r>
          <m:sSub>
            <m:e>
              <m:r>
                <m:t>ϵ</m:t>
              </m:r>
            </m:e>
            <m:sub>
              <m:r>
                <m:t>i</m:t>
              </m:r>
              <m:r>
                <m:t>j</m:t>
              </m:r>
            </m:sub>
          </m:sSub>
          <m:r>
            <m:rPr>
              <m:sty m:val="p"/>
            </m:rPr>
            <m:t>.</m:t>
          </m:r>
          <m:r>
            <m:t>  </m:t>
          </m:r>
          <m:d>
            <m:dPr>
              <m:begChr m:val="("/>
              <m:sepChr m:val=""/>
              <m:endChr m:val=")"/>
              <m:grow/>
            </m:dPr>
            <m:e>
              <m:r>
                <m:t>2</m:t>
              </m:r>
            </m:e>
          </m:d>
        </m:oMath>
      </m:oMathPara>
      <w:bookmarkEnd w:id="23"/>
    </w:p>
    <w:p>
      <w:pPr>
        <w:pStyle w:val="FirstParagraph"/>
      </w:pPr>
      <w:r>
        <w:t xml:space="preserve">Subject-specific parameters are linked to population-level fixed effects</w:t>
      </w:r>
      <w:r>
        <w:t xml:space="preserve"> </w:t>
      </w:r>
      <m:oMath>
        <m:r>
          <m:t>θ</m:t>
        </m:r>
      </m:oMath>
      <w:r>
        <w:t xml:space="preserve"> </w:t>
      </w:r>
      <w:r>
        <w:t xml:space="preserve">and subject-specific random effects</w:t>
      </w:r>
      <w:r>
        <w:t xml:space="preserve"> </w:t>
      </w:r>
      <m:oMath>
        <m:sSub>
          <m:e>
            <m:r>
              <m:t>η</m:t>
            </m:r>
          </m:e>
          <m:sub>
            <m:r>
              <m:t>i</m:t>
            </m:r>
          </m:sub>
        </m:sSub>
      </m:oMath>
      <w:r>
        <w:t xml:space="preserve"> </w:t>
      </w:r>
      <w:r>
        <w:t xml:space="preserve">through a</w:t>
      </w:r>
      <w:r>
        <w:t xml:space="preserve"> </w:t>
      </w:r>
      <w:r>
        <w:t xml:space="preserve">log-normal population model,</w:t>
      </w:r>
    </w:p>
    <w:p>
      <w:pPr>
        <w:pStyle w:val="BodyText"/>
      </w:pPr>
      <w:bookmarkStart w:id="24" w:name="eq-population-model"/>
      <m:oMathPara>
        <m:oMathParaPr>
          <m:jc m:val="center"/>
        </m:oMathParaPr>
        <m:oMath>
          <m:sSub>
            <m:e>
              <m:r>
                <m:t>ϕ</m:t>
              </m:r>
            </m:e>
            <m:sub>
              <m:r>
                <m:t>i</m:t>
              </m:r>
            </m:sub>
          </m:sSub>
          <m:r>
            <m:rPr>
              <m:sty m:val="p"/>
            </m:rPr>
            <m:t>=</m:t>
          </m:r>
          <m:r>
            <m:t>θ</m:t>
          </m:r>
          <m:r>
            <m:rPr>
              <m:sty m:val="p"/>
            </m:rPr>
            <m:t>⊙</m:t>
          </m:r>
          <m:r>
            <m:rPr>
              <m:sty m:val="p"/>
            </m:rPr>
            <m:t>exp</m:t>
          </m:r>
          <m:d>
            <m:dPr>
              <m:begChr m:val="("/>
              <m:sepChr m:val=""/>
              <m:endChr m:val=")"/>
              <m:grow/>
            </m:dPr>
            <m:e>
              <m:sSub>
                <m:e>
                  <m:r>
                    <m:t>η</m:t>
                  </m:r>
                </m:e>
                <m:sub>
                  <m:r>
                    <m:t>i</m:t>
                  </m:r>
                </m:sub>
              </m:sSub>
            </m:e>
          </m:d>
          <m:r>
            <m:rPr>
              <m:sty m:val="p"/>
            </m:rPr>
            <m:t>,</m:t>
          </m:r>
          <m:r>
            <m:t>  </m:t>
          </m:r>
          <m:sSub>
            <m:e>
              <m:r>
                <m:t>η</m:t>
              </m:r>
            </m:e>
            <m:sub>
              <m:r>
                <m:t>i</m:t>
              </m:r>
            </m:sub>
          </m:sSub>
          <m:r>
            <m:rPr>
              <m:sty m:val="p"/>
            </m:rPr>
            <m:t>∼</m:t>
          </m:r>
          <m:r>
            <m:rPr>
              <m:sty m:val="p"/>
              <m:scr m:val="script"/>
            </m:rPr>
            <m:t>N</m:t>
          </m:r>
          <m:d>
            <m:dPr>
              <m:begChr m:val="("/>
              <m:sepChr m:val=""/>
              <m:endChr m:val=")"/>
              <m:grow/>
            </m:dPr>
            <m:e>
              <m:r>
                <m:t>0</m:t>
              </m:r>
              <m:r>
                <m:rPr>
                  <m:sty m:val="p"/>
                </m:rPr>
                <m:t>,</m:t>
              </m:r>
              <m:r>
                <m:t>Ω</m:t>
              </m:r>
            </m:e>
          </m:d>
          <m:r>
            <m:rPr>
              <m:sty m:val="p"/>
            </m:rPr>
            <m:t>,</m:t>
          </m:r>
          <m:r>
            <m:t>  </m:t>
          </m:r>
          <m:d>
            <m:dPr>
              <m:begChr m:val="("/>
              <m:sepChr m:val=""/>
              <m:endChr m:val=")"/>
              <m:grow/>
            </m:dPr>
            <m:e>
              <m:r>
                <m:t>3</m:t>
              </m:r>
            </m:e>
          </m:d>
        </m:oMath>
      </m:oMathPara>
      <w:bookmarkEnd w:id="24"/>
    </w:p>
    <w:p>
      <w:pPr>
        <w:pStyle w:val="FirstParagraph"/>
      </w:pPr>
      <w:r>
        <w:t xml:space="preserve">with</w:t>
      </w:r>
      <w:r>
        <w:t xml:space="preserve"> </w:t>
      </w:r>
      <m:oMath>
        <m:r>
          <m:t>Ω</m:t>
        </m:r>
      </m:oMath>
      <w:r>
        <w:t xml:space="preserve"> </w:t>
      </w:r>
      <w:r>
        <w:t xml:space="preserve">diagonal (independent random effects) throughout this work. We parameterize the diagonal covariance matrix in terms of random-effect standard deviations,</w:t>
      </w:r>
    </w:p>
    <w:p>
      <w:pPr>
        <w:pStyle w:val="BodyText"/>
      </w:pPr>
      <m:oMathPara>
        <m:oMathParaPr>
          <m:jc m:val="center"/>
        </m:oMathParaPr>
        <m:oMath>
          <m:r>
            <m:t>Ω</m:t>
          </m:r>
          <m:r>
            <m:rPr>
              <m:sty m:val="p"/>
            </m:rPr>
            <m:t>=</m:t>
          </m:r>
          <m:r>
            <m:rPr>
              <m:sty m:val="p"/>
            </m:rPr>
            <m:t>diag</m:t>
          </m:r>
          <m:d>
            <m:dPr>
              <m:begChr m:val="("/>
              <m:sepChr m:val=""/>
              <m:endChr m:val=")"/>
              <m:grow/>
            </m:dPr>
            <m:e>
              <m:sSubSup>
                <m:e>
                  <m:r>
                    <m:t>ω</m:t>
                  </m:r>
                </m:e>
                <m:sub>
                  <m:r>
                    <m:t>1</m:t>
                  </m:r>
                </m:sub>
                <m:sup>
                  <m:r>
                    <m:t>2</m:t>
                  </m:r>
                </m:sup>
              </m:sSubSup>
              <m:r>
                <m:rPr>
                  <m:sty m:val="p"/>
                </m:rPr>
                <m:t>,</m:t>
              </m:r>
              <m:r>
                <m:rPr>
                  <m:sty m:val="p"/>
                </m:rPr>
                <m:t>…</m:t>
              </m:r>
              <m:r>
                <m:rPr>
                  <m:sty m:val="p"/>
                </m:rPr>
                <m:t>,</m:t>
              </m:r>
              <m:sSubSup>
                <m:e>
                  <m:r>
                    <m:t>ω</m:t>
                  </m:r>
                </m:e>
                <m:sub>
                  <m:r>
                    <m:t>p</m:t>
                  </m:r>
                </m:sub>
                <m:sup>
                  <m:r>
                    <m:t>2</m:t>
                  </m:r>
                </m:sup>
              </m:sSubSup>
            </m:e>
          </m:d>
          <m:r>
            <m:rPr>
              <m:sty m:val="p"/>
            </m:rPr>
            <m:t>,</m:t>
          </m:r>
        </m:oMath>
      </m:oMathPara>
    </w:p>
    <w:p>
      <w:pPr>
        <w:pStyle w:val="FirstParagraph"/>
      </w:pPr>
      <w:r>
        <w:t xml:space="preserve">where</w:t>
      </w:r>
      <w:r>
        <w:t xml:space="preserve"> </w:t>
      </w:r>
      <m:oMath>
        <m:sSub>
          <m:e>
            <m:r>
              <m:t>ω</m:t>
            </m:r>
          </m:e>
          <m:sub>
            <m:r>
              <m:t>j</m:t>
            </m:r>
          </m:sub>
        </m:sSub>
      </m:oMath>
      <w:r>
        <w:t xml:space="preserve"> </w:t>
      </w:r>
      <w:r>
        <w:t xml:space="preserve">denotes the between-subject standard deviation for random effect</w:t>
      </w:r>
      <w:r>
        <w:t xml:space="preserve"> </w:t>
      </w:r>
      <m:oMath>
        <m:r>
          <m:t>j</m:t>
        </m:r>
      </m:oMath>
      <w:r>
        <w:t xml:space="preserve">. Accordingly, reported quantities such as</w:t>
      </w:r>
      <w:r>
        <w:t xml:space="preserve"> </w:t>
      </w:r>
      <m:oMath>
        <m:sSub>
          <m:e>
            <m:r>
              <m:t>ω</m:t>
            </m:r>
          </m:e>
          <m:sub>
            <m:r>
              <m:t>C</m:t>
            </m:r>
            <m:r>
              <m:t>L</m:t>
            </m:r>
          </m:sub>
        </m:sSub>
      </m:oMath>
      <w:r>
        <w:t xml:space="preserve">,</w:t>
      </w:r>
      <w:r>
        <w:t xml:space="preserve"> </w:t>
      </w:r>
      <m:oMath>
        <m:sSub>
          <m:e>
            <m:r>
              <m:t>ω</m:t>
            </m:r>
          </m:e>
          <m:sub>
            <m:r>
              <m:t>V</m:t>
            </m:r>
          </m:sub>
        </m:sSub>
      </m:oMath>
      <w:r>
        <w:t xml:space="preserve">, and</w:t>
      </w:r>
      <w:r>
        <w:t xml:space="preserve"> </w:t>
      </w:r>
      <m:oMath>
        <m:sSub>
          <m:e>
            <m:r>
              <m:t>ω</m:t>
            </m:r>
          </m:e>
          <m:sub>
            <m:sSub>
              <m:e>
                <m:r>
                  <m:t>k</m:t>
                </m:r>
              </m:e>
              <m:sub>
                <m:r>
                  <m:t>a</m:t>
                </m:r>
              </m:sub>
            </m:sSub>
          </m:sub>
        </m:sSub>
      </m:oMath>
      <w:r>
        <w:t xml:space="preserve"> </w:t>
      </w:r>
      <w:r>
        <w:t xml:space="preserve">are standard deviations rather than variances. In prose, we use</w:t>
      </w:r>
      <w:r>
        <w:t xml:space="preserve"> </w:t>
      </w:r>
      <w:r>
        <w:rPr>
          <w:i/>
          <w:iCs/>
        </w:rPr>
        <w:t xml:space="preserve">between-subject variability</w:t>
      </w:r>
      <w:r>
        <w:t xml:space="preserve"> </w:t>
      </w:r>
      <w:r>
        <w:t xml:space="preserve">(BSV) when referring to this variability conceptually and reserve</w:t>
      </w:r>
      <w:r>
        <w:t xml:space="preserve"> </w:t>
      </w:r>
      <m:oMath>
        <m:r>
          <m:t>Ω</m:t>
        </m:r>
      </m:oMath>
      <w:r>
        <w:t xml:space="preserve"> </w:t>
      </w:r>
      <w:r>
        <w:t xml:space="preserve">for the covariance matrix.</w:t>
      </w:r>
    </w:p>
    <w:p>
      <w:pPr>
        <w:pStyle w:val="BodyText"/>
      </w:pPr>
      <w:r>
        <w:t xml:space="preserve">The population-level likelihood contribution of subject</w:t>
      </w:r>
      <w:r>
        <w:t xml:space="preserve"> </w:t>
      </w:r>
      <m:oMath>
        <m:r>
          <m:t>i</m:t>
        </m:r>
      </m:oMath>
      <w:r>
        <w:t xml:space="preserve"> </w:t>
      </w:r>
      <w:r>
        <w:t xml:space="preserve">requires</w:t>
      </w:r>
      <w:r>
        <w:t xml:space="preserve"> </w:t>
      </w:r>
      <w:r>
        <w:t xml:space="preserve">integrating the random effects out of the joint density,</w:t>
      </w:r>
    </w:p>
    <w:p>
      <w:pPr>
        <w:pStyle w:val="BodyText"/>
      </w:pPr>
      <w:bookmarkStart w:id="25" w:name="eq-marginal-likelihood"/>
      <m:oMathPara>
        <m:oMathParaPr>
          <m:jc m:val="center"/>
        </m:oMathParaPr>
        <m:oMath>
          <m:r>
            <m:t>p</m:t>
          </m:r>
          <m:d>
            <m:dPr>
              <m:begChr m:val="("/>
              <m:sepChr m:val=""/>
              <m:endChr m:val=")"/>
              <m:grow/>
            </m:dPr>
            <m:e>
              <m:sSub>
                <m:e>
                  <m:r>
                    <m:t>y</m:t>
                  </m:r>
                </m:e>
                <m:sub>
                  <m:r>
                    <m:t>i</m:t>
                  </m:r>
                </m:sub>
              </m:sSub>
              <m:r>
                <m:rPr>
                  <m:sty m:val="p"/>
                </m:rPr>
                <m:t>∣</m:t>
              </m:r>
              <m:r>
                <m:t>θ</m:t>
              </m:r>
              <m:r>
                <m:rPr>
                  <m:sty m:val="p"/>
                </m:rPr>
                <m:t>,</m:t>
              </m:r>
              <m:r>
                <m:t>Ω</m:t>
              </m:r>
              <m:r>
                <m:rPr>
                  <m:sty m:val="p"/>
                </m:rPr>
                <m:t>,</m:t>
              </m:r>
              <m:sSup>
                <m:e>
                  <m:r>
                    <m:t>σ</m:t>
                  </m:r>
                </m:e>
                <m:sup>
                  <m:r>
                    <m:t>2</m:t>
                  </m:r>
                </m:sup>
              </m:sSup>
            </m:e>
          </m:d>
          <m:r>
            <m:rPr>
              <m:sty m:val="p"/>
            </m:rPr>
            <m:t>=</m:t>
          </m:r>
          <m:r>
            <m:rPr>
              <m:sty m:val="p"/>
            </m:rPr>
            <m:t>∫</m:t>
          </m:r>
          <m:r>
            <m:t>p</m:t>
          </m:r>
          <m:d>
            <m:dPr>
              <m:begChr m:val="("/>
              <m:sepChr m:val=""/>
              <m:endChr m:val=")"/>
              <m:grow/>
            </m:dPr>
            <m:e>
              <m:sSub>
                <m:e>
                  <m:r>
                    <m:t>y</m:t>
                  </m:r>
                </m:e>
                <m:sub>
                  <m:r>
                    <m:t>i</m:t>
                  </m:r>
                </m:sub>
              </m:sSub>
              <m:r>
                <m:rPr>
                  <m:sty m:val="p"/>
                </m:rPr>
                <m:t>∣</m:t>
              </m:r>
              <m:sSub>
                <m:e>
                  <m:r>
                    <m:t>ϕ</m:t>
                  </m:r>
                </m:e>
                <m:sub>
                  <m:r>
                    <m:t>i</m:t>
                  </m:r>
                </m:sub>
              </m:sSub>
              <m:r>
                <m:rPr>
                  <m:sty m:val="p"/>
                </m:rPr>
                <m:t>,</m:t>
              </m:r>
              <m:sSup>
                <m:e>
                  <m:r>
                    <m:t>σ</m:t>
                  </m:r>
                </m:e>
                <m:sup>
                  <m:r>
                    <m:t>2</m:t>
                  </m:r>
                </m:sup>
              </m:sSup>
            </m:e>
          </m:d>
          <m:r>
            <m:t> </m:t>
          </m:r>
          <m:r>
            <m:t>p</m:t>
          </m:r>
          <m:d>
            <m:dPr>
              <m:begChr m:val="("/>
              <m:sepChr m:val=""/>
              <m:endChr m:val=")"/>
              <m:grow/>
            </m:dPr>
            <m:e>
              <m:sSub>
                <m:e>
                  <m:r>
                    <m:t>η</m:t>
                  </m:r>
                </m:e>
                <m:sub>
                  <m:r>
                    <m:t>i</m:t>
                  </m:r>
                </m:sub>
              </m:sSub>
              <m:r>
                <m:rPr>
                  <m:sty m:val="p"/>
                </m:rPr>
                <m:t>∣</m:t>
              </m:r>
              <m:r>
                <m:t>Ω</m:t>
              </m:r>
            </m:e>
          </m:d>
          <m:r>
            <m:t> </m:t>
          </m:r>
          <m:r>
            <m:t>d</m:t>
          </m:r>
          <m:sSub>
            <m:e>
              <m:r>
                <m:t>η</m:t>
              </m:r>
            </m:e>
            <m:sub>
              <m:r>
                <m:t>i</m:t>
              </m:r>
            </m:sub>
          </m:sSub>
          <m:r>
            <m:rPr>
              <m:sty m:val="p"/>
            </m:rPr>
            <m:t>,</m:t>
          </m:r>
          <m:r>
            <m:t>  </m:t>
          </m:r>
          <m:d>
            <m:dPr>
              <m:begChr m:val="("/>
              <m:sepChr m:val=""/>
              <m:endChr m:val=")"/>
              <m:grow/>
            </m:dPr>
            <m:e>
              <m:r>
                <m:t>4</m:t>
              </m:r>
            </m:e>
          </m:d>
        </m:oMath>
      </m:oMathPara>
      <w:bookmarkEnd w:id="25"/>
    </w:p>
    <w:p>
      <w:pPr>
        <w:pStyle w:val="FirstParagraph"/>
      </w:pPr>
      <w:r>
        <w:t xml:space="preserve">an integral with no closed form for any structural model</w:t>
      </w:r>
      <w:r>
        <w:t xml:space="preserve"> </w:t>
      </w:r>
      <m:oMath>
        <m:r>
          <m:t>f</m:t>
        </m:r>
      </m:oMath>
      <w:r>
        <w:t xml:space="preserve"> </w:t>
      </w:r>
      <w:r>
        <w:t xml:space="preserve">beyond the</w:t>
      </w:r>
      <w:r>
        <w:t xml:space="preserve"> </w:t>
      </w:r>
      <w:r>
        <w:t xml:space="preserve">simplest linear cases, and the central computational obstacle every NLME</w:t>
      </w:r>
      <w:r>
        <w:t xml:space="preserve"> </w:t>
      </w:r>
      <w:r>
        <w:t xml:space="preserve">estimation method must address.</w:t>
      </w:r>
    </w:p>
    <w:p>
      <w:pPr>
        <w:pStyle w:val="BodyText"/>
      </w:pPr>
      <w:r>
        <w:t xml:space="preserve">Variational inference replaces this integral with an optimization</w:t>
      </w:r>
      <w:r>
        <w:t xml:space="preserve"> </w:t>
      </w:r>
      <w:r>
        <w:t xml:space="preserve">problem. For a tractable variational family</w:t>
      </w:r>
      <w:r>
        <w:t xml:space="preserve"> </w:t>
      </w:r>
      <m:oMath>
        <m:sSub>
          <m:e>
            <m:r>
              <m:t>q</m:t>
            </m:r>
          </m:e>
          <m:sub>
            <m:r>
              <m:t>λ</m:t>
            </m:r>
          </m:sub>
        </m:sSub>
        <m:d>
          <m:dPr>
            <m:begChr m:val="("/>
            <m:sepChr m:val=""/>
            <m:endChr m:val=")"/>
            <m:grow/>
          </m:dPr>
          <m:e>
            <m:sSub>
              <m:e>
                <m:r>
                  <m:t>η</m:t>
                </m:r>
              </m:e>
              <m:sub>
                <m:r>
                  <m:t>i</m:t>
                </m:r>
              </m:sub>
            </m:sSub>
          </m:e>
        </m:d>
      </m:oMath>
      <w:r>
        <w:t xml:space="preserve">, the</w:t>
      </w:r>
      <w:r>
        <w:t xml:space="preserve"> </w:t>
      </w:r>
      <w:r>
        <w:t xml:space="preserve">standard evidence lower bound (ELBO) satisfies:</w:t>
      </w:r>
    </w:p>
    <w:p>
      <w:pPr>
        <w:pStyle w:val="BodyText"/>
      </w:pPr>
      <w:bookmarkStart w:id="26" w:name="eq-elbo"/>
      <m:oMathPara>
        <m:oMathParaPr>
          <m:jc m:val="center"/>
        </m:oMathParaPr>
        <m:oMath>
          <m:r>
            <m:rPr>
              <m:sty m:val="p"/>
            </m:rPr>
            <m:t>log</m:t>
          </m:r>
          <m:r>
            <m:t>p</m:t>
          </m:r>
          <m:d>
            <m:dPr>
              <m:begChr m:val="("/>
              <m:sepChr m:val=""/>
              <m:endChr m:val=")"/>
              <m:grow/>
            </m:dPr>
            <m:e>
              <m:sSub>
                <m:e>
                  <m:r>
                    <m:t>y</m:t>
                  </m:r>
                </m:e>
                <m:sub>
                  <m:r>
                    <m:t>i</m:t>
                  </m:r>
                </m:sub>
              </m:sSub>
              <m:r>
                <m:rPr>
                  <m:sty m:val="p"/>
                </m:rPr>
                <m:t>∣</m:t>
              </m:r>
              <m:r>
                <m:t>θ</m:t>
              </m:r>
              <m:r>
                <m:rPr>
                  <m:sty m:val="p"/>
                </m:rPr>
                <m:t>,</m:t>
              </m:r>
              <m:r>
                <m:t>Ω</m:t>
              </m:r>
              <m:r>
                <m:rPr>
                  <m:sty m:val="p"/>
                </m:rPr>
                <m:t>,</m:t>
              </m:r>
              <m:sSup>
                <m:e>
                  <m:r>
                    <m:t>σ</m:t>
                  </m:r>
                </m:e>
                <m:sup>
                  <m:r>
                    <m:t>2</m:t>
                  </m:r>
                </m:sup>
              </m:sSup>
            </m:e>
          </m:d>
          <m:r>
            <m:t> </m:t>
          </m:r>
          <m:r>
            <m:rPr>
              <m:sty m:val="p"/>
            </m:rPr>
            <m:t>≥</m:t>
          </m:r>
          <m:r>
            <m:t> </m:t>
          </m:r>
          <m:sSub>
            <m:e>
              <m:r>
                <m:rPr>
                  <m:sty m:val="p"/>
                  <m:scr m:val="double-struck"/>
                </m:rPr>
                <m:t>E</m:t>
              </m:r>
            </m:e>
            <m:sub>
              <m:sSub>
                <m:e>
                  <m:r>
                    <m:t>η</m:t>
                  </m:r>
                </m:e>
                <m:sub>
                  <m:r>
                    <m:t>i</m:t>
                  </m:r>
                </m:sub>
              </m:sSub>
              <m:r>
                <m:rPr>
                  <m:sty m:val="p"/>
                </m:rPr>
                <m:t>∼</m:t>
              </m:r>
              <m:sSub>
                <m:e>
                  <m:r>
                    <m:t>q</m:t>
                  </m:r>
                </m:e>
                <m:sub>
                  <m:r>
                    <m:t>λ</m:t>
                  </m:r>
                </m:sub>
              </m:sSub>
              <m:d>
                <m:dPr>
                  <m:begChr m:val="("/>
                  <m:sepChr m:val=""/>
                  <m:endChr m:val=")"/>
                  <m:grow/>
                </m:dPr>
                <m:e>
                  <m:sSub>
                    <m:e>
                      <m:r>
                        <m:t>η</m:t>
                      </m:r>
                    </m:e>
                    <m:sub>
                      <m:r>
                        <m:t>i</m:t>
                      </m:r>
                    </m:sub>
                  </m:sSub>
                </m:e>
              </m:d>
            </m:sub>
          </m:sSub>
          <m:d>
            <m:dPr>
              <m:begChr m:val="["/>
              <m:sepChr m:val=""/>
              <m:endChr m:val="]"/>
              <m:grow/>
            </m:dPr>
            <m:e>
              <m:r>
                <m:rPr>
                  <m:sty m:val="p"/>
                </m:rPr>
                <m:t>log</m:t>
              </m:r>
              <m:r>
                <m:t>p</m:t>
              </m:r>
              <m:d>
                <m:dPr>
                  <m:begChr m:val="("/>
                  <m:sepChr m:val=""/>
                  <m:endChr m:val=")"/>
                  <m:grow/>
                </m:dPr>
                <m:e>
                  <m:sSub>
                    <m:e>
                      <m:r>
                        <m:t>y</m:t>
                      </m:r>
                    </m:e>
                    <m:sub>
                      <m:r>
                        <m:t>i</m:t>
                      </m:r>
                    </m:sub>
                  </m:sSub>
                  <m:r>
                    <m:rPr>
                      <m:sty m:val="p"/>
                    </m:rPr>
                    <m:t>∣</m:t>
                  </m:r>
                  <m:sSub>
                    <m:e>
                      <m:r>
                        <m:t>η</m:t>
                      </m:r>
                    </m:e>
                    <m:sub>
                      <m:r>
                        <m:t>i</m:t>
                      </m:r>
                    </m:sub>
                  </m:sSub>
                  <m:r>
                    <m:rPr>
                      <m:sty m:val="p"/>
                    </m:rPr>
                    <m:t>,</m:t>
                  </m:r>
                  <m:r>
                    <m:t>θ</m:t>
                  </m:r>
                  <m:r>
                    <m:rPr>
                      <m:sty m:val="p"/>
                    </m:rPr>
                    <m:t>,</m:t>
                  </m:r>
                  <m:sSup>
                    <m:e>
                      <m:r>
                        <m:t>σ</m:t>
                      </m:r>
                    </m:e>
                    <m:sup>
                      <m:r>
                        <m:t>2</m:t>
                      </m:r>
                    </m:sup>
                  </m:sSup>
                </m:e>
              </m:d>
              <m:r>
                <m:rPr>
                  <m:sty m:val="p"/>
                </m:rPr>
                <m:t>+</m:t>
              </m:r>
              <m:r>
                <m:rPr>
                  <m:sty m:val="p"/>
                </m:rPr>
                <m:t>log</m:t>
              </m:r>
              <m:r>
                <m:t>p</m:t>
              </m:r>
              <m:d>
                <m:dPr>
                  <m:begChr m:val="("/>
                  <m:sepChr m:val=""/>
                  <m:endChr m:val=")"/>
                  <m:grow/>
                </m:dPr>
                <m:e>
                  <m:sSub>
                    <m:e>
                      <m:r>
                        <m:t>η</m:t>
                      </m:r>
                    </m:e>
                    <m:sub>
                      <m:r>
                        <m:t>i</m:t>
                      </m:r>
                    </m:sub>
                  </m:sSub>
                  <m:r>
                    <m:rPr>
                      <m:sty m:val="p"/>
                    </m:rPr>
                    <m:t>∣</m:t>
                  </m:r>
                  <m:r>
                    <m:t>Ω</m:t>
                  </m:r>
                </m:e>
              </m:d>
              <m:r>
                <m:rPr>
                  <m:sty m:val="p"/>
                </m:rPr>
                <m:t>−</m:t>
              </m:r>
              <m:r>
                <m:rPr>
                  <m:sty m:val="p"/>
                </m:rPr>
                <m:t>log</m:t>
              </m:r>
              <m:sSub>
                <m:e>
                  <m:r>
                    <m:t>q</m:t>
                  </m:r>
                </m:e>
                <m:sub>
                  <m:r>
                    <m:t>λ</m:t>
                  </m:r>
                </m:sub>
              </m:sSub>
              <m:d>
                <m:dPr>
                  <m:begChr m:val="("/>
                  <m:sepChr m:val=""/>
                  <m:endChr m:val=")"/>
                  <m:grow/>
                </m:dPr>
                <m:e>
                  <m:sSub>
                    <m:e>
                      <m:r>
                        <m:t>η</m:t>
                      </m:r>
                    </m:e>
                    <m:sub>
                      <m:r>
                        <m:t>i</m:t>
                      </m:r>
                    </m:sub>
                  </m:sSub>
                </m:e>
              </m:d>
            </m:e>
          </m:d>
          <m:r>
            <m:t> </m:t>
          </m:r>
          <m:r>
            <m:rPr>
              <m:sty m:val="p"/>
            </m:rPr>
            <m:t>=</m:t>
          </m:r>
          <m:r>
            <m:rPr>
              <m:sty m:val="p"/>
            </m:rPr>
            <m:t>:</m:t>
          </m:r>
          <m:r>
            <m:t> </m:t>
          </m:r>
          <m:sSub>
            <m:e>
              <m:r>
                <m:rPr>
                  <m:sty m:val="p"/>
                </m:rPr>
                <m:t>E</m:t>
              </m:r>
              <m:r>
                <m:rPr>
                  <m:sty m:val="p"/>
                </m:rPr>
                <m:t>L</m:t>
              </m:r>
              <m:r>
                <m:rPr>
                  <m:sty m:val="p"/>
                </m:rPr>
                <m:t>B</m:t>
              </m:r>
              <m:r>
                <m:rPr>
                  <m:sty m:val="p"/>
                </m:rPr>
                <m:t>O</m:t>
              </m:r>
            </m:e>
            <m:sub>
              <m:r>
                <m:t>i</m:t>
              </m:r>
            </m:sub>
          </m:sSub>
          <m:d>
            <m:dPr>
              <m:begChr m:val="("/>
              <m:sepChr m:val=""/>
              <m:endChr m:val=")"/>
              <m:grow/>
            </m:dPr>
            <m:e>
              <m:r>
                <m:t>λ</m:t>
              </m:r>
            </m:e>
          </m:d>
          <m:r>
            <m:rPr>
              <m:sty m:val="p"/>
            </m:rPr>
            <m:t>,</m:t>
          </m:r>
          <m:r>
            <m:t>  </m:t>
          </m:r>
          <m:d>
            <m:dPr>
              <m:begChr m:val="("/>
              <m:sepChr m:val=""/>
              <m:endChr m:val=")"/>
              <m:grow/>
            </m:dPr>
            <m:e>
              <m:r>
                <m:t>5</m:t>
              </m:r>
            </m:e>
          </m:d>
        </m:oMath>
      </m:oMathPara>
      <w:bookmarkEnd w:id="26"/>
    </w:p>
    <w:p>
      <w:pPr>
        <w:pStyle w:val="FirstParagraph"/>
      </w:pPr>
      <w:r>
        <w:t xml:space="preserve">and population parameters are estimated by maximizing</w:t>
      </w:r>
      <w:r>
        <w:t xml:space="preserve"> </w:t>
      </w:r>
      <m:oMath>
        <m:nary>
          <m:naryPr>
            <m:chr m:val="∑"/>
            <m:limLoc m:val="undOvr"/>
            <m:subHide m:val="off"/>
            <m:supHide m:val="on"/>
          </m:naryPr>
          <m:sub>
            <m:r>
              <m:t>i</m:t>
            </m:r>
          </m:sub>
          <m:sup>
            <m:r>
              <m:t>​</m:t>
            </m:r>
          </m:sup>
          <m:e>
            <m:sSub>
              <m:e>
                <m:r>
                  <m:rPr>
                    <m:sty m:val="p"/>
                  </m:rPr>
                  <m:t>E</m:t>
                </m:r>
                <m:r>
                  <m:rPr>
                    <m:sty m:val="p"/>
                  </m:rPr>
                  <m:t>L</m:t>
                </m:r>
                <m:r>
                  <m:rPr>
                    <m:sty m:val="p"/>
                  </m:rPr>
                  <m:t>B</m:t>
                </m:r>
                <m:r>
                  <m:rPr>
                    <m:sty m:val="p"/>
                  </m:rPr>
                  <m:t>O</m:t>
                </m:r>
              </m:e>
              <m:sub>
                <m:r>
                  <m:t>i</m:t>
                </m:r>
              </m:sub>
            </m:sSub>
          </m:e>
        </m:nary>
        <m:d>
          <m:dPr>
            <m:begChr m:val="("/>
            <m:sepChr m:val=""/>
            <m:endChr m:val=")"/>
            <m:grow/>
          </m:dPr>
          <m:e>
            <m:sSub>
              <m:e>
                <m:r>
                  <m:t>λ</m:t>
                </m:r>
              </m:e>
              <m:sub>
                <m:r>
                  <m:t>i</m:t>
                </m:r>
              </m:sub>
            </m:sSub>
          </m:e>
        </m:d>
      </m:oMath>
      <w:r>
        <w:t xml:space="preserve"> </w:t>
      </w:r>
      <w:r>
        <w:t xml:space="preserve">jointly over the variational</w:t>
      </w:r>
      <w:r>
        <w:t xml:space="preserve"> </w:t>
      </w:r>
      <w:r>
        <w:t xml:space="preserve">parameters</w:t>
      </w:r>
      <w:r>
        <w:t xml:space="preserve"> </w:t>
      </w:r>
      <m:oMath>
        <m:sSub>
          <m:e>
            <m:r>
              <m:t>λ</m:t>
            </m:r>
          </m:e>
          <m:sub>
            <m:r>
              <m:t>i</m:t>
            </m:r>
          </m:sub>
        </m:sSub>
      </m:oMath>
      <w:r>
        <w:t xml:space="preserve"> </w:t>
      </w:r>
      <w:r>
        <w:t xml:space="preserve">and</w:t>
      </w:r>
      <w:r>
        <w:t xml:space="preserve"> </w:t>
      </w:r>
      <m:oMath>
        <m:d>
          <m:dPr>
            <m:begChr m:val="("/>
            <m:sepChr m:val=""/>
            <m:endChr m:val=")"/>
            <m:grow/>
          </m:dPr>
          <m:e>
            <m:r>
              <m:t>θ</m:t>
            </m:r>
            <m:r>
              <m:rPr>
                <m:sty m:val="p"/>
              </m:rPr>
              <m:t>,</m:t>
            </m:r>
            <m:r>
              <m:t>Ω</m:t>
            </m:r>
            <m:r>
              <m:rPr>
                <m:sty m:val="p"/>
              </m:rPr>
              <m:t>,</m:t>
            </m:r>
            <m:sSup>
              <m:e>
                <m:r>
                  <m:t>σ</m:t>
                </m:r>
              </m:e>
              <m:sup>
                <m:r>
                  <m:t>2</m:t>
                </m:r>
              </m:sup>
            </m:sSup>
          </m:e>
        </m:d>
      </m:oMath>
      <w:r>
        <w:t xml:space="preserve">. Because this</w:t>
      </w:r>
      <w:r>
        <w:t xml:space="preserve"> </w:t>
      </w:r>
      <w:r>
        <w:t xml:space="preserve">bound need not be tight, we additionally use the</w:t>
      </w:r>
      <w:r>
        <w:t xml:space="preserve"> </w:t>
      </w:r>
      <m:oMath>
        <m:r>
          <m:t>K</m:t>
        </m:r>
      </m:oMath>
      <w:r>
        <w:t xml:space="preserve">-sample</w:t>
      </w:r>
      <w:r>
        <w:t xml:space="preserve"> </w:t>
      </w:r>
      <w:r>
        <w:t xml:space="preserve">importance-weighted ELBO (IW-ELBO)</w:t>
      </w:r>
      <w:r>
        <w:t xml:space="preserve"> </w:t>
      </w:r>
      <w:r>
        <w:t xml:space="preserve">(Burda, Grosse, and Salakhutdinov 2016)</w:t>
      </w:r>
      <w:r>
        <w:t xml:space="preserve">:</w:t>
      </w:r>
    </w:p>
    <w:p>
      <w:pPr>
        <w:pStyle w:val="BodyText"/>
      </w:pPr>
      <w:bookmarkStart w:id="27" w:name="eq-iw-elbo"/>
      <m:oMathPara>
        <m:oMathParaPr>
          <m:jc m:val="center"/>
        </m:oMathParaPr>
        <m:oMath>
          <m:sSubSup>
            <m:e>
              <m:r>
                <m:rPr>
                  <m:sty m:val="p"/>
                </m:rPr>
                <m:t>E</m:t>
              </m:r>
              <m:r>
                <m:rPr>
                  <m:sty m:val="p"/>
                </m:rPr>
                <m:t>L</m:t>
              </m:r>
              <m:r>
                <m:rPr>
                  <m:sty m:val="p"/>
                </m:rPr>
                <m:t>B</m:t>
              </m:r>
              <m:r>
                <m:rPr>
                  <m:sty m:val="p"/>
                </m:rPr>
                <m:t>O</m:t>
              </m:r>
            </m:e>
            <m:sub>
              <m:r>
                <m:t>i</m:t>
              </m:r>
            </m:sub>
            <m:sup>
              <m:d>
                <m:dPr>
                  <m:begChr m:val="("/>
                  <m:sepChr m:val=""/>
                  <m:endChr m:val=")"/>
                  <m:grow/>
                </m:dPr>
                <m:e>
                  <m:r>
                    <m:t>K</m:t>
                  </m:r>
                </m:e>
              </m:d>
            </m:sup>
          </m:sSubSup>
          <m:d>
            <m:dPr>
              <m:begChr m:val="("/>
              <m:sepChr m:val=""/>
              <m:endChr m:val=")"/>
              <m:grow/>
            </m:dPr>
            <m:e>
              <m:r>
                <m:t>λ</m:t>
              </m:r>
            </m:e>
          </m:d>
          <m:r>
            <m:rPr>
              <m:sty m:val="p"/>
            </m:rPr>
            <m:t>=</m:t>
          </m:r>
          <m:sSub>
            <m:e>
              <m:r>
                <m:rPr>
                  <m:sty m:val="p"/>
                  <m:scr m:val="double-struck"/>
                </m:rPr>
                <m:t>E</m:t>
              </m:r>
            </m:e>
            <m:sub>
              <m:sSubSup>
                <m:e>
                  <m:r>
                    <m:t>η</m:t>
                  </m:r>
                </m:e>
                <m:sub>
                  <m:r>
                    <m:t>i</m:t>
                  </m:r>
                </m:sub>
                <m:sup>
                  <m:d>
                    <m:dPr>
                      <m:begChr m:val="("/>
                      <m:sepChr m:val=""/>
                      <m:endChr m:val=")"/>
                      <m:grow/>
                    </m:dPr>
                    <m:e>
                      <m:r>
                        <m:t>1</m:t>
                      </m:r>
                    </m:e>
                  </m:d>
                </m:sup>
              </m:sSubSup>
              <m:r>
                <m:rPr>
                  <m:sty m:val="p"/>
                </m:rPr>
                <m:t>,</m:t>
              </m:r>
              <m:r>
                <m:rPr>
                  <m:sty m:val="p"/>
                </m:rPr>
                <m:t>…</m:t>
              </m:r>
              <m:r>
                <m:rPr>
                  <m:sty m:val="p"/>
                </m:rPr>
                <m:t>,</m:t>
              </m:r>
              <m:sSubSup>
                <m:e>
                  <m:r>
                    <m:t>η</m:t>
                  </m:r>
                </m:e>
                <m:sub>
                  <m:r>
                    <m:t>i</m:t>
                  </m:r>
                </m:sub>
                <m:sup>
                  <m:d>
                    <m:dPr>
                      <m:begChr m:val="("/>
                      <m:sepChr m:val=""/>
                      <m:endChr m:val=")"/>
                      <m:grow/>
                    </m:dPr>
                    <m:e>
                      <m:r>
                        <m:t>K</m:t>
                      </m:r>
                    </m:e>
                  </m:d>
                </m:sup>
              </m:sSubSup>
              <m:limUpp>
                <m:e>
                  <m:r>
                    <m:rPr>
                      <m:sty m:val="p"/>
                    </m:rPr>
                    <m:t>∼</m:t>
                  </m:r>
                </m:e>
                <m:lim>
                  <m:r>
                    <m:rPr>
                      <m:nor/>
                      <m:sty m:val="p"/>
                    </m:rPr>
                    <m:t>iid</m:t>
                  </m:r>
                </m:lim>
              </m:limUpp>
              <m:sSub>
                <m:e>
                  <m:r>
                    <m:t>q</m:t>
                  </m:r>
                </m:e>
                <m:sub>
                  <m:r>
                    <m:t>λ</m:t>
                  </m:r>
                </m:sub>
              </m:sSub>
              <m:d>
                <m:dPr>
                  <m:begChr m:val="("/>
                  <m:sepChr m:val=""/>
                  <m:endChr m:val=")"/>
                  <m:grow/>
                </m:dPr>
                <m:e>
                  <m:sSub>
                    <m:e>
                      <m:r>
                        <m:t>η</m:t>
                      </m:r>
                    </m:e>
                    <m:sub>
                      <m:r>
                        <m:t>i</m:t>
                      </m:r>
                    </m:sub>
                  </m:sSub>
                </m:e>
              </m:d>
            </m:sub>
          </m:sSub>
          <m:d>
            <m:dPr>
              <m:begChr m:val="["/>
              <m:sepChr m:val=""/>
              <m:endChr m:val="]"/>
              <m:grow/>
            </m:dPr>
            <m:e>
              <m:r>
                <m:rPr>
                  <m:sty m:val="p"/>
                </m:rPr>
                <m:t>log</m:t>
              </m:r>
              <m:f>
                <m:fPr>
                  <m:type m:val="bar"/>
                </m:fPr>
                <m:num>
                  <m:r>
                    <m:t>1</m:t>
                  </m:r>
                </m:num>
                <m:den>
                  <m:r>
                    <m:t>K</m:t>
                  </m:r>
                </m:den>
              </m:f>
              <m:nary>
                <m:naryPr>
                  <m:chr m:val="∑"/>
                  <m:limLoc m:val="undOvr"/>
                  <m:subHide m:val="off"/>
                  <m:supHide m:val="off"/>
                </m:naryPr>
                <m:sub>
                  <m:r>
                    <m:t>k</m:t>
                  </m:r>
                  <m:r>
                    <m:rPr>
                      <m:sty m:val="p"/>
                    </m:rPr>
                    <m:t>=</m:t>
                  </m:r>
                  <m:r>
                    <m:t>1</m:t>
                  </m:r>
                </m:sub>
                <m:sup>
                  <m:r>
                    <m:t>K</m:t>
                  </m:r>
                </m:sup>
                <m:e>
                  <m:f>
                    <m:fPr>
                      <m:type m:val="bar"/>
                    </m:fPr>
                    <m:num>
                      <m:r>
                        <m:t>p</m:t>
                      </m:r>
                      <m:d>
                        <m:dPr>
                          <m:begChr m:val="("/>
                          <m:sepChr m:val=""/>
                          <m:endChr m:val=")"/>
                          <m:grow/>
                        </m:dPr>
                        <m:e>
                          <m:sSub>
                            <m:e>
                              <m:r>
                                <m:t>y</m:t>
                              </m:r>
                            </m:e>
                            <m:sub>
                              <m:r>
                                <m:t>i</m:t>
                              </m:r>
                            </m:sub>
                          </m:sSub>
                          <m:r>
                            <m:rPr>
                              <m:sty m:val="p"/>
                            </m:rPr>
                            <m:t>,</m:t>
                          </m:r>
                          <m:sSubSup>
                            <m:e>
                              <m:r>
                                <m:t>η</m:t>
                              </m:r>
                            </m:e>
                            <m:sub>
                              <m:r>
                                <m:t>i</m:t>
                              </m:r>
                            </m:sub>
                            <m:sup>
                              <m:d>
                                <m:dPr>
                                  <m:begChr m:val="("/>
                                  <m:sepChr m:val=""/>
                                  <m:endChr m:val=")"/>
                                  <m:grow/>
                                </m:dPr>
                                <m:e>
                                  <m:r>
                                    <m:t>k</m:t>
                                  </m:r>
                                </m:e>
                              </m:d>
                            </m:sup>
                          </m:sSubSup>
                          <m:r>
                            <m:rPr>
                              <m:sty m:val="p"/>
                            </m:rPr>
                            <m:t>∣</m:t>
                          </m:r>
                          <m:r>
                            <m:t>θ</m:t>
                          </m:r>
                          <m:r>
                            <m:rPr>
                              <m:sty m:val="p"/>
                            </m:rPr>
                            <m:t>,</m:t>
                          </m:r>
                          <m:r>
                            <m:t>Ω</m:t>
                          </m:r>
                          <m:r>
                            <m:rPr>
                              <m:sty m:val="p"/>
                            </m:rPr>
                            <m:t>,</m:t>
                          </m:r>
                          <m:sSup>
                            <m:e>
                              <m:r>
                                <m:t>σ</m:t>
                              </m:r>
                            </m:e>
                            <m:sup>
                              <m:r>
                                <m:t>2</m:t>
                              </m:r>
                            </m:sup>
                          </m:sSup>
                        </m:e>
                      </m:d>
                    </m:num>
                    <m:den>
                      <m:sSub>
                        <m:e>
                          <m:r>
                            <m:t>q</m:t>
                          </m:r>
                        </m:e>
                        <m:sub>
                          <m:r>
                            <m:t>λ</m:t>
                          </m:r>
                        </m:sub>
                      </m:sSub>
                      <m:d>
                        <m:dPr>
                          <m:begChr m:val="("/>
                          <m:sepChr m:val=""/>
                          <m:endChr m:val=")"/>
                          <m:grow/>
                        </m:dPr>
                        <m:e>
                          <m:sSubSup>
                            <m:e>
                              <m:r>
                                <m:t>η</m:t>
                              </m:r>
                            </m:e>
                            <m:sub>
                              <m:r>
                                <m:t>i</m:t>
                              </m:r>
                            </m:sub>
                            <m:sup>
                              <m:d>
                                <m:dPr>
                                  <m:begChr m:val="("/>
                                  <m:sepChr m:val=""/>
                                  <m:endChr m:val=")"/>
                                  <m:grow/>
                                </m:dPr>
                                <m:e>
                                  <m:r>
                                    <m:t>k</m:t>
                                  </m:r>
                                </m:e>
                              </m:d>
                            </m:sup>
                          </m:sSubSup>
                        </m:e>
                      </m:d>
                    </m:den>
                  </m:f>
                </m:e>
              </m:nary>
            </m:e>
          </m:d>
          <m:r>
            <m:rPr>
              <m:sty m:val="p"/>
            </m:rPr>
            <m:t>,</m:t>
          </m:r>
          <m:r>
            <m:t>  </m:t>
          </m:r>
          <m:d>
            <m:dPr>
              <m:begChr m:val="("/>
              <m:sepChr m:val=""/>
              <m:endChr m:val=")"/>
              <m:grow/>
            </m:dPr>
            <m:e>
              <m:r>
                <m:t>6</m:t>
              </m:r>
            </m:e>
          </m:d>
        </m:oMath>
      </m:oMathPara>
      <w:bookmarkEnd w:id="27"/>
    </w:p>
    <w:p>
      <w:pPr>
        <w:pStyle w:val="FirstParagraph"/>
      </w:pPr>
      <w:r>
        <w:t xml:space="preserve">which is provably a tighter lower bound for larger</w:t>
      </w:r>
      <w:r>
        <w:t xml:space="preserve"> </w:t>
      </w:r>
      <m:oMath>
        <m:r>
          <m:t>K</m:t>
        </m:r>
      </m:oMath>
      <w:r>
        <w:t xml:space="preserve"> </w:t>
      </w:r>
      <w:r>
        <w:t xml:space="preserve">and converges to</w:t>
      </w:r>
      <w:r>
        <w:t xml:space="preserve"> </w:t>
      </w:r>
      <w:r>
        <w:t xml:space="preserve">the true marginal log-likelihood as</w:t>
      </w:r>
      <w:r>
        <w:t xml:space="preserve"> </w:t>
      </w:r>
      <m:oMath>
        <m:r>
          <m:t>K</m:t>
        </m:r>
        <m:r>
          <m:rPr>
            <m:sty m:val="p"/>
          </m:rPr>
          <m:t>→</m:t>
        </m:r>
        <m:r>
          <m:rPr>
            <m:sty m:val="p"/>
          </m:rPr>
          <m:t>∞</m:t>
        </m:r>
      </m:oMath>
      <w:r>
        <w:t xml:space="preserve">;</w:t>
      </w:r>
      <w:r>
        <w:t xml:space="preserve"> </w:t>
      </w:r>
      <m:oMath>
        <m:r>
          <m:t>K</m:t>
        </m:r>
        <m:r>
          <m:rPr>
            <m:sty m:val="p"/>
          </m:rPr>
          <m:t>=</m:t>
        </m:r>
        <m:r>
          <m:t>1</m:t>
        </m:r>
      </m:oMath>
      <w:r>
        <w:t xml:space="preserve"> </w:t>
      </w:r>
      <w:r>
        <w:t xml:space="preserve">recovers the</w:t>
      </w:r>
      <w:r>
        <w:t xml:space="preserve"> </w:t>
      </w:r>
      <w:r>
        <w:t xml:space="preserve">standard ELBO exactly. We fit models at</w:t>
      </w:r>
      <w:r>
        <w:t xml:space="preserve"> </w:t>
      </w:r>
      <m:oMath>
        <m:r>
          <m:t>K</m:t>
        </m:r>
        <m:r>
          <m:rPr>
            <m:sty m:val="p"/>
          </m:rPr>
          <m:t>∈</m:t>
        </m:r>
        <m:r>
          <m:rPr>
            <m:sty m:val="p"/>
          </m:rPr>
          <m:t>{</m:t>
        </m:r>
        <m:r>
          <m:t>1</m:t>
        </m:r>
        <m:r>
          <m:rPr>
            <m:sty m:val="p"/>
          </m:rPr>
          <m:t>,</m:t>
        </m:r>
        <m:r>
          <m:t>8</m:t>
        </m:r>
        <m:r>
          <m:rPr>
            <m:sty m:val="p"/>
          </m:rPr>
          <m:t>,</m:t>
        </m:r>
        <m:r>
          <m:t>64</m:t>
        </m:r>
        <m:r>
          <m:rPr>
            <m:sty m:val="p"/>
          </m:rPr>
          <m:t>}</m:t>
        </m:r>
      </m:oMath>
      <w:r>
        <w:t xml:space="preserve"> </w:t>
      </w:r>
      <w:r>
        <w:t xml:space="preserve">throughout,</w:t>
      </w:r>
      <w:r>
        <w:t xml:space="preserve"> </w:t>
      </w:r>
      <w:r>
        <w:t xml:space="preserve">treating</w:t>
      </w:r>
      <w:r>
        <w:t xml:space="preserve"> </w:t>
      </w:r>
      <m:oMath>
        <m:r>
          <m:t>K</m:t>
        </m:r>
        <m:r>
          <m:rPr>
            <m:sty m:val="p"/>
          </m:rPr>
          <m:t>=</m:t>
        </m:r>
        <m:r>
          <m:t>1</m:t>
        </m:r>
      </m:oMath>
      <w:r>
        <w:t xml:space="preserve"> </w:t>
      </w:r>
      <w:r>
        <w:t xml:space="preserve">as the baseline against which the importance-weighting</w:t>
      </w:r>
      <w:r>
        <w:t xml:space="preserve"> </w:t>
      </w:r>
      <w:r>
        <w:t xml:space="preserve">correction is measured. A post-hoc, higher-precision importance-sampling</w:t>
      </w:r>
      <w:r>
        <w:t xml:space="preserve"> </w:t>
      </w:r>
      <w:r>
        <w:t xml:space="preserve">estimate of the marginal likelihood (independent of the training</w:t>
      </w:r>
      <w:r>
        <w:t xml:space="preserve"> </w:t>
      </w:r>
      <m:oMath>
        <m:r>
          <m:t>K</m:t>
        </m:r>
      </m:oMath>
      <w:r>
        <w:t xml:space="preserve">) is</w:t>
      </w:r>
      <w:r>
        <w:t xml:space="preserve"> </w:t>
      </w:r>
      <w:r>
        <w:t xml:space="preserve">also used to place fitted models on the same objective-function-value</w:t>
      </w:r>
      <w:r>
        <w:t xml:space="preserve"> </w:t>
      </w:r>
      <w:r>
        <w:t xml:space="preserve">(OFV) scale conventionally reported by FOCEI/SAEM software,</w:t>
      </w:r>
      <w:r>
        <w:t xml:space="preserve"> </w:t>
      </w:r>
      <m:oMath>
        <m:r>
          <m:rPr>
            <m:sty m:val="p"/>
          </m:rPr>
          <m:t>O</m:t>
        </m:r>
        <m:r>
          <m:rPr>
            <m:sty m:val="p"/>
          </m:rPr>
          <m:t>F</m:t>
        </m:r>
        <m:r>
          <m:rPr>
            <m:sty m:val="p"/>
          </m:rPr>
          <m:t>V</m:t>
        </m:r>
        <m:r>
          <m:rPr>
            <m:sty m:val="p"/>
          </m:rPr>
          <m:t>=</m:t>
        </m:r>
        <m:r>
          <m:rPr>
            <m:sty m:val="p"/>
          </m:rPr>
          <m:t>−</m:t>
        </m:r>
        <m:r>
          <m:t>2</m:t>
        </m:r>
        <m:r>
          <m:rPr>
            <m:sty m:val="p"/>
          </m:rPr>
          <m:t>log</m:t>
        </m:r>
        <m:r>
          <m:t>p</m:t>
        </m:r>
        <m:d>
          <m:dPr>
            <m:begChr m:val="("/>
            <m:sepChr m:val=""/>
            <m:endChr m:val=")"/>
            <m:grow/>
          </m:dPr>
          <m:e>
            <m:r>
              <m:t>y</m:t>
            </m:r>
            <m:r>
              <m:rPr>
                <m:sty m:val="p"/>
              </m:rPr>
              <m:t>∣</m:t>
            </m:r>
            <m:r>
              <m:t>θ</m:t>
            </m:r>
            <m:r>
              <m:rPr>
                <m:sty m:val="p"/>
              </m:rPr>
              <m:t>,</m:t>
            </m:r>
            <m:r>
              <m:t>Ω</m:t>
            </m:r>
            <m:r>
              <m:rPr>
                <m:sty m:val="p"/>
              </m:rPr>
              <m:t>,</m:t>
            </m:r>
            <m:sSup>
              <m:e>
                <m:r>
                  <m:t>σ</m:t>
                </m:r>
              </m:e>
              <m:sup>
                <m:r>
                  <m:t>2</m:t>
                </m:r>
              </m:sup>
            </m:sSup>
          </m:e>
        </m:d>
      </m:oMath>
      <w:r>
        <w:t xml:space="preserve">.</w:t>
      </w:r>
    </w:p>
    <w:bookmarkEnd w:id="28"/>
    <w:bookmarkStart w:id="30" w:name="variational-posterior-families"/>
    <w:p>
      <w:pPr>
        <w:pStyle w:val="Heading3"/>
      </w:pPr>
      <w:r>
        <w:t xml:space="preserve">Variational Posterior Families</w:t>
      </w:r>
    </w:p>
    <w:p>
      <w:pPr>
        <w:pStyle w:val="FirstParagraph"/>
      </w:pPr>
      <w:r>
        <w:t xml:space="preserve">We cross two independent design choices for the variational posterior.</w:t>
      </w:r>
    </w:p>
    <w:p>
      <w:pPr>
        <w:pStyle w:val="BodyText"/>
      </w:pPr>
      <w:r>
        <w:rPr>
          <w:b/>
          <w:bCs/>
        </w:rPr>
        <w:t xml:space="preserve">Free vs. amortized.</w:t>
      </w:r>
      <w:r>
        <w:t xml:space="preserve"> </w:t>
      </w:r>
      <w:r>
        <w:t xml:space="preserve">A</w:t>
      </w:r>
      <w:r>
        <w:t xml:space="preserve"> </w:t>
      </w:r>
      <w:r>
        <w:rPr>
          <w:i/>
          <w:iCs/>
        </w:rPr>
        <w:t xml:space="preserve">free</w:t>
      </w:r>
      <w:r>
        <w:t xml:space="preserve"> </w:t>
      </w:r>
      <w:r>
        <w:t xml:space="preserve">posterior assigns each subject</w:t>
      </w:r>
      <w:r>
        <w:t xml:space="preserve"> </w:t>
      </w:r>
      <m:oMath>
        <m:r>
          <m:t>i</m:t>
        </m:r>
      </m:oMath>
      <w:r>
        <w:t xml:space="preserve"> </w:t>
      </w:r>
      <w:r>
        <w:t xml:space="preserve">its</w:t>
      </w:r>
      <w:r>
        <w:t xml:space="preserve"> </w:t>
      </w:r>
      <w:r>
        <w:t xml:space="preserve">own variational parameters</w:t>
      </w:r>
      <w:r>
        <w:t xml:space="preserve"> </w:t>
      </w:r>
      <m:oMath>
        <m:sSub>
          <m:e>
            <m:r>
              <m:t>λ</m:t>
            </m:r>
          </m:e>
          <m:sub>
            <m:r>
              <m:t>i</m:t>
            </m:r>
          </m:sub>
        </m:sSub>
        <m:r>
          <m:rPr>
            <m:sty m:val="p"/>
          </m:rPr>
          <m:t>=</m:t>
        </m:r>
        <m:d>
          <m:dPr>
            <m:begChr m:val="("/>
            <m:sepChr m:val=""/>
            <m:endChr m:val=")"/>
            <m:grow/>
          </m:dPr>
          <m:e>
            <m:sSub>
              <m:e>
                <m:r>
                  <m:t>μ</m:t>
                </m:r>
              </m:e>
              <m:sub>
                <m:r>
                  <m:t>i</m:t>
                </m:r>
              </m:sub>
            </m:sSub>
            <m:r>
              <m:rPr>
                <m:sty m:val="p"/>
              </m:rPr>
              <m:t>,</m:t>
            </m:r>
            <m:sSub>
              <m:e>
                <m:r>
                  <m:t>s</m:t>
                </m:r>
              </m:e>
              <m:sub>
                <m:r>
                  <m:t>i</m:t>
                </m:r>
              </m:sub>
            </m:sSub>
          </m:e>
        </m:d>
      </m:oMath>
      <w:r>
        <w:t xml:space="preserve">, optimized</w:t>
      </w:r>
      <w:r>
        <w:t xml:space="preserve"> </w:t>
      </w:r>
      <w:r>
        <w:t xml:space="preserve">independently subject by subject. An</w:t>
      </w:r>
      <w:r>
        <w:t xml:space="preserve"> </w:t>
      </w:r>
      <w:r>
        <w:rPr>
          <w:i/>
          <w:iCs/>
        </w:rPr>
        <w:t xml:space="preserve">amortized</w:t>
      </w:r>
      <w:r>
        <w:t xml:space="preserve"> </w:t>
      </w:r>
      <w:r>
        <w:t xml:space="preserve">posterior instead learns</w:t>
      </w:r>
      <w:r>
        <w:t xml:space="preserve"> </w:t>
      </w:r>
      <w:r>
        <w:t xml:space="preserve">a single shared encoder</w:t>
      </w:r>
      <w:r>
        <w:t xml:space="preserve"> </w:t>
      </w:r>
      <m:oMath>
        <m:sSub>
          <m:e>
            <m:r>
              <m:t>λ</m:t>
            </m:r>
          </m:e>
          <m:sub>
            <m:r>
              <m:t>i</m:t>
            </m:r>
          </m:sub>
        </m:sSub>
        <m:r>
          <m:rPr>
            <m:sty m:val="p"/>
          </m:rPr>
          <m:t>=</m:t>
        </m:r>
        <m:sSub>
          <m:e>
            <m:r>
              <m:t>g</m:t>
            </m:r>
          </m:e>
          <m:sub>
            <m:r>
              <m:t>ψ</m:t>
            </m:r>
          </m:sub>
        </m:sSub>
        <m:d>
          <m:dPr>
            <m:begChr m:val="("/>
            <m:sepChr m:val=""/>
            <m:endChr m:val=")"/>
            <m:grow/>
          </m:dPr>
          <m:e>
            <m:sSub>
              <m:e>
                <m:r>
                  <m:t>y</m:t>
                </m:r>
              </m:e>
              <m:sub>
                <m:r>
                  <m:t>i</m:t>
                </m:r>
              </m:sub>
            </m:sSub>
          </m:e>
        </m:d>
      </m:oMath>
      <w:r>
        <w:t xml:space="preserve"> </w:t>
      </w:r>
      <w:r>
        <w:t xml:space="preserve">mapping any subject’s</w:t>
      </w:r>
      <w:r>
        <w:t xml:space="preserve"> </w:t>
      </w:r>
      <w:r>
        <w:t xml:space="preserve">observed data directly to variational parameters, so that inference for a</w:t>
      </w:r>
      <w:r>
        <w:t xml:space="preserve"> </w:t>
      </w:r>
      <w:r>
        <w:t xml:space="preserve">new subject requires only a forward pass through</w:t>
      </w:r>
      <w:r>
        <w:t xml:space="preserve"> </w:t>
      </w:r>
      <m:oMath>
        <m:sSub>
          <m:e>
            <m:r>
              <m:t>g</m:t>
            </m:r>
          </m:e>
          <m:sub>
            <m:r>
              <m:t>ψ</m:t>
            </m:r>
          </m:sub>
        </m:sSub>
      </m:oMath>
      <w:r>
        <w:t xml:space="preserve"> </w:t>
      </w:r>
      <w:r>
        <w:t xml:space="preserve">rather than a</w:t>
      </w:r>
      <w:r>
        <w:t xml:space="preserve"> </w:t>
      </w:r>
      <w:r>
        <w:t xml:space="preserve">fresh per-subject optimization, the property that makes amortized VI</w:t>
      </w:r>
      <w:r>
        <w:t xml:space="preserve"> </w:t>
      </w:r>
      <w:r>
        <w:t xml:space="preserve">attractive for reuse across new datasets</w:t>
      </w:r>
      <w:r>
        <w:t xml:space="preserve"> </w:t>
      </w:r>
      <w:r>
        <w:t xml:space="preserve">(Arruda et al. 2024)</w:t>
      </w:r>
      <w:r>
        <w:t xml:space="preserve">.</w:t>
      </w:r>
    </w:p>
    <w:p>
      <w:pPr>
        <w:pStyle w:val="BodyText"/>
      </w:pPr>
      <w:r>
        <w:rPr>
          <w:b/>
          <w:bCs/>
        </w:rPr>
        <w:t xml:space="preserve">Gaussian vs. normalizing flow.</w:t>
      </w:r>
      <w:r>
        <w:t xml:space="preserve"> </w:t>
      </w:r>
      <w:r>
        <w:t xml:space="preserve">Within either posterior architecture,</w:t>
      </w:r>
      <w:r>
        <w:t xml:space="preserve"> </w:t>
      </w:r>
      <w:r>
        <w:t xml:space="preserve">the variational family itself may be a simple diagonal Gaussian,</w:t>
      </w:r>
      <w:r>
        <w:t xml:space="preserve"> </w:t>
      </w:r>
      <m:oMath>
        <m:r>
          <m:t>q</m:t>
        </m:r>
        <m:d>
          <m:dPr>
            <m:begChr m:val="("/>
            <m:sepChr m:val=""/>
            <m:endChr m:val=")"/>
            <m:grow/>
          </m:dPr>
          <m:e>
            <m:sSub>
              <m:e>
                <m:r>
                  <m:t>η</m:t>
                </m:r>
              </m:e>
              <m:sub>
                <m:r>
                  <m:t>i</m:t>
                </m:r>
              </m:sub>
            </m:sSub>
          </m:e>
        </m:d>
        <m:r>
          <m:rPr>
            <m:sty m:val="p"/>
          </m:rPr>
          <m:t>=</m:t>
        </m:r>
        <m:r>
          <m:rPr>
            <m:sty m:val="p"/>
            <m:scr m:val="script"/>
          </m:rPr>
          <m:t>N</m:t>
        </m:r>
        <m:d>
          <m:dPr>
            <m:begChr m:val="("/>
            <m:sepChr m:val=""/>
            <m:endChr m:val=")"/>
            <m:grow/>
          </m:dPr>
          <m:e>
            <m:sSub>
              <m:e>
                <m:r>
                  <m:t>μ</m:t>
                </m:r>
              </m:e>
              <m:sub>
                <m:r>
                  <m:t>i</m:t>
                </m:r>
              </m:sub>
            </m:sSub>
            <m:r>
              <m:rPr>
                <m:sty m:val="p"/>
              </m:rPr>
              <m:t>,</m:t>
            </m:r>
            <m:r>
              <m:rPr>
                <m:sty m:val="p"/>
              </m:rPr>
              <m:t>d</m:t>
            </m:r>
            <m:r>
              <m:rPr>
                <m:sty m:val="p"/>
              </m:rPr>
              <m:t>i</m:t>
            </m:r>
            <m:r>
              <m:rPr>
                <m:sty m:val="p"/>
              </m:rPr>
              <m:t>a</m:t>
            </m:r>
            <m:r>
              <m:rPr>
                <m:sty m:val="p"/>
              </m:rPr>
              <m:t>g</m:t>
            </m:r>
            <m:d>
              <m:dPr>
                <m:begChr m:val="("/>
                <m:sepChr m:val=""/>
                <m:endChr m:val=")"/>
                <m:grow/>
              </m:dPr>
              <m:e>
                <m:sSubSup>
                  <m:e>
                    <m:r>
                      <m:t>s</m:t>
                    </m:r>
                  </m:e>
                  <m:sub>
                    <m:r>
                      <m:t>i</m:t>
                    </m:r>
                  </m:sub>
                  <m:sup>
                    <m:r>
                      <m:t>2</m:t>
                    </m:r>
                  </m:sup>
                </m:sSubSup>
              </m:e>
            </m:d>
          </m:e>
        </m:d>
      </m:oMath>
      <w:r>
        <w:t xml:space="preserve">, or a richer family</w:t>
      </w:r>
      <w:r>
        <w:t xml:space="preserve"> </w:t>
      </w:r>
      <w:r>
        <w:t xml:space="preserve">constructed via a conditional normalizing flow</w:t>
      </w:r>
      <w:r>
        <w:t xml:space="preserve"> </w:t>
      </w:r>
      <w:r>
        <w:t xml:space="preserve">(Rezende and Mohamed 2015; Papamakarios et al. 2021)</w:t>
      </w:r>
      <w:r>
        <w:t xml:space="preserve">. In the flow</w:t>
      </w:r>
      <w:r>
        <w:t xml:space="preserve"> </w:t>
      </w:r>
      <w:r>
        <w:t xml:space="preserve">case, a latent variable</w:t>
      </w:r>
      <w:r>
        <w:t xml:space="preserve"> </w:t>
      </w:r>
      <m:oMath>
        <m:sSub>
          <m:e>
            <m:r>
              <m:t>z</m:t>
            </m:r>
          </m:e>
          <m:sub>
            <m:r>
              <m:t>i</m:t>
            </m:r>
          </m:sub>
        </m:sSub>
        <m:r>
          <m:rPr>
            <m:sty m:val="p"/>
          </m:rPr>
          <m:t>∼</m:t>
        </m:r>
        <m:r>
          <m:rPr>
            <m:sty m:val="p"/>
            <m:scr m:val="script"/>
          </m:rPr>
          <m:t>N</m:t>
        </m:r>
        <m:d>
          <m:dPr>
            <m:begChr m:val="("/>
            <m:sepChr m:val=""/>
            <m:endChr m:val=")"/>
            <m:grow/>
          </m:dPr>
          <m:e>
            <m:r>
              <m:t>0</m:t>
            </m:r>
            <m:r>
              <m:rPr>
                <m:sty m:val="p"/>
              </m:rPr>
              <m:t>,</m:t>
            </m:r>
            <m:r>
              <m:t>I</m:t>
            </m:r>
          </m:e>
        </m:d>
      </m:oMath>
      <w:r>
        <w:t xml:space="preserve"> </w:t>
      </w:r>
      <w:r>
        <w:t xml:space="preserve">is transformed by an</w:t>
      </w:r>
      <w:r>
        <w:t xml:space="preserve"> </w:t>
      </w:r>
      <w:r>
        <w:t xml:space="preserve">invertible, differentiable map</w:t>
      </w:r>
      <w:r>
        <w:t xml:space="preserve"> </w:t>
      </w:r>
      <m:oMath>
        <m:sSub>
          <m:e>
            <m:r>
              <m:t>h</m:t>
            </m:r>
          </m:e>
          <m:sub>
            <m:r>
              <m:t>ψ</m:t>
            </m:r>
          </m:sub>
        </m:sSub>
      </m:oMath>
      <w:r>
        <w:t xml:space="preserve"> </w:t>
      </w:r>
      <w:r>
        <w:t xml:space="preserve">conditioned on the base</w:t>
      </w:r>
      <w:r>
        <w:t xml:space="preserve"> </w:t>
      </w:r>
      <w:r>
        <w:t xml:space="preserve">posterior’s parameters,</w:t>
      </w:r>
    </w:p>
    <w:p>
      <w:pPr>
        <w:pStyle w:val="BodyText"/>
      </w:pPr>
      <w:bookmarkStart w:id="29" w:name="eq-flow-density"/>
      <m:oMathPara>
        <m:oMathParaPr>
          <m:jc m:val="center"/>
        </m:oMathParaPr>
        <m:oMath>
          <m:sSub>
            <m:e>
              <m:r>
                <m:t>η</m:t>
              </m:r>
            </m:e>
            <m:sub>
              <m:r>
                <m:t>i</m:t>
              </m:r>
            </m:sub>
          </m:sSub>
          <m:r>
            <m:rPr>
              <m:sty m:val="p"/>
            </m:rPr>
            <m:t>=</m:t>
          </m:r>
          <m:sSub>
            <m:e>
              <m:r>
                <m:t>h</m:t>
              </m:r>
            </m:e>
            <m:sub>
              <m:r>
                <m:t>ψ</m:t>
              </m:r>
            </m:sub>
          </m:sSub>
          <m:d>
            <m:dPr>
              <m:begChr m:val="("/>
              <m:sepChr m:val=""/>
              <m:endChr m:val=")"/>
              <m:grow/>
            </m:dPr>
            <m:e>
              <m:sSub>
                <m:e>
                  <m:r>
                    <m:t>z</m:t>
                  </m:r>
                </m:e>
                <m:sub>
                  <m:r>
                    <m:t>i</m:t>
                  </m:r>
                </m:sub>
              </m:sSub>
              <m:r>
                <m:t> </m:t>
              </m:r>
              <m:r>
                <m:rPr>
                  <m:sty m:val="p"/>
                </m:rPr>
                <m:t>;</m:t>
              </m:r>
              <m:r>
                <m:t> </m:t>
              </m:r>
              <m:sSub>
                <m:e>
                  <m:r>
                    <m:t>μ</m:t>
                  </m:r>
                </m:e>
                <m:sub>
                  <m:r>
                    <m:t>i</m:t>
                  </m:r>
                </m:sub>
              </m:sSub>
              <m:r>
                <m:rPr>
                  <m:sty m:val="p"/>
                </m:rPr>
                <m:t>,</m:t>
              </m:r>
              <m:sSub>
                <m:e>
                  <m:r>
                    <m:t>s</m:t>
                  </m:r>
                </m:e>
                <m:sub>
                  <m:r>
                    <m:t>i</m:t>
                  </m:r>
                </m:sub>
              </m:sSub>
            </m:e>
          </m:d>
          <m:r>
            <m:rPr>
              <m:sty m:val="p"/>
            </m:rPr>
            <m:t>,</m:t>
          </m:r>
          <m:r>
            <m:t>  </m:t>
          </m:r>
          <m:r>
            <m:rPr>
              <m:sty m:val="p"/>
            </m:rPr>
            <m:t>log</m:t>
          </m:r>
          <m:r>
            <m:t>q</m:t>
          </m:r>
          <m:d>
            <m:dPr>
              <m:begChr m:val="("/>
              <m:sepChr m:val=""/>
              <m:endChr m:val=")"/>
              <m:grow/>
            </m:dPr>
            <m:e>
              <m:sSub>
                <m:e>
                  <m:r>
                    <m:t>η</m:t>
                  </m:r>
                </m:e>
                <m:sub>
                  <m:r>
                    <m:t>i</m:t>
                  </m:r>
                </m:sub>
              </m:sSub>
            </m:e>
          </m:d>
          <m:r>
            <m:rPr>
              <m:sty m:val="p"/>
            </m:rPr>
            <m:t>=</m:t>
          </m:r>
          <m:r>
            <m:rPr>
              <m:sty m:val="p"/>
            </m:rPr>
            <m:t>log</m:t>
          </m:r>
          <m:r>
            <m:rPr>
              <m:sty m:val="p"/>
              <m:scr m:val="script"/>
            </m:rPr>
            <m:t>N</m:t>
          </m:r>
          <m:d>
            <m:dPr>
              <m:begChr m:val="("/>
              <m:sepChr m:val=""/>
              <m:endChr m:val=")"/>
              <m:grow/>
            </m:dPr>
            <m:e>
              <m:sSub>
                <m:e>
                  <m:r>
                    <m:t>z</m:t>
                  </m:r>
                </m:e>
                <m:sub>
                  <m:r>
                    <m:t>i</m:t>
                  </m:r>
                </m:sub>
              </m:sSub>
              <m:r>
                <m:rPr>
                  <m:sty m:val="p"/>
                </m:rPr>
                <m:t>;</m:t>
              </m:r>
              <m:r>
                <m:t>0</m:t>
              </m:r>
              <m:r>
                <m:rPr>
                  <m:sty m:val="p"/>
                </m:rPr>
                <m:t>,</m:t>
              </m:r>
              <m:r>
                <m:t>I</m:t>
              </m:r>
            </m:e>
          </m:d>
          <m:r>
            <m:rPr>
              <m:sty m:val="p"/>
            </m:rPr>
            <m:t>−</m:t>
          </m:r>
          <m:r>
            <m:rPr>
              <m:sty m:val="p"/>
            </m:rPr>
            <m:t>log</m:t>
          </m:r>
          <m:d>
            <m:dPr>
              <m:begChr m:val="|"/>
              <m:sepChr m:val=""/>
              <m:endChr m:val="|"/>
              <m:grow/>
            </m:dPr>
            <m:e>
              <m:r>
                <m:rPr>
                  <m:sty m:val="p"/>
                </m:rPr>
                <m:t>det</m:t>
              </m:r>
              <m:f>
                <m:fPr>
                  <m:type m:val="bar"/>
                </m:fPr>
                <m:num>
                  <m:r>
                    <m:rPr>
                      <m:sty m:val="p"/>
                    </m:rPr>
                    <m:t>∂</m:t>
                  </m:r>
                  <m:sSub>
                    <m:e>
                      <m:r>
                        <m:t>h</m:t>
                      </m:r>
                    </m:e>
                    <m:sub>
                      <m:r>
                        <m:t>ψ</m:t>
                      </m:r>
                    </m:sub>
                  </m:sSub>
                </m:num>
                <m:den>
                  <m:r>
                    <m:rPr>
                      <m:sty m:val="p"/>
                    </m:rPr>
                    <m:t>∂</m:t>
                  </m:r>
                  <m:sSub>
                    <m:e>
                      <m:r>
                        <m:t>z</m:t>
                      </m:r>
                    </m:e>
                    <m:sub>
                      <m:r>
                        <m:t>i</m:t>
                      </m:r>
                    </m:sub>
                  </m:sSub>
                </m:den>
              </m:f>
            </m:e>
          </m:d>
          <m:r>
            <m:rPr>
              <m:sty m:val="p"/>
            </m:rPr>
            <m:t>,</m:t>
          </m:r>
          <m:r>
            <m:t>  </m:t>
          </m:r>
          <m:d>
            <m:dPr>
              <m:begChr m:val="("/>
              <m:sepChr m:val=""/>
              <m:endChr m:val=")"/>
              <m:grow/>
            </m:dPr>
            <m:e>
              <m:r>
                <m:t>7</m:t>
              </m:r>
            </m:e>
          </m:d>
        </m:oMath>
      </m:oMathPara>
      <w:bookmarkEnd w:id="29"/>
    </w:p>
    <w:p>
      <w:pPr>
        <w:pStyle w:val="FirstParagraph"/>
      </w:pPr>
      <w:r>
        <w:t xml:space="preserve">allowing</w:t>
      </w:r>
      <w:r>
        <w:t xml:space="preserve"> </w:t>
      </w:r>
      <m:oMath>
        <m:r>
          <m:t>q</m:t>
        </m:r>
      </m:oMath>
      <w:r>
        <w:t xml:space="preserve"> </w:t>
      </w:r>
      <w:r>
        <w:t xml:space="preserve">to represent non-Gaussian posterior shapes (skew,</w:t>
      </w:r>
      <w:r>
        <w:t xml:space="preserve"> </w:t>
      </w:r>
      <w:r>
        <w:t xml:space="preserve">multimodality) that a diagonal Gaussian cannot. Crossing both design axes</w:t>
      </w:r>
      <w:r>
        <w:t xml:space="preserve"> </w:t>
      </w:r>
      <w:r>
        <w:t xml:space="preserve">gives four posterior configurations (free/amortized</w:t>
      </w:r>
      <w:r>
        <w:t xml:space="preserve"> </w:t>
      </w:r>
      <m:oMath>
        <m:r>
          <m:rPr>
            <m:sty m:val="p"/>
          </m:rPr>
          <m:t>×</m:t>
        </m:r>
      </m:oMath>
      <w:r>
        <w:t xml:space="preserve"> </w:t>
      </w:r>
      <w:r>
        <w:t xml:space="preserve">Gaussian/flow); as detailed in the Results, one configuration (amortized</w:t>
      </w:r>
      <w:r>
        <w:t xml:space="preserve"> </w:t>
      </w:r>
      <w:r>
        <w:t xml:space="preserve">+ flow) is unstable and excluded from primary results.</w:t>
      </w:r>
    </w:p>
    <w:bookmarkEnd w:id="30"/>
    <w:bookmarkStart w:id="31" w:name="training-and-convergence"/>
    <w:p>
      <w:pPr>
        <w:pStyle w:val="Heading3"/>
      </w:pPr>
      <w:r>
        <w:t xml:space="preserve">Training and Convergence</w:t>
      </w:r>
    </w:p>
    <w:p>
      <w:pPr>
        <w:pStyle w:val="FirstParagraph"/>
      </w:pPr>
      <w:r>
        <w:t xml:space="preserve">All models are trained via stochastic gradient ascent on</w:t>
      </w:r>
      <w:r>
        <w:t xml:space="preserve"> </w:t>
      </w:r>
      <m:oMath>
        <m:sSup>
          <m:e>
            <m:r>
              <m:rPr>
                <m:sty m:val="p"/>
              </m:rPr>
              <m:t>E</m:t>
            </m:r>
            <m:r>
              <m:rPr>
                <m:sty m:val="p"/>
              </m:rPr>
              <m:t>L</m:t>
            </m:r>
            <m:r>
              <m:rPr>
                <m:sty m:val="p"/>
              </m:rPr>
              <m:t>B</m:t>
            </m:r>
            <m:r>
              <m:rPr>
                <m:sty m:val="p"/>
              </m:rPr>
              <m:t>O</m:t>
            </m:r>
          </m:e>
          <m:sup>
            <m:d>
              <m:dPr>
                <m:begChr m:val="("/>
                <m:sepChr m:val=""/>
                <m:endChr m:val=")"/>
                <m:grow/>
              </m:dPr>
              <m:e>
                <m:r>
                  <m:t>K</m:t>
                </m:r>
              </m:e>
            </m:d>
          </m:sup>
        </m:sSup>
      </m:oMath>
      <w:r>
        <w:t xml:space="preserve"> </w:t>
      </w:r>
      <w:r>
        <w:t xml:space="preserve">using Adam, with training continued adaptively</w:t>
      </w:r>
      <w:r>
        <w:t xml:space="preserve"> </w:t>
      </w:r>
      <w:r>
        <w:t xml:space="preserve">until the estimated random-effect standard deviations</w:t>
      </w:r>
      <w:r>
        <w:t xml:space="preserve"> </w:t>
      </w:r>
      <m:oMath>
        <m:r>
          <m:t>ω</m:t>
        </m:r>
      </m:oMath>
      <w:r>
        <w:t xml:space="preserve"> </w:t>
      </w:r>
      <w:r>
        <w:t xml:space="preserve">themselves plateau (rather than a</w:t>
      </w:r>
      <w:r>
        <w:t xml:space="preserve"> </w:t>
      </w:r>
      <w:r>
        <w:t xml:space="preserve">fixed step count or loss-based stopping rule, which we found could</w:t>
      </w:r>
      <w:r>
        <w:t xml:space="preserve"> </w:t>
      </w:r>
      <w:r>
        <w:t xml:space="preserve">converge in loss while the</w:t>
      </w:r>
      <w:r>
        <w:t xml:space="preserve"> </w:t>
      </w:r>
      <m:oMath>
        <m:r>
          <m:t>ω</m:t>
        </m:r>
      </m:oMath>
      <w:r>
        <w:t xml:space="preserve"> </w:t>
      </w:r>
      <w:r>
        <w:t xml:space="preserve">estimates were still drifting), subject to a safety</w:t>
      </w:r>
      <w:r>
        <w:t xml:space="preserve"> </w:t>
      </w:r>
      <w:r>
        <w:t xml:space="preserve">cap. The best-performing checkpoint by training objective is retained</w:t>
      </w:r>
      <w:r>
        <w:t xml:space="preserve"> </w:t>
      </w:r>
      <w:r>
        <w:t xml:space="preserve">regardless of where training terminates, guarding against a fit wandering</w:t>
      </w:r>
      <w:r>
        <w:t xml:space="preserve"> </w:t>
      </w:r>
      <w:r>
        <w:t xml:space="preserve">into and remaining in a poor basin late in training.</w:t>
      </w:r>
    </w:p>
    <w:bookmarkEnd w:id="31"/>
    <w:bookmarkStart w:id="33" w:name="simulation-study-design"/>
    <w:p>
      <w:pPr>
        <w:pStyle w:val="Heading3"/>
      </w:pPr>
      <w:r>
        <w:t xml:space="preserve">Simulation Study Design</w:t>
      </w:r>
    </w:p>
    <w:p>
      <w:pPr>
        <w:pStyle w:val="FirstParagraph"/>
      </w:pPr>
      <w:r>
        <w:rPr>
          <w:b/>
          <w:bCs/>
        </w:rPr>
        <w:t xml:space="preserve">Linear tier.</w:t>
      </w:r>
      <w:r>
        <w:t xml:space="preserve"> </w:t>
      </w:r>
      <w:r>
        <w:t xml:space="preserve">A one-compartment oral pharmacokinetic model with</w:t>
      </w:r>
      <w:r>
        <w:t xml:space="preserve"> </w:t>
      </w:r>
      <w:r>
        <w:t xml:space="preserve">first-order absorption and elimination (analytic solution, no numerical</w:t>
      </w:r>
      <w:r>
        <w:t xml:space="preserve"> </w:t>
      </w:r>
      <w:r>
        <w:t xml:space="preserve">integration required) is used as the primary simulated test bed, with</w:t>
      </w:r>
      <w:r>
        <w:t xml:space="preserve"> </w:t>
      </w:r>
      <w:r>
        <w:t xml:space="preserve">population parameters drawn from typical published ranges (clearance</w:t>
      </w:r>
      <w:r>
        <w:t xml:space="preserve"> </w:t>
      </w:r>
      <m:oMath>
        <m:r>
          <m:t>C</m:t>
        </m:r>
        <m:r>
          <m:t>L</m:t>
        </m:r>
      </m:oMath>
      <w:r>
        <w:t xml:space="preserve">, volume</w:t>
      </w:r>
      <w:r>
        <w:t xml:space="preserve"> </w:t>
      </w:r>
      <m:oMath>
        <m:r>
          <m:t>V</m:t>
        </m:r>
      </m:oMath>
      <w:r>
        <w:t xml:space="preserve">, absorption rate</w:t>
      </w:r>
      <w:r>
        <w:t xml:space="preserve"> </w:t>
      </w:r>
      <m:oMath>
        <m:sSub>
          <m:e>
            <m:r>
              <m:t>k</m:t>
            </m:r>
          </m:e>
          <m:sub>
            <m:r>
              <m:t>a</m:t>
            </m:r>
          </m:sub>
        </m:sSub>
      </m:oMath>
      <w:r>
        <w:t xml:space="preserve">, each with independent</w:t>
      </w:r>
      <w:r>
        <w:t xml:space="preserve"> </w:t>
      </w:r>
      <w:r>
        <w:t xml:space="preserve">between-subject variability, and multiplicative residual standard deviation</w:t>
      </w:r>
      <w:r>
        <w:t xml:space="preserve"> </w:t>
      </w:r>
      <m:oMath>
        <m:r>
          <m:t>σ</m:t>
        </m:r>
      </m:oMath>
      <w:r>
        <w:t xml:space="preserve">).</w:t>
      </w:r>
      <w:r>
        <w:t xml:space="preserve"> </w:t>
      </w:r>
      <w:r>
        <w:t xml:space="preserve">Two sampling designs are compared at matched</w:t>
      </w:r>
      <w:r>
        <w:t xml:space="preserve"> </w:t>
      </w:r>
      <m:oMath>
        <m:r>
          <m:t>K</m:t>
        </m:r>
      </m:oMath>
      <w:r>
        <w:t xml:space="preserve">: a dense design with six</w:t>
      </w:r>
      <w:r>
        <w:t xml:space="preserve"> </w:t>
      </w:r>
      <w:r>
        <w:t xml:space="preserve">observation times per subject, and a sparse design with fewer, more</w:t>
      </w:r>
      <w:r>
        <w:t xml:space="preserve"> </w:t>
      </w:r>
      <w:r>
        <w:t xml:space="preserve">widely spaced observations, to test whether the standard-ELBO bias</w:t>
      </w:r>
      <w:r>
        <w:t xml:space="preserve"> </w:t>
      </w:r>
      <w:r>
        <w:t xml:space="preserve">interacts with the identifiability of the sampling schedule itself.</w:t>
      </w:r>
    </w:p>
    <w:p>
      <w:pPr>
        <w:pStyle w:val="BodyText"/>
      </w:pPr>
      <w:r>
        <w:rPr>
          <w:b/>
          <w:bCs/>
        </w:rPr>
        <w:t xml:space="preserve">Nonlinear tier.</w:t>
      </w:r>
      <w:r>
        <w:t xml:space="preserve"> </w:t>
      </w:r>
      <w:r>
        <w:t xml:space="preserve">A one-compartment intravenous bolus model with</w:t>
      </w:r>
      <w:r>
        <w:t xml:space="preserve"> </w:t>
      </w:r>
      <w:r>
        <w:t xml:space="preserve">saturable, Michaelis-Menten elimination,</w:t>
      </w:r>
    </w:p>
    <w:p>
      <w:pPr>
        <w:pStyle w:val="BodyText"/>
      </w:pPr>
      <w:bookmarkStart w:id="32" w:name="eq-michaelis-menten"/>
      <m:oMathPara>
        <m:oMathParaPr>
          <m:jc m:val="center"/>
        </m:oMathParaPr>
        <m:oMath>
          <m:f>
            <m:fPr>
              <m:type m:val="bar"/>
            </m:fPr>
            <m:num>
              <m:r>
                <m:t>d</m:t>
              </m:r>
              <m:r>
                <m:t>A</m:t>
              </m:r>
            </m:num>
            <m:den>
              <m:r>
                <m:t>d</m:t>
              </m:r>
              <m:r>
                <m:t>t</m:t>
              </m:r>
            </m:den>
          </m:f>
          <m:r>
            <m:rPr>
              <m:sty m:val="p"/>
            </m:rPr>
            <m:t>=</m:t>
          </m:r>
          <m:r>
            <m:rPr>
              <m:sty m:val="p"/>
            </m:rPr>
            <m:t>−</m:t>
          </m:r>
          <m:f>
            <m:fPr>
              <m:type m:val="bar"/>
            </m:fPr>
            <m:num>
              <m:sSub>
                <m:e>
                  <m:r>
                    <m:t>V</m:t>
                  </m:r>
                </m:e>
                <m:sub>
                  <m:r>
                    <m:rPr>
                      <m:sty m:val="p"/>
                    </m:rPr>
                    <m:t>max</m:t>
                  </m:r>
                </m:sub>
              </m:sSub>
              <m:r>
                <m:rPr>
                  <m:sty m:val="p"/>
                </m:rPr>
                <m:t>⋅</m:t>
              </m:r>
              <m:d>
                <m:dPr>
                  <m:begChr m:val="("/>
                  <m:sepChr m:val=""/>
                  <m:endChr m:val=")"/>
                  <m:grow/>
                </m:dPr>
                <m:e>
                  <m:r>
                    <m:t>A</m:t>
                  </m:r>
                  <m:r>
                    <m:rPr>
                      <m:sty m:val="p"/>
                    </m:rPr>
                    <m:t>/</m:t>
                  </m:r>
                  <m:r>
                    <m:t>V</m:t>
                  </m:r>
                </m:e>
              </m:d>
            </m:num>
            <m:den>
              <m:sSub>
                <m:e>
                  <m:r>
                    <m:t>K</m:t>
                  </m:r>
                </m:e>
                <m:sub>
                  <m:r>
                    <m:t>m</m:t>
                  </m:r>
                </m:sub>
              </m:sSub>
              <m:r>
                <m:rPr>
                  <m:sty m:val="p"/>
                </m:rPr>
                <m:t>+</m:t>
              </m:r>
              <m:d>
                <m:dPr>
                  <m:begChr m:val="("/>
                  <m:sepChr m:val=""/>
                  <m:endChr m:val=")"/>
                  <m:grow/>
                </m:dPr>
                <m:e>
                  <m:r>
                    <m:t>A</m:t>
                  </m:r>
                  <m:r>
                    <m:rPr>
                      <m:sty m:val="p"/>
                    </m:rPr>
                    <m:t>/</m:t>
                  </m:r>
                  <m:r>
                    <m:t>V</m:t>
                  </m:r>
                </m:e>
              </m:d>
            </m:den>
          </m:f>
          <m:r>
            <m:rPr>
              <m:sty m:val="p"/>
            </m:rPr>
            <m:t>,</m:t>
          </m:r>
          <m:r>
            <m:t>  </m:t>
          </m:r>
          <m:r>
            <m:t>A</m:t>
          </m:r>
          <m:d>
            <m:dPr>
              <m:begChr m:val="("/>
              <m:sepChr m:val=""/>
              <m:endChr m:val=")"/>
              <m:grow/>
            </m:dPr>
            <m:e>
              <m:r>
                <m:t>0</m:t>
              </m:r>
            </m:e>
          </m:d>
          <m:r>
            <m:rPr>
              <m:sty m:val="p"/>
            </m:rPr>
            <m:t>=</m:t>
          </m:r>
          <m:r>
            <m:rPr>
              <m:sty m:val="p"/>
            </m:rPr>
            <m:t>D</m:t>
          </m:r>
          <m:r>
            <m:rPr>
              <m:sty m:val="p"/>
            </m:rPr>
            <m:t>o</m:t>
          </m:r>
          <m:r>
            <m:rPr>
              <m:sty m:val="p"/>
            </m:rPr>
            <m:t>s</m:t>
          </m:r>
          <m:r>
            <m:rPr>
              <m:sty m:val="p"/>
            </m:rPr>
            <m:t>e</m:t>
          </m:r>
          <m:r>
            <m:rPr>
              <m:sty m:val="p"/>
            </m:rPr>
            <m:t>,</m:t>
          </m:r>
          <m:r>
            <m:t>  </m:t>
          </m:r>
          <m:d>
            <m:dPr>
              <m:begChr m:val="("/>
              <m:sepChr m:val=""/>
              <m:endChr m:val=")"/>
              <m:grow/>
            </m:dPr>
            <m:e>
              <m:r>
                <m:t>8</m:t>
              </m:r>
            </m:e>
          </m:d>
        </m:oMath>
      </m:oMathPara>
      <w:bookmarkEnd w:id="32"/>
    </w:p>
    <w:p>
      <w:pPr>
        <w:pStyle w:val="FirstParagraph"/>
      </w:pPr>
      <w:r>
        <w:t xml:space="preserve">has no closed-form solution and is integrated numerically (fixed-step</w:t>
      </w:r>
      <w:r>
        <w:t xml:space="preserve"> </w:t>
      </w:r>
      <w:r>
        <w:t xml:space="preserve">RK4) at every training step, providing a genuinely nonlinear test of</w:t>
      </w:r>
      <w:r>
        <w:t xml:space="preserve"> </w:t>
      </w:r>
      <w:r>
        <w:t xml:space="preserve">whether the standard-ELBO bias and its correction survive outside the</w:t>
      </w:r>
      <w:r>
        <w:t xml:space="preserve"> </w:t>
      </w:r>
      <w:r>
        <w:t xml:space="preserve">analytically convenient linear case. Between-subject variability is</w:t>
      </w:r>
      <w:r>
        <w:t xml:space="preserve"> </w:t>
      </w:r>
      <w:r>
        <w:t xml:space="preserve">placed on</w:t>
      </w:r>
      <w:r>
        <w:t xml:space="preserve"> </w:t>
      </w:r>
      <m:oMath>
        <m:sSub>
          <m:e>
            <m:r>
              <m:t>V</m:t>
            </m:r>
          </m:e>
          <m:sub>
            <m:r>
              <m:rPr>
                <m:sty m:val="p"/>
              </m:rPr>
              <m:t>max</m:t>
            </m:r>
          </m:sub>
        </m:sSub>
      </m:oMath>
      <w:r>
        <w:t xml:space="preserve"> </w:t>
      </w:r>
      <w:r>
        <w:t xml:space="preserve">and</w:t>
      </w:r>
      <w:r>
        <w:t xml:space="preserve"> </w:t>
      </w:r>
      <m:oMath>
        <m:r>
          <m:t>V</m:t>
        </m:r>
      </m:oMath>
      <w:r>
        <w:t xml:space="preserve"> </w:t>
      </w:r>
      <w:r>
        <w:t xml:space="preserve">only, with</w:t>
      </w:r>
      <w:r>
        <w:t xml:space="preserve"> </w:t>
      </w:r>
      <m:oMath>
        <m:sSub>
          <m:e>
            <m:r>
              <m:t>K</m:t>
            </m:r>
          </m:e>
          <m:sub>
            <m:r>
              <m:t>m</m:t>
            </m:r>
          </m:sub>
        </m:sSub>
      </m:oMath>
      <w:r>
        <w:t xml:space="preserve"> </w:t>
      </w:r>
      <w:r>
        <w:t xml:space="preserve">estimated as a fixed effect</w:t>
      </w:r>
      <w:r>
        <w:t xml:space="preserve"> </w:t>
      </w:r>
      <w:r>
        <w:t xml:space="preserve">without a random effect, both because placing independent between-subject</w:t>
      </w:r>
      <w:r>
        <w:t xml:space="preserve"> </w:t>
      </w:r>
      <w:r>
        <w:t xml:space="preserve">variability on both Michaelis-Menten parameters simultaneously is a</w:t>
      </w:r>
      <w:r>
        <w:t xml:space="preserve"> </w:t>
      </w:r>
      <w:r>
        <w:t xml:space="preserve">recognized cross-method identifiability difficulty in nonlinear</w:t>
      </w:r>
      <w:r>
        <w:t xml:space="preserve"> </w:t>
      </w:r>
      <w:r>
        <w:t xml:space="preserve">mixed-effects modeling of saturable kinetics, not specific to variational</w:t>
      </w:r>
      <w:r>
        <w:t xml:space="preserve"> </w:t>
      </w:r>
      <w:r>
        <w:t xml:space="preserve">inference, and because this was directly confirmed empirically in</w:t>
      </w:r>
      <w:r>
        <w:t xml:space="preserve"> </w:t>
      </w:r>
      <w:r>
        <w:t xml:space="preserve">preliminary analyses (see Results). The dosing and sampling design (dose</w:t>
      </w:r>
      <w:r>
        <w:t xml:space="preserve"> </w:t>
      </w:r>
      <w:r>
        <w:t xml:space="preserve">and an observation window spanning approximately 60 hours) was chosen</w:t>
      </w:r>
      <w:r>
        <w:t xml:space="preserve"> </w:t>
      </w:r>
      <w:r>
        <w:t xml:space="preserve">specifically to ensure the simulated concentration trajectory crosses</w:t>
      </w:r>
      <w:r>
        <w:t xml:space="preserve"> </w:t>
      </w:r>
      <w:r>
        <w:t xml:space="preserve">from the fully saturated regime into the first-order elimination regime</w:t>
      </w:r>
      <w:r>
        <w:t xml:space="preserve"> </w:t>
      </w:r>
      <w:r>
        <w:t xml:space="preserve">within the observation window; simulation confirmed that a substantially</w:t>
      </w:r>
      <w:r>
        <w:t xml:space="preserve"> </w:t>
      </w:r>
      <w:r>
        <w:t xml:space="preserve">shorter window remains entirely within the saturated regime, in which the</w:t>
      </w:r>
      <w:r>
        <w:t xml:space="preserve"> </w:t>
      </w:r>
      <w:r>
        <w:t xml:space="preserve">Michaelis-Menten equation is structurally insensitive to</w:t>
      </w:r>
      <w:r>
        <w:t xml:space="preserve"> </w:t>
      </w:r>
      <m:oMath>
        <m:sSub>
          <m:e>
            <m:r>
              <m:t>K</m:t>
            </m:r>
          </m:e>
          <m:sub>
            <m:r>
              <m:t>m</m:t>
            </m:r>
          </m:sub>
        </m:sSub>
      </m:oMath>
      <w:r>
        <w:t xml:space="preserve">, and does</w:t>
      </w:r>
      <w:r>
        <w:t xml:space="preserve"> </w:t>
      </w:r>
      <w:r>
        <w:t xml:space="preserve">not permit identification of</w:t>
      </w:r>
      <w:r>
        <w:t xml:space="preserve"> </w:t>
      </w:r>
      <m:oMath>
        <m:sSub>
          <m:e>
            <m:r>
              <m:t>K</m:t>
            </m:r>
          </m:e>
          <m:sub>
            <m:r>
              <m:t>m</m:t>
            </m:r>
          </m:sub>
        </m:sSub>
      </m:oMath>
      <w:r>
        <w:t xml:space="preserve">’s population value at all,</w:t>
      </w:r>
      <w:r>
        <w:t xml:space="preserve"> </w:t>
      </w:r>
      <w:r>
        <w:t xml:space="preserve">independent of any variational-inference consideration.</w:t>
      </w:r>
    </w:p>
    <w:p>
      <w:pPr>
        <w:pStyle w:val="BodyText"/>
      </w:pPr>
      <w:r>
        <w:rPr>
          <w:b/>
          <w:bCs/>
        </w:rPr>
        <w:t xml:space="preserve">Design consistency.</w:t>
      </w:r>
      <w:r>
        <w:t xml:space="preserve"> </w:t>
      </w:r>
      <w:r>
        <w:t xml:space="preserve">Throughout, a single random seed generates one</w:t>
      </w:r>
      <w:r>
        <w:t xml:space="preserve"> </w:t>
      </w:r>
      <w:r>
        <w:t xml:space="preserve">simulated dataset per replicate, and every estimation-method arm being</w:t>
      </w:r>
      <w:r>
        <w:t xml:space="preserve"> </w:t>
      </w:r>
      <w:r>
        <w:t xml:space="preserve">compared (posterior architecture, family,</w:t>
      </w:r>
      <w:r>
        <w:t xml:space="preserve"> </w:t>
      </w:r>
      <m:oMath>
        <m:r>
          <m:t>K</m:t>
        </m:r>
      </m:oMath>
      <w:r>
        <w:t xml:space="preserve">) is fit to the identical</w:t>
      </w:r>
      <w:r>
        <w:t xml:space="preserve"> </w:t>
      </w:r>
      <w:r>
        <w:t xml:space="preserve">dataset, so that differences between arms reflect only the estimation</w:t>
      </w:r>
      <w:r>
        <w:t xml:space="preserve"> </w:t>
      </w:r>
      <w:r>
        <w:t xml:space="preserve">method and not sampling variability in the simulated data.</w:t>
      </w:r>
    </w:p>
    <w:bookmarkEnd w:id="33"/>
    <w:bookmarkStart w:id="34" w:name="real-data-validation"/>
    <w:p>
      <w:pPr>
        <w:pStyle w:val="Heading3"/>
      </w:pPr>
      <w:r>
        <w:t xml:space="preserve">Real-Data Validation</w:t>
      </w:r>
    </w:p>
    <w:p>
      <w:pPr>
        <w:pStyle w:val="FirstParagraph"/>
      </w:pPr>
      <w:r>
        <w:t xml:space="preserve">Two independent, publicly available pharmacokinetic datasets are used to</w:t>
      </w:r>
      <w:r>
        <w:t xml:space="preserve"> </w:t>
      </w:r>
      <w:r>
        <w:t xml:space="preserve">test whether the simulation-derived findings reproduce on real data,</w:t>
      </w:r>
      <w:r>
        <w:t xml:space="preserve"> </w:t>
      </w:r>
      <w:r>
        <w:t xml:space="preserve">where, unlike simulation, no ground truth is available and the signature</w:t>
      </w:r>
      <w:r>
        <w:t xml:space="preserve"> </w:t>
      </w:r>
      <w:r>
        <w:t xml:space="preserve">to look for is instead internal consistency: whether</w:t>
      </w:r>
      <w:r>
        <w:t xml:space="preserve"> </w:t>
      </w:r>
      <m:oMath>
        <m:r>
          <m:t>K</m:t>
        </m:r>
        <m:r>
          <m:rPr>
            <m:sty m:val="p"/>
          </m:rPr>
          <m:t>=</m:t>
        </m:r>
        <m:r>
          <m:t>1</m:t>
        </m:r>
      </m:oMath>
      <w:r>
        <w:t xml:space="preserve"> </w:t>
      </w:r>
      <w:r>
        <w:t xml:space="preserve">under-reports</w:t>
      </w:r>
      <w:r>
        <w:t xml:space="preserve"> </w:t>
      </w:r>
      <w:r>
        <w:t xml:space="preserve">the random-effect standard deviations</w:t>
      </w:r>
      <w:r>
        <w:t xml:space="preserve"> </w:t>
      </w:r>
      <m:oMath>
        <m:r>
          <m:t>ω</m:t>
        </m:r>
      </m:oMath>
      <w:r>
        <w:t xml:space="preserve"> </w:t>
      </w:r>
      <w:r>
        <w:t xml:space="preserve">relative to</w:t>
      </w:r>
      <w:r>
        <w:t xml:space="preserve"> </w:t>
      </w:r>
      <m:oMath>
        <m:r>
          <m:t>K</m:t>
        </m:r>
        <m:r>
          <m:rPr>
            <m:sty m:val="p"/>
          </m:rPr>
          <m:t>=</m:t>
        </m:r>
        <m:r>
          <m:t>64</m:t>
        </m:r>
      </m:oMath>
      <w:r>
        <w:t xml:space="preserve"> </w:t>
      </w:r>
      <w:r>
        <w:t xml:space="preserve">on the identical dataset, and whether</w:t>
      </w:r>
      <w:r>
        <w:t xml:space="preserve"> </w:t>
      </w:r>
      <w:r>
        <w:t xml:space="preserve">fixed-effect estimates are externally plausible.</w:t>
      </w:r>
    </w:p>
    <w:p>
      <w:pPr>
        <w:pStyle w:val="BodyText"/>
      </w:pPr>
      <w:r>
        <w:rPr>
          <w:b/>
          <w:bCs/>
        </w:rPr>
        <w:t xml:space="preserve">Theophylline.</w:t>
      </w:r>
      <w:r>
        <w:t xml:space="preserve"> </w:t>
      </w:r>
      <w:r>
        <w:t xml:space="preserve">The Boeckmann/Sheiner/Beal theophylline dataset</w:t>
      </w:r>
      <w:r>
        <w:t xml:space="preserve"> </w:t>
      </w:r>
      <w:r>
        <w:t xml:space="preserve">(Boeckmann, Sheiner, and Beal 1994)</w:t>
      </w:r>
      <w:r>
        <w:t xml:space="preserve"> </w:t>
      </w:r>
      <w:r>
        <w:t xml:space="preserve">(</w:t>
      </w:r>
      <m:oMath>
        <m:r>
          <m:t>N</m:t>
        </m:r>
        <m:r>
          <m:rPr>
            <m:sty m:val="p"/>
          </m:rPr>
          <m:t>=</m:t>
        </m:r>
        <m:r>
          <m:t>12</m:t>
        </m:r>
      </m:oMath>
      <w:r>
        <w:t xml:space="preserve"> </w:t>
      </w:r>
      <w:r>
        <w:t xml:space="preserve">subjects, oral dosing) is loaded</w:t>
      </w:r>
      <w:r>
        <w:t xml:space="preserve"> </w:t>
      </w:r>
      <w:r>
        <w:t xml:space="preserve">programmatically rather than transcribed by hand.</w:t>
      </w:r>
    </w:p>
    <w:p>
      <w:pPr>
        <w:pStyle w:val="BodyText"/>
      </w:pPr>
      <w:r>
        <w:rPr>
          <w:b/>
          <w:bCs/>
        </w:rPr>
        <w:t xml:space="preserve">Warfarin.</w:t>
      </w:r>
      <w:r>
        <w:t xml:space="preserve"> </w:t>
      </w:r>
      <w:r>
        <w:t xml:space="preserve">The classical warfarin pharmacokinetic/pharmacodynamic</w:t>
      </w:r>
      <w:r>
        <w:t xml:space="preserve"> </w:t>
      </w:r>
      <w:r>
        <w:t xml:space="preserve">dataset</w:t>
      </w:r>
      <w:r>
        <w:t xml:space="preserve"> </w:t>
      </w:r>
      <w:r>
        <w:t xml:space="preserve">(O’Reilly and Aggeler 1968)</w:t>
      </w:r>
      <w:r>
        <w:t xml:space="preserve"> </w:t>
      </w:r>
      <w:r>
        <w:t xml:space="preserve">(</w:t>
      </w:r>
      <m:oMath>
        <m:r>
          <m:t>N</m:t>
        </m:r>
        <m:r>
          <m:rPr>
            <m:sty m:val="p"/>
          </m:rPr>
          <m:t>=</m:t>
        </m:r>
        <m:r>
          <m:t>33</m:t>
        </m:r>
      </m:oMath>
      <w:r>
        <w:t xml:space="preserve"> </w:t>
      </w:r>
      <w:r>
        <w:t xml:space="preserve">subjects, single oral dose) is</w:t>
      </w:r>
      <w:r>
        <w:t xml:space="preserve"> </w:t>
      </w:r>
      <w:r>
        <w:t xml:space="preserve">used, restricted to its pharmacokinetic (plasma concentration) endpoint;</w:t>
      </w:r>
      <w:r>
        <w:t xml:space="preserve"> </w:t>
      </w:r>
      <w:r>
        <w:t xml:space="preserve">the dataset also contains a pharmacodynamic (prothrombin complex</w:t>
      </w:r>
      <w:r>
        <w:t xml:space="preserve"> </w:t>
      </w:r>
      <w:r>
        <w:t xml:space="preserve">activity) endpoint not modeled here. Fitted fixed effects are compared</w:t>
      </w:r>
      <w:r>
        <w:t xml:space="preserve"> </w:t>
      </w:r>
      <w:r>
        <w:t xml:space="preserve">directly against an independently published FOCEI fit of this dataset</w:t>
      </w:r>
      <w:r>
        <w:t xml:space="preserve"> </w:t>
      </w:r>
      <w:r>
        <w:t xml:space="preserve">using the</w:t>
      </w:r>
      <w:r>
        <w:t xml:space="preserve"> </w:t>
      </w:r>
      <w:r>
        <w:rPr>
          <w:rStyle w:val="VerbatimChar"/>
        </w:rPr>
        <w:t xml:space="preserve">nlmixr2</w:t>
      </w:r>
      <w:r>
        <w:t xml:space="preserve"> </w:t>
      </w:r>
      <w:r>
        <w:t xml:space="preserve">software package</w:t>
      </w:r>
      <w:r>
        <w:t xml:space="preserve"> </w:t>
      </w:r>
      <w:r>
        <w:t xml:space="preserve">(Fidler et al. 2019)</w:t>
      </w:r>
      <w:r>
        <w:t xml:space="preserve">, which uses a</w:t>
      </w:r>
      <w:r>
        <w:t xml:space="preserve"> </w:t>
      </w:r>
      <w:r>
        <w:t xml:space="preserve">more detailed two-step transit-compartment absorption structure than the</w:t>
      </w:r>
      <w:r>
        <w:t xml:space="preserve"> </w:t>
      </w:r>
      <w:r>
        <w:t xml:space="preserve">simple first-order absorption model used here.</w:t>
      </w:r>
    </w:p>
    <w:bookmarkEnd w:id="34"/>
    <w:bookmarkStart w:id="35" w:name="X9310f459cbd48a4e3f1a26f50c8e0433e42ffeb"/>
    <w:p>
      <w:pPr>
        <w:pStyle w:val="Heading3"/>
      </w:pPr>
      <w:r>
        <w:t xml:space="preserve">Diagnostics: Importance-Sampling Effective Sample Size</w:t>
      </w:r>
    </w:p>
    <w:p>
      <w:pPr>
        <w:pStyle w:val="FirstParagraph"/>
      </w:pPr>
      <w:r>
        <w:t xml:space="preserve">Because no ground truth is available on real data, we additionally</w:t>
      </w:r>
      <w:r>
        <w:t xml:space="preserve"> </w:t>
      </w:r>
      <w:r>
        <w:t xml:space="preserve">characterize a diagnostic derived from the post-hoc importance-sampling</w:t>
      </w:r>
      <w:r>
        <w:t xml:space="preserve"> </w:t>
      </w:r>
      <w:r>
        <w:t xml:space="preserve">marginal-likelihood estimate: the effective sample size (ESS) of the</w:t>
      </w:r>
      <w:r>
        <w:t xml:space="preserve"> </w:t>
      </w:r>
      <w:r>
        <w:t xml:space="preserve">importance weights, which should be low when the variational posterior is</w:t>
      </w:r>
      <w:r>
        <w:t xml:space="preserve"> </w:t>
      </w:r>
      <w:r>
        <w:t xml:space="preserve">a poor approximation to the true posterior (as when a fit is</w:t>
      </w:r>
      <w:r>
        <w:t xml:space="preserve"> </w:t>
      </w:r>
      <w:r>
        <w:t xml:space="preserve">under-trained) and high when it is a good approximation. This diagnostic</w:t>
      </w:r>
      <w:r>
        <w:t xml:space="preserve"> </w:t>
      </w:r>
      <w:r>
        <w:t xml:space="preserve">is validated by deliberately comparing well-converged and deliberately</w:t>
      </w:r>
      <w:r>
        <w:t xml:space="preserve"> </w:t>
      </w:r>
      <w:r>
        <w:t xml:space="preserve">under-trained fits on identical simulated data and testing whether ESS</w:t>
      </w:r>
      <w:r>
        <w:t xml:space="preserve"> </w:t>
      </w:r>
      <w:r>
        <w:t xml:space="preserve">separates the two groups.</w:t>
      </w:r>
    </w:p>
    <w:bookmarkEnd w:id="35"/>
    <w:bookmarkStart w:id="38" w:name="likelihood-ratio-test-calibration"/>
    <w:p>
      <w:pPr>
        <w:pStyle w:val="Heading3"/>
      </w:pPr>
      <w:r>
        <w:t xml:space="preserve">Likelihood-Ratio Test Calibration</w:t>
      </w:r>
    </w:p>
    <w:p>
      <w:pPr>
        <w:pStyle w:val="FirstParagraph"/>
      </w:pPr>
      <w:r>
        <w:t xml:space="preserve">To test whether the marginal likelihood recovered via importance sampling</w:t>
      </w:r>
      <w:r>
        <w:t xml:space="preserve"> </w:t>
      </w:r>
      <w:r>
        <w:t xml:space="preserve">is valid for likelihood-ratio-based model comparison, we simulate data</w:t>
      </w:r>
      <w:r>
        <w:t xml:space="preserve"> </w:t>
      </w:r>
      <w:r>
        <w:t xml:space="preserve">under a null hypothesis in which one random effect’s variance is exactly</w:t>
      </w:r>
      <w:r>
        <w:t xml:space="preserve"> </w:t>
      </w:r>
      <w:r>
        <w:t xml:space="preserve">zero, fit both a reduced model (without that random effect) and a full</w:t>
      </w:r>
      <w:r>
        <w:t xml:space="preserve"> </w:t>
      </w:r>
      <w:r>
        <w:t xml:space="preserve">model (with it) to the identical simulated data, and compare the</w:t>
      </w:r>
      <w:r>
        <w:t xml:space="preserve"> </w:t>
      </w:r>
      <w:r>
        <w:t xml:space="preserve">empirical distribution,</w:t>
      </w:r>
    </w:p>
    <w:p>
      <w:pPr>
        <w:pStyle w:val="BodyText"/>
      </w:pPr>
      <w:bookmarkStart w:id="36" w:name="eq-delta-ofv"/>
      <m:oMathPara>
        <m:oMathParaPr>
          <m:jc m:val="center"/>
        </m:oMathParaPr>
        <m:oMath>
          <m:r>
            <m:t>Δ</m:t>
          </m:r>
          <m:r>
            <m:rPr>
              <m:sty m:val="p"/>
            </m:rPr>
            <m:t>O</m:t>
          </m:r>
          <m:r>
            <m:rPr>
              <m:sty m:val="p"/>
            </m:rPr>
            <m:t>F</m:t>
          </m:r>
          <m:r>
            <m:rPr>
              <m:sty m:val="p"/>
            </m:rPr>
            <m:t>V</m:t>
          </m:r>
          <m:r>
            <m:rPr>
              <m:sty m:val="p"/>
            </m:rPr>
            <m:t>=</m:t>
          </m:r>
          <m:sSub>
            <m:e>
              <m:r>
                <m:rPr>
                  <m:sty m:val="p"/>
                </m:rPr>
                <m:t>O</m:t>
              </m:r>
              <m:r>
                <m:rPr>
                  <m:sty m:val="p"/>
                </m:rPr>
                <m:t>F</m:t>
              </m:r>
              <m:r>
                <m:rPr>
                  <m:sty m:val="p"/>
                </m:rPr>
                <m:t>V</m:t>
              </m:r>
            </m:e>
            <m:sub>
              <m:r>
                <m:rPr>
                  <m:nor/>
                  <m:sty m:val="p"/>
                </m:rPr>
                <m:t>reduced</m:t>
              </m:r>
            </m:sub>
          </m:sSub>
          <m:r>
            <m:rPr>
              <m:sty m:val="p"/>
            </m:rPr>
            <m:t>−</m:t>
          </m:r>
          <m:sSub>
            <m:e>
              <m:r>
                <m:rPr>
                  <m:sty m:val="p"/>
                </m:rPr>
                <m:t>O</m:t>
              </m:r>
              <m:r>
                <m:rPr>
                  <m:sty m:val="p"/>
                </m:rPr>
                <m:t>F</m:t>
              </m:r>
              <m:r>
                <m:rPr>
                  <m:sty m:val="p"/>
                </m:rPr>
                <m:t>V</m:t>
              </m:r>
            </m:e>
            <m:sub>
              <m:r>
                <m:rPr>
                  <m:nor/>
                  <m:sty m:val="p"/>
                </m:rPr>
                <m:t>full</m:t>
              </m:r>
            </m:sub>
          </m:sSub>
          <m:r>
            <m:t>  </m:t>
          </m:r>
          <m:d>
            <m:dPr>
              <m:begChr m:val="("/>
              <m:sepChr m:val=""/>
              <m:endChr m:val=")"/>
              <m:grow/>
            </m:dPr>
            <m:e>
              <m:r>
                <m:t>9</m:t>
              </m:r>
            </m:e>
          </m:d>
        </m:oMath>
      </m:oMathPara>
      <w:bookmarkEnd w:id="36"/>
    </w:p>
    <w:p>
      <w:pPr>
        <w:pStyle w:val="FirstParagraph"/>
      </w:pPr>
      <w:r>
        <w:t xml:space="preserve">against its correct theoretical reference distribution. Testing a</w:t>
      </w:r>
      <w:r>
        <w:t xml:space="preserve"> </w:t>
      </w:r>
      <w:r>
        <w:t xml:space="preserve">variance component against the boundary of its parameter space</w:t>
      </w:r>
      <w:r>
        <w:t xml:space="preserve"> </w:t>
      </w:r>
      <w:r>
        <w:t xml:space="preserve">(</w:t>
      </w:r>
      <m:oMath>
        <m:r>
          <m:rPr>
            <m:sty m:val="p"/>
          </m:rPr>
          <m:t>V</m:t>
        </m:r>
        <m:r>
          <m:rPr>
            <m:sty m:val="p"/>
          </m:rPr>
          <m:t>a</m:t>
        </m:r>
        <m:r>
          <m:rPr>
            <m:sty m:val="p"/>
          </m:rPr>
          <m:t>r</m:t>
        </m:r>
        <m:r>
          <m:rPr>
            <m:sty m:val="p"/>
          </m:rPr>
          <m:t>≥</m:t>
        </m:r>
        <m:r>
          <m:t>0</m:t>
        </m:r>
      </m:oMath>
      <w:r>
        <w:t xml:space="preserve">) is a non-regular testing problem: under the null,</w:t>
      </w:r>
      <w:r>
        <w:t xml:space="preserve"> </w:t>
      </w:r>
      <w:r>
        <w:t xml:space="preserve">the boundary constraint means the reduced model’s likelihood exceeds the</w:t>
      </w:r>
      <w:r>
        <w:t xml:space="preserve"> </w:t>
      </w:r>
      <w:r>
        <w:t xml:space="preserve">full model’s roughly half the time by chance alone, and the correct</w:t>
      </w:r>
      <w:r>
        <w:t xml:space="preserve"> </w:t>
      </w:r>
      <w:r>
        <w:t xml:space="preserve">asymptotic reference distribution is not</w:t>
      </w:r>
      <w:r>
        <w:t xml:space="preserve"> </w:t>
      </w:r>
      <m:oMath>
        <m:sSubSup>
          <m:e>
            <m:r>
              <m:t>χ</m:t>
            </m:r>
          </m:e>
          <m:sub>
            <m:r>
              <m:t>1</m:t>
            </m:r>
          </m:sub>
          <m:sup>
            <m:r>
              <m:t>2</m:t>
            </m:r>
          </m:sup>
        </m:sSubSup>
      </m:oMath>
      <w:r>
        <w:t xml:space="preserve"> </w:t>
      </w:r>
      <w:r>
        <w:t xml:space="preserve">but the Self-Liang</w:t>
      </w:r>
      <w:r>
        <w:t xml:space="preserve"> </w:t>
      </w:r>
      <w:r>
        <w:t xml:space="preserve">boundary mixture</w:t>
      </w:r>
      <w:r>
        <w:t xml:space="preserve"> </w:t>
      </w:r>
      <w:r>
        <w:t xml:space="preserve">(Self and Liang 1987)</w:t>
      </w:r>
      <w:r>
        <w:t xml:space="preserve">:</w:t>
      </w:r>
    </w:p>
    <w:p>
      <w:pPr>
        <w:pStyle w:val="BodyText"/>
      </w:pPr>
      <w:bookmarkStart w:id="37" w:name="eq-self-liang-mixture"/>
      <m:oMathPara>
        <m:oMathParaPr>
          <m:jc m:val="center"/>
        </m:oMathParaPr>
        <m:oMath>
          <m:r>
            <m:t>Δ</m:t>
          </m:r>
          <m:r>
            <m:rPr>
              <m:sty m:val="p"/>
            </m:rPr>
            <m:t>O</m:t>
          </m:r>
          <m:r>
            <m:rPr>
              <m:sty m:val="p"/>
            </m:rPr>
            <m:t>F</m:t>
          </m:r>
          <m:r>
            <m:rPr>
              <m:sty m:val="p"/>
            </m:rPr>
            <m:t>V</m:t>
          </m:r>
          <m:r>
            <m:t> </m:t>
          </m:r>
          <m:r>
            <m:rPr>
              <m:sty m:val="p"/>
            </m:rPr>
            <m:t>|</m:t>
          </m:r>
          <m:r>
            <m:t> </m:t>
          </m:r>
          <m:sSub>
            <m:e>
              <m:r>
                <m:t>H</m:t>
              </m:r>
            </m:e>
            <m:sub>
              <m:r>
                <m:t>0</m:t>
              </m:r>
            </m:sub>
          </m:sSub>
          <m:r>
            <m:t> </m:t>
          </m:r>
          <m:r>
            <m:rPr>
              <m:sty m:val="p"/>
            </m:rPr>
            <m:t>∼</m:t>
          </m:r>
          <m:r>
            <m:t> </m:t>
          </m:r>
          <m:f>
            <m:fPr>
              <m:type m:val="lin"/>
            </m:fPr>
            <m:num>
              <m:r>
                <m:t>1</m:t>
              </m:r>
            </m:num>
            <m:den>
              <m:r>
                <m:t>2</m:t>
              </m:r>
            </m:den>
          </m:f>
          <m:r>
            <m:t> </m:t>
          </m:r>
          <m:sSub>
            <m:e>
              <m:r>
                <m:t>δ</m:t>
              </m:r>
            </m:e>
            <m:sub>
              <m:r>
                <m:t>0</m:t>
              </m:r>
            </m:sub>
          </m:sSub>
          <m:r>
            <m:t> </m:t>
          </m:r>
          <m:r>
            <m:rPr>
              <m:sty m:val="p"/>
            </m:rPr>
            <m:t>+</m:t>
          </m:r>
          <m:r>
            <m:t> </m:t>
          </m:r>
          <m:f>
            <m:fPr>
              <m:type m:val="lin"/>
            </m:fPr>
            <m:num>
              <m:r>
                <m:t>1</m:t>
              </m:r>
            </m:num>
            <m:den>
              <m:r>
                <m:t>2</m:t>
              </m:r>
            </m:den>
          </m:f>
          <m:r>
            <m:t> </m:t>
          </m:r>
          <m:sSubSup>
            <m:e>
              <m:r>
                <m:t>χ</m:t>
              </m:r>
            </m:e>
            <m:sub>
              <m:r>
                <m:t>1</m:t>
              </m:r>
            </m:sub>
            <m:sup>
              <m:r>
                <m:t>2</m:t>
              </m:r>
            </m:sup>
          </m:sSubSup>
          <m:r>
            <m:rPr>
              <m:sty m:val="p"/>
            </m:rPr>
            <m:t>,</m:t>
          </m:r>
          <m:r>
            <m:t>  </m:t>
          </m:r>
          <m:d>
            <m:dPr>
              <m:begChr m:val="("/>
              <m:sepChr m:val=""/>
              <m:endChr m:val=")"/>
              <m:grow/>
            </m:dPr>
            <m:e>
              <m:r>
                <m:t>10</m:t>
              </m:r>
            </m:e>
          </m:d>
        </m:oMath>
      </m:oMathPara>
      <w:bookmarkEnd w:id="37"/>
    </w:p>
    <w:p>
      <w:pPr>
        <w:pStyle w:val="FirstParagraph"/>
      </w:pPr>
      <w:r>
        <w:t xml:space="preserve">a 50:50 mixture of a point mass at zero and a standard</w:t>
      </w:r>
      <w:r>
        <w:t xml:space="preserve"> </w:t>
      </w:r>
      <m:oMath>
        <m:sSup>
          <m:e>
            <m:r>
              <m:t>χ</m:t>
            </m:r>
          </m:e>
          <m:sup>
            <m:r>
              <m:t>2</m:t>
            </m:r>
          </m:sup>
        </m:sSup>
      </m:oMath>
      <w:r>
        <w:t xml:space="preserve"> </w:t>
      </w:r>
      <w:r>
        <w:t xml:space="preserve">random</w:t>
      </w:r>
      <w:r>
        <w:t xml:space="preserve"> </w:t>
      </w:r>
      <w:r>
        <w:t xml:space="preserve">variable with one degree of freedom. Calibrating against the naive</w:t>
      </w:r>
      <w:r>
        <w:t xml:space="preserve"> </w:t>
      </w:r>
      <m:oMath>
        <m:sSubSup>
          <m:e>
            <m:r>
              <m:t>χ</m:t>
            </m:r>
          </m:e>
          <m:sub>
            <m:r>
              <m:t>1</m:t>
            </m:r>
          </m:sub>
          <m:sup>
            <m:r>
              <m:t>2</m:t>
            </m:r>
          </m:sup>
        </m:sSubSup>
      </m:oMath>
      <w:r>
        <w:t xml:space="preserve"> </w:t>
      </w:r>
      <w:r>
        <w:t xml:space="preserve">reference instead would produce a silently underpowered test</w:t>
      </w:r>
      <w:r>
        <w:t xml:space="preserve"> </w:t>
      </w:r>
      <w:r>
        <w:t xml:space="preserve">(the naive test’s nominal 5% type-I error rate corresponds to only 2.5%</w:t>
      </w:r>
      <w:r>
        <w:t xml:space="preserve"> </w:t>
      </w:r>
      <w:r>
        <w:t xml:space="preserve">under the true mixture reference); we calibrate against the correct</w:t>
      </w:r>
      <w:r>
        <w:t xml:space="preserve"> </w:t>
      </w:r>
      <w:r>
        <w:t xml:space="preserve">mixture throughout, evaluating both the fraction of null replicates</w:t>
      </w:r>
      <w:r>
        <w:t xml:space="preserve"> </w:t>
      </w:r>
      <w:r>
        <w:t xml:space="preserve">landing at the boundary (expected</w:t>
      </w:r>
      <w:r>
        <w:t xml:space="preserve"> </w:t>
      </w:r>
      <m:oMath>
        <m:r>
          <m:rPr>
            <m:sty m:val="p"/>
          </m:rPr>
          <m:t>≈</m:t>
        </m:r>
        <m:r>
          <m:t>50</m:t>
        </m:r>
        <m:r>
          <m:rPr>
            <m:sty m:val="p"/>
          </m:rPr>
          <m:t>%</m:t>
        </m:r>
      </m:oMath>
      <w:r>
        <w:t xml:space="preserve">) and, for the</w:t>
      </w:r>
      <w:r>
        <w:t xml:space="preserve"> </w:t>
      </w:r>
      <w:r>
        <w:t xml:space="preserve">strictly-positive replicates, a Kolmogorov-Smirnov test against</w:t>
      </w:r>
      <w:r>
        <w:t xml:space="preserve"> </w:t>
      </w:r>
      <m:oMath>
        <m:sSubSup>
          <m:e>
            <m:r>
              <m:t>χ</m:t>
            </m:r>
          </m:e>
          <m:sub>
            <m:r>
              <m:t>1</m:t>
            </m:r>
          </m:sub>
          <m:sup>
            <m:r>
              <m:t>2</m:t>
            </m:r>
          </m:sup>
        </m:sSubSup>
      </m:oMath>
      <w:r>
        <w:t xml:space="preserve">.</w:t>
      </w:r>
    </w:p>
    <w:bookmarkEnd w:id="38"/>
    <w:bookmarkStart w:id="39" w:name="Xc7c61f44d96ad4acd70c24a88fe636278ec5bc8"/>
    <w:p>
      <w:pPr>
        <w:pStyle w:val="Heading3"/>
      </w:pPr>
      <w:r>
        <w:t xml:space="preserve">Comparison to Established Estimation Methods</w:t>
      </w:r>
    </w:p>
    <w:p>
      <w:pPr>
        <w:pStyle w:val="FirstParagraph"/>
      </w:pPr>
      <w:r>
        <w:t xml:space="preserve">FOCEI and SAEM baseline fits are obtained via the</w:t>
      </w:r>
      <w:r>
        <w:t xml:space="preserve"> </w:t>
      </w:r>
      <w:r>
        <w:rPr>
          <w:rStyle w:val="VerbatimChar"/>
        </w:rPr>
        <w:t xml:space="preserve">nlmixr2</w:t>
      </w:r>
      <w:r>
        <w:t xml:space="preserve"> </w:t>
      </w:r>
      <w:r>
        <w:t xml:space="preserve">R package</w:t>
      </w:r>
      <w:r>
        <w:t xml:space="preserve"> </w:t>
      </w:r>
      <w:r>
        <w:t xml:space="preserve">(Fidler et al. 2019)</w:t>
      </w:r>
      <w:r>
        <w:t xml:space="preserve">, using a structural model and log-normal residual</w:t>
      </w:r>
      <w:r>
        <w:t xml:space="preserve"> </w:t>
      </w:r>
      <w:r>
        <w:t xml:space="preserve">error model matched exactly to the VI implementation’s</w:t>
      </w:r>
      <w:r>
        <w:t xml:space="preserve"> </w:t>
      </w:r>
      <w:r>
        <w:rPr>
          <w:rStyle w:val="VerbatimChar"/>
        </w:rPr>
        <w:t xml:space="preserve">OneCmtOral</w:t>
      </w:r>
      <w:r>
        <w:t xml:space="preserve">: identical parameterization (</w:t>
      </w:r>
      <m:oMath>
        <m:r>
          <m:rPr>
            <m:sty m:val="p"/>
          </m:rPr>
          <m:t>log</m:t>
        </m:r>
        <m:r>
          <m:t>C</m:t>
        </m:r>
        <m:r>
          <m:t>L</m:t>
        </m:r>
        <m:r>
          <m:rPr>
            <m:sty m:val="p"/>
          </m:rPr>
          <m:t>=</m:t>
        </m:r>
        <m:sSub>
          <m:e>
            <m:r>
              <m:t>θ</m:t>
            </m:r>
          </m:e>
          <m:sub>
            <m:r>
              <m:t>C</m:t>
            </m:r>
            <m:r>
              <m:t>L</m:t>
            </m:r>
          </m:sub>
        </m:sSub>
        <m:r>
          <m:rPr>
            <m:sty m:val="p"/>
          </m:rPr>
          <m:t>+</m:t>
        </m:r>
        <m:sSub>
          <m:e>
            <m:r>
              <m:t>η</m:t>
            </m:r>
          </m:e>
          <m:sub>
            <m:r>
              <m:t>C</m:t>
            </m:r>
            <m:r>
              <m:t>L</m:t>
            </m:r>
          </m:sub>
        </m:sSub>
      </m:oMath>
      <w:r>
        <w:t xml:space="preserve">, and analogously for</w:t>
      </w:r>
      <w:r>
        <w:t xml:space="preserve"> </w:t>
      </w:r>
      <m:oMath>
        <m:r>
          <m:t>V</m:t>
        </m:r>
      </m:oMath>
      <w:r>
        <w:t xml:space="preserve"> </w:t>
      </w:r>
      <w:r>
        <w:t xml:space="preserve">and</w:t>
      </w:r>
      <w:r>
        <w:t xml:space="preserve"> </w:t>
      </w:r>
      <m:oMath>
        <m:sSub>
          <m:e>
            <m:r>
              <m:t>k</m:t>
            </m:r>
          </m:e>
          <m:sub>
            <m:r>
              <m:t>a</m:t>
            </m:r>
          </m:sub>
        </m:sSub>
      </m:oMath>
      <w:r>
        <w:t xml:space="preserve">), and the same off-truth</w:t>
      </w:r>
      <w:r>
        <w:t xml:space="preserve"> </w:t>
      </w:r>
      <w:r>
        <w:t xml:space="preserve">initial values used throughout this work for both estimation approaches,</w:t>
      </w:r>
      <w:r>
        <w:t xml:space="preserve"> </w:t>
      </w:r>
      <w:r>
        <w:t xml:space="preserve">so that neither starts closer to the truth than the other. The</w:t>
      </w:r>
      <w:r>
        <w:t xml:space="preserve"> </w:t>
      </w:r>
      <w:r>
        <w:t xml:space="preserve">comparison uses</w:t>
      </w:r>
      <w:r>
        <w:t xml:space="preserve"> </w:t>
      </w:r>
      <m:oMath>
        <m:r>
          <m:t>N</m:t>
        </m:r>
        <m:r>
          <m:rPr>
            <m:sty m:val="p"/>
          </m:rPr>
          <m:t>=</m:t>
        </m:r>
        <m:r>
          <m:t>120</m:t>
        </m:r>
      </m:oMath>
      <w:r>
        <w:t xml:space="preserve"> </w:t>
      </w:r>
      <w:r>
        <w:t xml:space="preserve">subjects and 20 replicate simulated datasets,</w:t>
      </w:r>
      <w:r>
        <w:t xml:space="preserve"> </w:t>
      </w:r>
      <w:r>
        <w:t xml:space="preserve">matching the scale used for the linear-tier simulation study above; each</w:t>
      </w:r>
      <w:r>
        <w:t xml:space="preserve"> </w:t>
      </w:r>
      <w:r>
        <w:t xml:space="preserve">replicate is fit once by FOCEI, once by SAEM, and by variational</w:t>
      </w:r>
      <w:r>
        <w:t xml:space="preserve"> </w:t>
      </w:r>
      <w:r>
        <w:t xml:space="preserve">inference at</w:t>
      </w:r>
      <w:r>
        <w:t xml:space="preserve"> </w:t>
      </w:r>
      <m:oMath>
        <m:r>
          <m:t>K</m:t>
        </m:r>
        <m:r>
          <m:rPr>
            <m:sty m:val="p"/>
          </m:rPr>
          <m:t>=</m:t>
        </m:r>
        <m:r>
          <m:t>1</m:t>
        </m:r>
      </m:oMath>
      <w:r>
        <w:t xml:space="preserve"> </w:t>
      </w:r>
      <w:r>
        <w:t xml:space="preserve">and</w:t>
      </w:r>
      <w:r>
        <w:t xml:space="preserve"> </w:t>
      </w:r>
      <m:oMath>
        <m:r>
          <m:t>K</m:t>
        </m:r>
        <m:r>
          <m:rPr>
            <m:sty m:val="p"/>
          </m:rPr>
          <m:t>=</m:t>
        </m:r>
        <m:r>
          <m:t>64</m:t>
        </m:r>
      </m:oMath>
      <w:r>
        <w:t xml:space="preserve">, all on the identical simulated dataset.</w:t>
      </w:r>
      <w:r>
        <w:t xml:space="preserve"> </w:t>
      </w:r>
      <w:r>
        <w:t xml:space="preserve">Runtime is measured as process CPU time, not wall-clock time, for both</w:t>
      </w:r>
      <w:r>
        <w:t xml:space="preserve"> </w:t>
      </w:r>
      <w:r>
        <w:t xml:space="preserve">the variational inference fits (Python’s</w:t>
      </w:r>
      <w:r>
        <w:t xml:space="preserve"> </w:t>
      </w:r>
      <w:r>
        <w:rPr>
          <w:rStyle w:val="VerbatimChar"/>
        </w:rPr>
        <w:t xml:space="preserve">time.process_time()</w:t>
      </w:r>
      <w:r>
        <w:t xml:space="preserve">) and the</w:t>
      </w:r>
      <w:r>
        <w:t xml:space="preserve"> </w:t>
      </w:r>
      <w:r>
        <w:t xml:space="preserve">FOCEI/SAEM fits (R’s</w:t>
      </w:r>
      <w:r>
        <w:t xml:space="preserve"> </w:t>
      </w:r>
      <w:r>
        <w:rPr>
          <w:rStyle w:val="VerbatimChar"/>
        </w:rPr>
        <w:t xml:space="preserve">proc.time()</w:t>
      </w:r>
      <w:r>
        <w:t xml:space="preserve">, summing the user and system</w:t>
      </w:r>
      <w:r>
        <w:t xml:space="preserve"> </w:t>
      </w:r>
      <w:r>
        <w:t xml:space="preserve">components), consistent throughout this work specifically because</w:t>
      </w:r>
      <w:r>
        <w:t xml:space="preserve"> </w:t>
      </w:r>
      <w:r>
        <w:t xml:space="preserve">process CPU time is immune to operating-system sleep and largely immune</w:t>
      </w:r>
      <w:r>
        <w:t xml:space="preserve"> </w:t>
      </w:r>
      <w:r>
        <w:t xml:space="preserve">to contention from other processes, unlike wall-clock time. Thread</w:t>
      </w:r>
      <w:r>
        <w:t xml:space="preserve"> </w:t>
      </w:r>
      <w:r>
        <w:t xml:space="preserve">counts were not explicitly pinned to be identical between the PyTorch</w:t>
      </w:r>
      <w:r>
        <w:t xml:space="preserve"> </w:t>
      </w:r>
      <w:r>
        <w:t xml:space="preserve">and R/BLAS processes; this is a limitation of the runtime comparison</w:t>
      </w:r>
      <w:r>
        <w:t xml:space="preserve"> </w:t>
      </w:r>
      <w:r>
        <w:t xml:space="preserve">reported below (see Limitations), since incidental differences in</w:t>
      </w:r>
      <w:r>
        <w:t xml:space="preserve"> </w:t>
      </w:r>
      <w:r>
        <w:t xml:space="preserve">parallelism could confound a small part of the observed speed</w:t>
      </w:r>
      <w:r>
        <w:t xml:space="preserve"> </w:t>
      </w:r>
      <w:r>
        <w:t xml:space="preserve">difference.</w:t>
      </w:r>
    </w:p>
    <w:p>
      <w:pPr>
        <w:pStyle w:val="BodyText"/>
      </w:pPr>
      <w:r>
        <w:t xml:space="preserve">This runtime comparison is scoped deliberately to a single, simple,</w:t>
      </w:r>
      <w:r>
        <w:t xml:space="preserve"> </w:t>
      </w:r>
      <w:r>
        <w:t xml:space="preserve">analytically tractable structural model, chosen specifically to allow a</w:t>
      </w:r>
      <w:r>
        <w:t xml:space="preserve"> </w:t>
      </w:r>
      <w:r>
        <w:t xml:space="preserve">fair, matched comparison in which both sides evaluate the likelihood via</w:t>
      </w:r>
      <w:r>
        <w:t xml:space="preserve"> </w:t>
      </w:r>
      <w:r>
        <w:t xml:space="preserve">a closed-form solution rather than numerical integration. It is not</w:t>
      </w:r>
      <w:r>
        <w:t xml:space="preserve"> </w:t>
      </w:r>
      <w:r>
        <w:t xml:space="preserve">intended as the paper’s primary evidence for variational inference’s</w:t>
      </w:r>
      <w:r>
        <w:t xml:space="preserve"> </w:t>
      </w:r>
      <w:r>
        <w:t xml:space="preserve">practical efficiency advantage, which is expected to be most pronounced</w:t>
      </w:r>
      <w:r>
        <w:t xml:space="preserve"> </w:t>
      </w:r>
      <w:r>
        <w:t xml:space="preserve">for larger populations and structurally more complex models where FOCEI</w:t>
      </w:r>
      <w:r>
        <w:t xml:space="preserve"> </w:t>
      </w:r>
      <w:r>
        <w:t xml:space="preserve">and SAEM’s per-iteration cost scales unfavorably, an advantage already</w:t>
      </w:r>
      <w:r>
        <w:t xml:space="preserve"> </w:t>
      </w:r>
      <w:r>
        <w:t xml:space="preserve">established in the literature at larger scale (</w:t>
      </w:r>
      <w:r>
        <w:t xml:space="preserve">Arruda et al. (2024)</w:t>
      </w:r>
      <w:r>
        <w:t xml:space="preserve"> </w:t>
      </w:r>
      <w:r>
        <w:t xml:space="preserve">report roughly two orders of magnitude speedup on their tested models).</w:t>
      </w:r>
      <w:r>
        <w:t xml:space="preserve"> </w:t>
      </w:r>
      <w:r>
        <w:t xml:space="preserve">The purpose of the comparison reported here is narrower: to verify that</w:t>
      </w:r>
      <w:r>
        <w:t xml:space="preserve"> </w:t>
      </w:r>
      <w:r>
        <w:t xml:space="preserve">the BSV-bias correction characterized throughout this work brings</w:t>
      </w:r>
      <w:r>
        <w:t xml:space="preserve"> </w:t>
      </w:r>
      <w:r>
        <w:t xml:space="preserve">variational inference to FOCEI/SAEM-comparable accuracy without</w:t>
      </w:r>
      <w:r>
        <w:t xml:space="preserve"> </w:t>
      </w:r>
      <w:r>
        <w:t xml:space="preserve">introducing a prohibitive runtime cost on a tractable model, not to make</w:t>
      </w:r>
      <w:r>
        <w:t xml:space="preserve"> </w:t>
      </w:r>
      <w:r>
        <w:t xml:space="preserve">a general efficiency claim.</w:t>
      </w:r>
    </w:p>
    <w:bookmarkEnd w:id="39"/>
    <w:bookmarkStart w:id="40" w:name="software-and-computational-environment"/>
    <w:p>
      <w:pPr>
        <w:pStyle w:val="Heading3"/>
      </w:pPr>
      <w:r>
        <w:t xml:space="preserve">Software and Computational Environment</w:t>
      </w:r>
    </w:p>
    <w:p>
      <w:pPr>
        <w:pStyle w:val="FirstParagraph"/>
      </w:pPr>
      <w:r>
        <w:t xml:space="preserve">All variational inference models are implemented in PyTorch</w:t>
      </w:r>
      <w:r>
        <w:t xml:space="preserve"> </w:t>
      </w:r>
      <w:r>
        <w:t xml:space="preserve">(Paszke et al. 2019)</w:t>
      </w:r>
      <w:r>
        <w:t xml:space="preserve">. FOCEI and SAEM baseline fits use the</w:t>
      </w:r>
      <w:r>
        <w:t xml:space="preserve"> </w:t>
      </w:r>
      <w:r>
        <w:rPr>
          <w:rStyle w:val="VerbatimChar"/>
        </w:rPr>
        <w:t xml:space="preserve">nlmixr2</w:t>
      </w:r>
      <w:r>
        <w:t xml:space="preserve"> </w:t>
      </w:r>
      <w:r>
        <w:t xml:space="preserve">R</w:t>
      </w:r>
      <w:r>
        <w:t xml:space="preserve"> </w:t>
      </w:r>
      <w:r>
        <w:t xml:space="preserve">package</w:t>
      </w:r>
      <w:r>
        <w:t xml:space="preserve"> </w:t>
      </w:r>
      <w:r>
        <w:t xml:space="preserve">(Fidler et al. 2019)</w:t>
      </w:r>
      <w:r>
        <w:t xml:space="preserve"> </w:t>
      </w:r>
      <w:r>
        <w:t xml:space="preserve">(version 7.0.1, with</w:t>
      </w:r>
      <w:r>
        <w:t xml:space="preserve"> </w:t>
      </w:r>
      <w:r>
        <w:rPr>
          <w:rStyle w:val="VerbatimChar"/>
        </w:rPr>
        <w:t xml:space="preserve">nlmixr2est</w:t>
      </w:r>
      <w:r>
        <w:t xml:space="preserve"> </w:t>
      </w:r>
      <w:r>
        <w:t xml:space="preserve">7.0.2</w:t>
      </w:r>
      <w:r>
        <w:t xml:space="preserve"> </w:t>
      </w:r>
      <w:r>
        <w:t xml:space="preserve">and</w:t>
      </w:r>
      <w:r>
        <w:t xml:space="preserve"> </w:t>
      </w:r>
      <w:r>
        <w:rPr>
          <w:rStyle w:val="VerbatimChar"/>
        </w:rPr>
        <w:t xml:space="preserve">rxode2</w:t>
      </w:r>
      <w:r>
        <w:t xml:space="preserve"> </w:t>
      </w:r>
      <w:r>
        <w:t xml:space="preserve">5.1.6) under R version 4.5.3 (aarch64-apple-darwin20) on</w:t>
      </w:r>
      <w:r>
        <w:t xml:space="preserve"> </w:t>
      </w:r>
      <w:r>
        <w:t xml:space="preserve">macOS.</w:t>
      </w:r>
    </w:p>
    <w:bookmarkEnd w:id="40"/>
    <w:bookmarkEnd w:id="41"/>
    <w:bookmarkStart w:id="74" w:name="results"/>
    <w:p>
      <w:pPr>
        <w:pStyle w:val="Heading2"/>
      </w:pPr>
      <w:r>
        <w:t xml:space="preserve">Results</w:t>
      </w:r>
    </w:p>
    <w:bookmarkStart w:id="46" w:name="Xc165c8a50c32b713ae5f3f12075d2ee3ad9f339"/>
    <w:p>
      <w:pPr>
        <w:pStyle w:val="Heading3"/>
      </w:pPr>
      <w:r>
        <w:t xml:space="preserve">Standard-ELBO Variational Inference Underestimates Between-Subject Variability</w:t>
      </w:r>
    </w:p>
    <w:p>
      <w:pPr>
        <w:pStyle w:val="FirstParagraph"/>
      </w:pPr>
      <w:r>
        <w:t xml:space="preserve">On the linear one-compartment model with known ground truth, standard-ELBO (</w:t>
      </w:r>
      <m:oMath>
        <m:r>
          <m:t>K</m:t>
        </m:r>
        <m:r>
          <m:rPr>
            <m:sty m:val="p"/>
          </m:rPr>
          <m:t>=</m:t>
        </m:r>
        <m:r>
          <m:t>1</m:t>
        </m:r>
      </m:oMath>
      <w:r>
        <w:t xml:space="preserve">) fitting systematically underestimates between-subject variability under both free and amortized posteriors, with the bias substantially reduced by importance weighting at larger</w:t>
      </w:r>
      <w:r>
        <w:t xml:space="preserve"> </w:t>
      </w:r>
      <m:oMath>
        <m:r>
          <m:t>K</m:t>
        </m:r>
      </m:oMath>
      <w:r>
        <w:t xml:space="preserve"> </w:t>
      </w:r>
      <w:r>
        <w:t xml:space="preserve">(</w:t>
      </w:r>
      <w:hyperlink w:anchor="fig-phase0-omega-bias">
        <w:r>
          <w:rPr>
            <w:rStyle w:val="Hyperlink"/>
          </w:rPr>
          <w:t xml:space="preserve">Figure 1</w:t>
        </w:r>
      </w:hyperlink>
      <w:r>
        <w:t xml:space="preserve"> </w:t>
      </w:r>
      <w:r>
        <w:t xml:space="preserve">and</w:t>
      </w:r>
      <w:r>
        <w:t xml:space="preserve"> </w:t>
      </w:r>
      <w:hyperlink w:anchor="supptbl-phase0-combined">
        <w:r>
          <w:rPr>
            <w:rStyle w:val="Hyperlink"/>
          </w:rPr>
          <w:t xml:space="preserve">Table S1</w:t>
        </w:r>
      </w:hyperlink>
      <w:r>
        <w:t xml:space="preserve">). Structural fixed effects show much less dependence on</w:t>
      </w:r>
      <w:r>
        <w:t xml:space="preserve"> </w:t>
      </w:r>
      <m:oMath>
        <m:r>
          <m:t>K</m:t>
        </m:r>
      </m:oMath>
      <w:r>
        <w:t xml:space="preserve">. Clearance and volume remain comparatively stable, whereas</w:t>
      </w:r>
      <w:r>
        <w:t xml:space="preserve"> </w:t>
      </w:r>
      <m:oMath>
        <m:sSub>
          <m:e>
            <m:r>
              <m:t>k</m:t>
            </m:r>
          </m:e>
          <m:sub>
            <m:r>
              <m:t>a</m:t>
            </m:r>
          </m:sub>
        </m:sSub>
      </m:oMath>
      <w:r>
        <w:t xml:space="preserve"> </w:t>
      </w:r>
      <w:r>
        <w:t xml:space="preserve">is consistently underestimated by a similar amount across</w:t>
      </w:r>
      <w:r>
        <w:t xml:space="preserve"> </w:t>
      </w:r>
      <m:oMath>
        <m:r>
          <m:t>K</m:t>
        </m:r>
      </m:oMath>
      <w:r>
        <w:t xml:space="preserve">, indicating a persistent bias that is distinct from the strongly</w:t>
      </w:r>
      <w:r>
        <w:t xml:space="preserve"> </w:t>
      </w:r>
      <m:oMath>
        <m:r>
          <m:t>K</m:t>
        </m:r>
      </m:oMath>
      <w:r>
        <w:t xml:space="preserve">-dependent behavior of the random-effect parameters. Residual-error estimates show greater</w:t>
      </w:r>
      <w:r>
        <w:t xml:space="preserve"> </w:t>
      </w:r>
      <m:oMath>
        <m:r>
          <m:t>K</m:t>
        </m:r>
      </m:oMath>
      <w:r>
        <w:t xml:space="preserve">-dependence in some settings, consistent with partial compensation between residual and between-subject variability (</w:t>
      </w:r>
      <w:hyperlink w:anchor="supptbl-phase0-combined">
        <w:r>
          <w:rPr>
            <w:rStyle w:val="Hyperlink"/>
          </w:rPr>
          <w:t xml:space="preserve">Table S1</w:t>
        </w:r>
      </w:hyperlink>
      <w:r>
        <w:t xml:space="preserve">;</w:t>
      </w:r>
      <w:r>
        <w:t xml:space="preserve"> </w:t>
      </w:r>
      <w:hyperlink w:anchor="suppfig-phase0-fixed-effects">
        <w:r>
          <w:rPr>
            <w:rStyle w:val="Hyperlink"/>
          </w:rPr>
          <w:t xml:space="preserve">Figure S1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 w:name="fig-phase0-omega-bias"/>
          <w:p>
            <w:pPr>
              <w:pStyle w:val="Compact"/>
              <w:jc w:val="center"/>
            </w:pPr>
            <w:r>
              <w:drawing>
                <wp:inline>
                  <wp:extent cx="5334000" cy="2438400"/>
                  <wp:effectExtent b="0" l="0" r="0" t="0"/>
                  <wp:docPr descr="" title="" id="43" name="Picture"/>
                  <a:graphic>
                    <a:graphicData uri="http://schemas.openxmlformats.org/drawingml/2006/picture">
                      <pic:pic>
                        <pic:nvPicPr>
                          <pic:cNvPr descr="publication/figures/fig_phase0_omega_bias.png" id="44" name="Picture"/>
                          <pic:cNvPicPr>
                            <a:picLocks noChangeArrowheads="1" noChangeAspect="1"/>
                          </pic:cNvPicPr>
                        </pic:nvPicPr>
                        <pic:blipFill>
                          <a:blip r:embed="rId42"/>
                          <a:stretch>
                            <a:fillRect/>
                          </a:stretch>
                        </pic:blipFill>
                        <pic:spPr bwMode="auto">
                          <a:xfrm>
                            <a:off x="0" y="0"/>
                            <a:ext cx="5334000" cy="2438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Random-effect SD bias by</w:t>
            </w:r>
            <w:r>
              <w:t xml:space="preserve"> </w:t>
            </w:r>
            <m:oMath>
              <m:r>
                <m:t>K</m:t>
              </m:r>
            </m:oMath>
            <w:r>
              <w:t xml:space="preserve">, shown separately for free and amortized posteriors</w:t>
            </w:r>
            <w:r>
              <w:t xml:space="preserve"> </w:t>
            </w:r>
            <w:r>
              <w:t xml:space="preserve">under the Gaussian variational family. The dashed line marks zero bias.</w:t>
            </w:r>
            <w:r>
              <w:t xml:space="preserve"> </w:t>
            </w:r>
            <w:r>
              <w:t xml:space="preserve">Error bars show the standard error across replicates.</w:t>
            </w:r>
          </w:p>
          <w:bookmarkEnd w:id="45"/>
        </w:tc>
      </w:tr>
    </w:tbl>
    <w:bookmarkEnd w:id="46"/>
    <w:bookmarkStart w:id="51" w:name="X2e3645864005c2b393e97a0d5efe83c375538e7"/>
    <w:p>
      <w:pPr>
        <w:pStyle w:val="Heading3"/>
      </w:pPr>
      <w:r>
        <w:t xml:space="preserve">Sparse Sampling Designs and Richer Variational Families</w:t>
      </w:r>
    </w:p>
    <w:p>
      <w:pPr>
        <w:pStyle w:val="FirstParagraph"/>
      </w:pPr>
      <w:r>
        <w:t xml:space="preserve">Sparse sampling designs roughly double the standard-ELBO bias relative to</w:t>
      </w:r>
      <w:r>
        <w:t xml:space="preserve"> </w:t>
      </w:r>
      <w:r>
        <w:t xml:space="preserve">dense sampling at matched</w:t>
      </w:r>
      <w:r>
        <w:t xml:space="preserve"> </w:t>
      </w:r>
      <m:oMath>
        <m:r>
          <m:t>K</m:t>
        </m:r>
      </m:oMath>
      <w:r>
        <w:t xml:space="preserve">, consistent with the mechanism being one of</w:t>
      </w:r>
      <w:r>
        <w:t xml:space="preserve"> </w:t>
      </w:r>
      <w:r>
        <w:t xml:space="preserve">identifiability: whichever random effect the sampling design least</w:t>
      </w:r>
      <w:r>
        <w:t xml:space="preserve"> </w:t>
      </w:r>
      <w:r>
        <w:t xml:space="preserve">constrains shrinks the most under standard-ELBO training. Independently, a</w:t>
      </w:r>
      <w:r>
        <w:t xml:space="preserve"> </w:t>
      </w:r>
      <w:r>
        <w:t xml:space="preserve">richer variational family (normalizing flow) closes most of the gap that</w:t>
      </w:r>
      <w:r>
        <w:t xml:space="preserve"> </w:t>
      </w:r>
      <w:r>
        <w:t xml:space="preserve">importance-weighting alone leaves at low</w:t>
      </w:r>
      <w:r>
        <w:t xml:space="preserve"> </w:t>
      </w:r>
      <m:oMath>
        <m:r>
          <m:t>K</m:t>
        </m:r>
      </m:oMath>
      <w:r>
        <w:t xml:space="preserve">, with the free posterior</w:t>
      </w:r>
      <w:r>
        <w:t xml:space="preserve"> </w:t>
      </w:r>
      <w:r>
        <w:t xml:space="preserve">under the flow family showing negligible bias even at</w:t>
      </w:r>
      <w:r>
        <w:t xml:space="preserve"> </w:t>
      </w:r>
      <m:oMath>
        <m:r>
          <m:t>K</m:t>
        </m:r>
        <m:r>
          <m:rPr>
            <m:sty m:val="p"/>
          </m:rPr>
          <m:t>=</m:t>
        </m:r>
        <m:r>
          <m:t>1</m:t>
        </m:r>
      </m:oMath>
      <w:r>
        <w:t xml:space="preserve"> </w:t>
      </w:r>
      <w:r>
        <w:t xml:space="preserve">in the dense</w:t>
      </w:r>
      <w:r>
        <w:t xml:space="preserve"> </w:t>
      </w:r>
      <w:r>
        <w:t xml:space="preserve">design (</w:t>
      </w:r>
      <w:hyperlink w:anchor="fig-phase1-grid">
        <w:r>
          <w:rPr>
            <w:rStyle w:val="Hyperlink"/>
          </w:rPr>
          <w:t xml:space="preserve">Figure 2</w:t>
        </w:r>
      </w:hyperlink>
      <w:r>
        <w:t xml:space="preserve"> </w:t>
      </w:r>
      <w:r>
        <w:t xml:space="preserve">and</w:t>
      </w:r>
      <w:r>
        <w:t xml:space="preserve"> </w:t>
      </w:r>
      <w:hyperlink w:anchor="supptbl-phase1-dense">
        <w:r>
          <w:rPr>
            <w:rStyle w:val="Hyperlink"/>
          </w:rPr>
          <w:t xml:space="preserve">Table S2</w:t>
        </w:r>
      </w:hyperlink>
      <w:r>
        <w:t xml:space="preserve"> </w:t>
      </w:r>
      <w:r>
        <w:t xml:space="preserve">and</w:t>
      </w:r>
      <w:r>
        <w:t xml:space="preserve"> </w:t>
      </w:r>
      <w:hyperlink w:anchor="supptbl-phase1-sparse">
        <w:r>
          <w:rPr>
            <w:rStyle w:val="Hyperlink"/>
          </w:rPr>
          <w:t xml:space="preserve">Table S3</w:t>
        </w:r>
      </w:hyperlink>
      <w:r>
        <w:t xml:space="preserve">). Structural fixed-effect estimates are substantially less sensitive to</w:t>
      </w:r>
      <w:r>
        <w:t xml:space="preserve"> </w:t>
      </w:r>
      <m:oMath>
        <m:r>
          <m:t>K</m:t>
        </m:r>
      </m:oMath>
      <w:r>
        <w:t xml:space="preserve"> </w:t>
      </w:r>
      <w:r>
        <w:t xml:space="preserve">across the same grid, whereas residual-error estimates show greater dependence on</w:t>
      </w:r>
      <w:r>
        <w:t xml:space="preserve"> </w:t>
      </w:r>
      <m:oMath>
        <m:r>
          <m:t>K</m:t>
        </m:r>
      </m:oMath>
      <w:r>
        <w:t xml:space="preserve"> </w:t>
      </w:r>
      <w:r>
        <w:t xml:space="preserve">in some panels, consistent with redistribution of unexplained variability between residual error and between-subject random effects (</w:t>
      </w:r>
      <w:hyperlink w:anchor="supptbl-phase1-dense">
        <w:r>
          <w:rPr>
            <w:rStyle w:val="Hyperlink"/>
          </w:rPr>
          <w:t xml:space="preserve">Table S2</w:t>
        </w:r>
      </w:hyperlink>
      <w:r>
        <w:t xml:space="preserve"> </w:t>
      </w:r>
      <w:r>
        <w:t xml:space="preserve">and</w:t>
      </w:r>
      <w:r>
        <w:t xml:space="preserve"> </w:t>
      </w:r>
      <w:hyperlink w:anchor="supptbl-phase1-sparse">
        <w:r>
          <w:rPr>
            <w:rStyle w:val="Hyperlink"/>
          </w:rPr>
          <w:t xml:space="preserve">Table S3</w:t>
        </w:r>
      </w:hyperlink>
      <w:r>
        <w:t xml:space="preserve">;</w:t>
      </w:r>
      <w:r>
        <w:t xml:space="preserve"> </w:t>
      </w:r>
      <w:hyperlink w:anchor="suppfig-phase1-fixed-effects">
        <w:r>
          <w:rPr>
            <w:rStyle w:val="Hyperlink"/>
          </w:rPr>
          <w:t xml:space="preserve">Figure S2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fig-phase1-grid"/>
          <w:p>
            <w:pPr>
              <w:pStyle w:val="Compact"/>
              <w:jc w:val="center"/>
            </w:pPr>
            <w:r>
              <w:drawing>
                <wp:inline>
                  <wp:extent cx="5334000" cy="3810000"/>
                  <wp:effectExtent b="0" l="0" r="0" t="0"/>
                  <wp:docPr descr="" title="" id="48" name="Picture"/>
                  <a:graphic>
                    <a:graphicData uri="http://schemas.openxmlformats.org/drawingml/2006/picture">
                      <pic:pic>
                        <pic:nvPicPr>
                          <pic:cNvPr descr="publication/figures/fig_phase1_grid.png" id="49" name="Picture"/>
                          <pic:cNvPicPr>
                            <a:picLocks noChangeArrowheads="1" noChangeAspect="1"/>
                          </pic:cNvPicPr>
                        </pic:nvPicPr>
                        <pic:blipFill>
                          <a:blip r:embed="rId4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Random-effect SD bias by</w:t>
            </w:r>
            <w:r>
              <w:t xml:space="preserve"> </w:t>
            </w:r>
            <m:oMath>
              <m:r>
                <m:t>K</m:t>
              </m:r>
            </m:oMath>
            <w:r>
              <w:t xml:space="preserve">, faceted by sampling design (rows) and variational</w:t>
            </w:r>
            <w:r>
              <w:t xml:space="preserve"> </w:t>
            </w:r>
            <w:r>
              <w:t xml:space="preserve">family (columns), with one line per posterior architecture in each</w:t>
            </w:r>
            <w:r>
              <w:t xml:space="preserve"> </w:t>
            </w:r>
            <w:r>
              <w:t xml:space="preserve">panel.</w:t>
            </w:r>
          </w:p>
          <w:bookmarkEnd w:id="50"/>
        </w:tc>
      </w:tr>
    </w:tbl>
    <w:p>
      <w:pPr>
        <w:pStyle w:val="BodyText"/>
      </w:pPr>
      <w:r>
        <w:t xml:space="preserve">One posterior configuration, amortized posterior combined with the</w:t>
      </w:r>
      <w:r>
        <w:t xml:space="preserve"> </w:t>
      </w:r>
      <w:r>
        <w:t xml:space="preserve">normalizing-flow family, is unstable across every tested value of</w:t>
      </w:r>
      <w:r>
        <w:t xml:space="preserve"> </w:t>
      </w:r>
      <m:oMath>
        <m:r>
          <m:t>K</m:t>
        </m:r>
      </m:oMath>
      <w:r>
        <w:t xml:space="preserve"> </w:t>
      </w:r>
      <w:r>
        <w:t xml:space="preserve">and</w:t>
      </w:r>
      <w:r>
        <w:t xml:space="preserve"> </w:t>
      </w:r>
      <w:r>
        <w:t xml:space="preserve">is excluded from the results above. Rather than a</w:t>
      </w:r>
      <w:r>
        <w:t xml:space="preserve"> </w:t>
      </w:r>
      <m:oMath>
        <m:r>
          <m:t>K</m:t>
        </m:r>
        <m:r>
          <m:rPr>
            <m:sty m:val="p"/>
          </m:rPr>
          <m:t>=</m:t>
        </m:r>
        <m:r>
          <m:t>1</m:t>
        </m:r>
      </m:oMath>
      <w:r>
        <w:t xml:space="preserve">-specific problem,</w:t>
      </w:r>
      <w:r>
        <w:t xml:space="preserve"> </w:t>
      </w:r>
      <w:r>
        <w:t xml:space="preserve">this combination shows a comparable rate of flagged, substantially</w:t>
      </w:r>
      <w:r>
        <w:t xml:space="preserve"> </w:t>
      </w:r>
      <w:r>
        <w:t xml:space="preserve">divergent fits at</w:t>
      </w:r>
      <w:r>
        <w:t xml:space="preserve"> </w:t>
      </w:r>
      <m:oMath>
        <m:r>
          <m:t>K</m:t>
        </m:r>
        <m:r>
          <m:rPr>
            <m:sty m:val="p"/>
          </m:rPr>
          <m:t>=</m:t>
        </m:r>
        <m:r>
          <m:t>1</m:t>
        </m:r>
      </m:oMath>
      <w:r>
        <w:t xml:space="preserve">,</w:t>
      </w:r>
      <w:r>
        <w:t xml:space="preserve"> </w:t>
      </w:r>
      <m:oMath>
        <m:r>
          <m:t>K</m:t>
        </m:r>
        <m:r>
          <m:rPr>
            <m:sty m:val="p"/>
          </m:rPr>
          <m:t>=</m:t>
        </m:r>
        <m:r>
          <m:t>8</m:t>
        </m:r>
      </m:oMath>
      <w:r>
        <w:t xml:space="preserve">, and</w:t>
      </w:r>
      <w:r>
        <w:t xml:space="preserve"> </w:t>
      </w:r>
      <m:oMath>
        <m:r>
          <m:t>K</m:t>
        </m:r>
        <m:r>
          <m:rPr>
            <m:sty m:val="p"/>
          </m:rPr>
          <m:t>=</m:t>
        </m:r>
        <m:r>
          <m:t>64</m:t>
        </m:r>
      </m:oMath>
      <w:r>
        <w:t xml:space="preserve"> </w:t>
      </w:r>
      <w:r>
        <w:t xml:space="preserve">alike; higher</w:t>
      </w:r>
      <w:r>
        <w:t xml:space="preserve"> </w:t>
      </w:r>
      <m:oMath>
        <m:r>
          <m:t>K</m:t>
        </m:r>
      </m:oMath>
      <w:r>
        <w:t xml:space="preserve"> </w:t>
      </w:r>
      <w:r>
        <w:t xml:space="preserve">changes the</w:t>
      </w:r>
      <w:r>
        <w:t xml:space="preserve"> </w:t>
      </w:r>
      <w:r>
        <w:t xml:space="preserve">character of the failure (from occasional gross divergence to more</w:t>
      </w:r>
      <w:r>
        <w:t xml:space="preserve"> </w:t>
      </w:r>
      <w:r>
        <w:t xml:space="preserve">consistent convergence onto a stable but incorrect estimate) without</w:t>
      </w:r>
      <w:r>
        <w:t xml:space="preserve"> </w:t>
      </w:r>
      <w:r>
        <w:t xml:space="preserve">reducing its frequency. We attribute this to the amortized encoder’s</w:t>
      </w:r>
      <w:r>
        <w:t xml:space="preserve"> </w:t>
      </w:r>
      <w:r>
        <w:t xml:space="preserve">output serving a double role under this configuration, simultaneously</w:t>
      </w:r>
      <w:r>
        <w:t xml:space="preserve"> </w:t>
      </w:r>
      <w:r>
        <w:t xml:space="preserve">defining the flow’s base distribution and its conditioning input,</w:t>
      </w:r>
      <w:r>
        <w:t xml:space="preserve"> </w:t>
      </w:r>
      <w:r>
        <w:t xml:space="preserve">creating a moving optimization target not present when either the</w:t>
      </w:r>
      <w:r>
        <w:t xml:space="preserve"> </w:t>
      </w:r>
      <w:r>
        <w:t xml:space="preserve">posterior is not amortized or the family is not a flow. A preliminary</w:t>
      </w:r>
      <w:r>
        <w:t xml:space="preserve"> </w:t>
      </w:r>
      <w:r>
        <w:t xml:space="preserve">architectural variant decoupling these two roles, following the design</w:t>
      </w:r>
      <w:r>
        <w:t xml:space="preserve"> </w:t>
      </w:r>
      <w:r>
        <w:t xml:space="preserve">used by</w:t>
      </w:r>
      <w:r>
        <w:t xml:space="preserve"> </w:t>
      </w:r>
      <w:r>
        <w:t xml:space="preserve">Arruda et al. (2024)</w:t>
      </w:r>
      <w:r>
        <w:t xml:space="preserve">, is discussed as future work in the</w:t>
      </w:r>
      <w:r>
        <w:t xml:space="preserve"> </w:t>
      </w:r>
      <w:r>
        <w:t xml:space="preserve">Discussion.</w:t>
      </w:r>
    </w:p>
    <w:bookmarkEnd w:id="51"/>
    <w:bookmarkStart w:id="56" w:name="nonlinear-elimination-kinetics"/>
    <w:p>
      <w:pPr>
        <w:pStyle w:val="Heading3"/>
      </w:pPr>
      <w:r>
        <w:t xml:space="preserve">Nonlinear Elimination Kinetics</w:t>
      </w:r>
    </w:p>
    <w:p>
      <w:pPr>
        <w:pStyle w:val="FirstParagraph"/>
      </w:pPr>
      <w:r>
        <w:t xml:space="preserve">Extending to the Michaelis-Menten elimination model, an initial attempt</w:t>
      </w:r>
      <w:r>
        <w:t xml:space="preserve"> </w:t>
      </w:r>
      <w:r>
        <w:t xml:space="preserve">to place between-subject variability on both</w:t>
      </w:r>
      <w:r>
        <w:t xml:space="preserve"> </w:t>
      </w:r>
      <m:oMath>
        <m:sSub>
          <m:e>
            <m:r>
              <m:t>V</m:t>
            </m:r>
          </m:e>
          <m:sub>
            <m:r>
              <m:rPr>
                <m:sty m:val="p"/>
              </m:rPr>
              <m:t>max</m:t>
            </m:r>
          </m:sub>
        </m:sSub>
      </m:oMath>
      <w:r>
        <w:t xml:space="preserve"> </w:t>
      </w:r>
      <w:r>
        <w:t xml:space="preserve">and</w:t>
      </w:r>
      <w:r>
        <w:t xml:space="preserve"> </w:t>
      </w:r>
      <m:oMath>
        <m:sSub>
          <m:e>
            <m:r>
              <m:t>K</m:t>
            </m:r>
          </m:e>
          <m:sub>
            <m:r>
              <m:t>m</m:t>
            </m:r>
          </m:sub>
        </m:sSub>
      </m:oMath>
      <w:r>
        <w:t xml:space="preserve"> </w:t>
      </w:r>
      <w:r>
        <w:t xml:space="preserve">simultaneously showed severe, stable bias in</w:t>
      </w:r>
      <w:r>
        <w:t xml:space="preserve"> </w:t>
      </w:r>
      <m:oMath>
        <m:sSub>
          <m:e>
            <m:r>
              <m:t>ω</m:t>
            </m:r>
          </m:e>
          <m:sub>
            <m:sSub>
              <m:e>
                <m:r>
                  <m:t>K</m:t>
                </m:r>
              </m:e>
              <m:sub>
                <m:r>
                  <m:t>m</m:t>
                </m:r>
              </m:sub>
            </m:sSub>
          </m:sub>
        </m:sSub>
      </m:oMath>
      <w:r>
        <w:t xml:space="preserve"> </w:t>
      </w:r>
      <w:r>
        <w:t xml:space="preserve">(on the order</w:t>
      </w:r>
      <w:r>
        <w:t xml:space="preserve"> </w:t>
      </w:r>
      <w:r>
        <w:t xml:space="preserve">of</w:t>
      </w:r>
      <w:r>
        <w:t xml:space="preserve"> </w:t>
      </w:r>
      <m:oMath>
        <m:r>
          <m:rPr>
            <m:sty m:val="p"/>
          </m:rPr>
          <m:t>−</m:t>
        </m:r>
        <m:r>
          <m:t>80</m:t>
        </m:r>
        <m:r>
          <m:rPr>
            <m:sty m:val="p"/>
          </m:rPr>
          <m:t>%</m:t>
        </m:r>
      </m:oMath>
      <w:r>
        <w:t xml:space="preserve"> </w:t>
      </w:r>
      <w:r>
        <w:t xml:space="preserve">to</w:t>
      </w:r>
      <w:r>
        <w:t xml:space="preserve"> </w:t>
      </w:r>
      <m:oMath>
        <m:r>
          <m:rPr>
            <m:sty m:val="p"/>
          </m:rPr>
          <m:t>−</m:t>
        </m:r>
        <m:r>
          <m:t>90</m:t>
        </m:r>
        <m:r>
          <m:rPr>
            <m:sty m:val="p"/>
          </m:rPr>
          <m:t>%</m:t>
        </m:r>
      </m:oMath>
      <w:r>
        <w:t xml:space="preserve">) that did not improve with additional training</w:t>
      </w:r>
      <w:r>
        <w:t xml:space="preserve"> </w:t>
      </w:r>
      <w:r>
        <w:t xml:space="preserve">steps or a redesigned sampling window, while</w:t>
      </w:r>
      <w:r>
        <w:t xml:space="preserve"> </w:t>
      </w:r>
      <m:oMath>
        <m:sSub>
          <m:e>
            <m:r>
              <m:t>ω</m:t>
            </m:r>
          </m:e>
          <m:sub>
            <m:sSub>
              <m:e>
                <m:r>
                  <m:t>V</m:t>
                </m:r>
              </m:e>
              <m:sub>
                <m:r>
                  <m:rPr>
                    <m:sty m:val="p"/>
                  </m:rPr>
                  <m:t>max</m:t>
                </m:r>
              </m:sub>
            </m:sSub>
          </m:sub>
        </m:sSub>
      </m:oMath>
      <w:r>
        <w:t xml:space="preserve">’s bias</w:t>
      </w:r>
      <w:r>
        <w:t xml:space="preserve"> </w:t>
      </w:r>
      <w:r>
        <w:t xml:space="preserve">remained modest throughout, a pattern consistent with a genuine</w:t>
      </w:r>
      <w:r>
        <w:t xml:space="preserve"> </w:t>
      </w:r>
      <w:r>
        <w:t xml:space="preserve">structural identifiability limitation of estimating variability on both</w:t>
      </w:r>
      <w:r>
        <w:t xml:space="preserve"> </w:t>
      </w:r>
      <w:r>
        <w:t xml:space="preserve">Michaelis-Menten parameters simultaneously, a difficulty recognized in</w:t>
      </w:r>
      <w:r>
        <w:t xml:space="preserve"> </w:t>
      </w:r>
      <w:r>
        <w:t xml:space="preserve">standard pharmacometric practice for saturable-kinetics models and not</w:t>
      </w:r>
      <w:r>
        <w:t xml:space="preserve"> </w:t>
      </w:r>
      <w:r>
        <w:t xml:space="preserve">specific to variational inference. Restricting between-subject</w:t>
      </w:r>
      <w:r>
        <w:t xml:space="preserve"> </w:t>
      </w:r>
      <w:r>
        <w:t xml:space="preserve">variability to</w:t>
      </w:r>
      <w:r>
        <w:t xml:space="preserve"> </w:t>
      </w:r>
      <m:oMath>
        <m:sSub>
          <m:e>
            <m:r>
              <m:t>V</m:t>
            </m:r>
          </m:e>
          <m:sub>
            <m:r>
              <m:rPr>
                <m:sty m:val="p"/>
              </m:rPr>
              <m:t>max</m:t>
            </m:r>
          </m:sub>
        </m:sSub>
      </m:oMath>
      <w:r>
        <w:t xml:space="preserve"> </w:t>
      </w:r>
      <w:r>
        <w:t xml:space="preserve">and</w:t>
      </w:r>
      <w:r>
        <w:t xml:space="preserve"> </w:t>
      </w:r>
      <m:oMath>
        <m:r>
          <m:t>V</m:t>
        </m:r>
      </m:oMath>
      <w:r>
        <w:t xml:space="preserve"> </w:t>
      </w:r>
      <w:r>
        <w:t xml:space="preserve">only, with</w:t>
      </w:r>
      <w:r>
        <w:t xml:space="preserve"> </w:t>
      </w:r>
      <m:oMath>
        <m:sSub>
          <m:e>
            <m:r>
              <m:t>K</m:t>
            </m:r>
          </m:e>
          <m:sub>
            <m:r>
              <m:t>m</m:t>
            </m:r>
          </m:sub>
        </m:sSub>
      </m:oMath>
      <w:r>
        <w:t xml:space="preserve"> </w:t>
      </w:r>
      <w:r>
        <w:t xml:space="preserve">retained as a</w:t>
      </w:r>
      <w:r>
        <w:t xml:space="preserve"> </w:t>
      </w:r>
      <w:r>
        <w:t xml:space="preserve">population-level fixed effect, resolves this: fixed effects recover</w:t>
      </w:r>
      <w:r>
        <w:t xml:space="preserve"> </w:t>
      </w:r>
      <w:r>
        <w:t xml:space="preserve">cleanly, and the same</w:t>
      </w:r>
      <w:r>
        <w:t xml:space="preserve"> </w:t>
      </w:r>
      <m:oMath>
        <m:r>
          <m:t>K</m:t>
        </m:r>
        <m:r>
          <m:rPr>
            <m:sty m:val="p"/>
          </m:rPr>
          <m:t>=</m:t>
        </m:r>
        <m:r>
          <m:t>1</m:t>
        </m:r>
      </m:oMath>
      <w:r>
        <w:t xml:space="preserve">-to-</w:t>
      </w:r>
      <m:oMath>
        <m:r>
          <m:t>K</m:t>
        </m:r>
        <m:r>
          <m:rPr>
            <m:sty m:val="p"/>
          </m:rPr>
          <m:t>=</m:t>
        </m:r>
        <m:r>
          <m:t>64</m:t>
        </m:r>
      </m:oMath>
      <w:r>
        <w:t xml:space="preserve"> </w:t>
      </w:r>
      <w:r>
        <w:t xml:space="preserve">shrinkage-and-correction signature</w:t>
      </w:r>
      <w:r>
        <w:t xml:space="preserve"> </w:t>
      </w:r>
      <w:r>
        <w:t xml:space="preserve">seen in the linear tier reproduces on</w:t>
      </w:r>
      <w:r>
        <w:t xml:space="preserve"> </w:t>
      </w:r>
      <m:oMath>
        <m:sSub>
          <m:e>
            <m:r>
              <m:t>ω</m:t>
            </m:r>
          </m:e>
          <m:sub>
            <m:r>
              <m:t>V</m:t>
            </m:r>
          </m:sub>
        </m:sSub>
      </m:oMath>
      <w:r>
        <w:t xml:space="preserve">;</w:t>
      </w:r>
      <w:r>
        <w:t xml:space="preserve"> </w:t>
      </w:r>
      <m:oMath>
        <m:sSub>
          <m:e>
            <m:r>
              <m:t>ω</m:t>
            </m:r>
          </m:e>
          <m:sub>
            <m:sSub>
              <m:e>
                <m:r>
                  <m:t>V</m:t>
                </m:r>
              </m:e>
              <m:sub>
                <m:r>
                  <m:rPr>
                    <m:sty m:val="p"/>
                  </m:rPr>
                  <m:t>max</m:t>
                </m:r>
              </m:sub>
            </m:sSub>
          </m:sub>
        </m:sSub>
      </m:oMath>
      <w:r>
        <w:t xml:space="preserve">’s</w:t>
      </w:r>
      <w:r>
        <w:t xml:space="preserve"> </w:t>
      </w:r>
      <w:r>
        <w:t xml:space="preserve">bias is small and essentially flat across</w:t>
      </w:r>
      <w:r>
        <w:t xml:space="preserve"> </w:t>
      </w:r>
      <m:oMath>
        <m:r>
          <m:t>K</m:t>
        </m:r>
      </m:oMath>
      <w:r>
        <w:t xml:space="preserve"> </w:t>
      </w:r>
      <w:r>
        <w:t xml:space="preserve">in this design, with</w:t>
      </w:r>
      <w:r>
        <w:t xml:space="preserve"> </w:t>
      </w:r>
      <w:r>
        <w:t xml:space="preserve">little shrinkage at</w:t>
      </w:r>
      <w:r>
        <w:t xml:space="preserve"> </w:t>
      </w:r>
      <m:oMath>
        <m:r>
          <m:t>K</m:t>
        </m:r>
        <m:r>
          <m:rPr>
            <m:sty m:val="p"/>
          </m:rPr>
          <m:t>=</m:t>
        </m:r>
        <m:r>
          <m:t>1</m:t>
        </m:r>
      </m:oMath>
      <w:r>
        <w:t xml:space="preserve"> </w:t>
      </w:r>
      <w:r>
        <w:t xml:space="preserve">to correct (</w:t>
      </w:r>
      <w:hyperlink w:anchor="fig-phase1-nonlinear">
        <w:r>
          <w:rPr>
            <w:rStyle w:val="Hyperlink"/>
          </w:rPr>
          <w:t xml:space="preserve">Figure 3</w:t>
        </w:r>
      </w:hyperlink>
      <w:r>
        <w:t xml:space="preserve"> </w:t>
      </w:r>
      <w:r>
        <w:t xml:space="preserve">and</w:t>
      </w:r>
      <w:r>
        <w:t xml:space="preserve"> </w:t>
      </w:r>
      <w:hyperlink w:anchor="supptbl-phase1-q3-nonlinear">
        <w:r>
          <w:rPr>
            <w:rStyle w:val="Hyperlink"/>
          </w:rPr>
          <w:t xml:space="preserve">Table S4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5" w:name="fig-phase1-nonlinear"/>
          <w:p>
            <w:pPr>
              <w:pStyle w:val="Compact"/>
              <w:jc w:val="center"/>
            </w:pPr>
            <w:r>
              <w:drawing>
                <wp:inline>
                  <wp:extent cx="5334000" cy="3810000"/>
                  <wp:effectExtent b="0" l="0" r="0" t="0"/>
                  <wp:docPr descr="" title="" id="53" name="Picture"/>
                  <a:graphic>
                    <a:graphicData uri="http://schemas.openxmlformats.org/drawingml/2006/picture">
                      <pic:pic>
                        <pic:nvPicPr>
                          <pic:cNvPr descr="publication/figures/fig_phase1_nonlinear.png" id="54" name="Picture"/>
                          <pic:cNvPicPr>
                            <a:picLocks noChangeArrowheads="1" noChangeAspect="1"/>
                          </pic:cNvPicPr>
                        </pic:nvPicPr>
                        <pic:blipFill>
                          <a:blip r:embed="rId5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Random-effect SD bias by</w:t>
            </w:r>
            <w:r>
              <w:t xml:space="preserve"> </w:t>
            </w:r>
            <m:oMath>
              <m:r>
                <m:t>K</m:t>
              </m:r>
            </m:oMath>
            <w:r>
              <w:t xml:space="preserve"> </w:t>
            </w:r>
            <w:r>
              <w:t xml:space="preserve">for the Michaelis-Menten elimination model, free</w:t>
            </w:r>
            <w:r>
              <w:t xml:space="preserve"> </w:t>
            </w:r>
            <w:r>
              <w:t xml:space="preserve">posterior, Gaussian family, restricted to</w:t>
            </w:r>
            <w:r>
              <w:t xml:space="preserve"> </w:t>
            </w:r>
            <m:oMath>
              <m:sSub>
                <m:e>
                  <m:r>
                    <m:t>V</m:t>
                  </m:r>
                </m:e>
                <m:sub>
                  <m:r>
                    <m:rPr>
                      <m:sty m:val="p"/>
                    </m:rPr>
                    <m:t>max</m:t>
                  </m:r>
                </m:sub>
              </m:sSub>
            </m:oMath>
            <w:r>
              <w:t xml:space="preserve"> </w:t>
            </w:r>
            <w:r>
              <w:t xml:space="preserve">and</w:t>
            </w:r>
            <w:r>
              <w:t xml:space="preserve"> </w:t>
            </w:r>
            <m:oMath>
              <m:r>
                <m:t>V</m:t>
              </m:r>
            </m:oMath>
            <w:r>
              <w:t xml:space="preserve"> </w:t>
            </w:r>
            <w:r>
              <w:t xml:space="preserve">random</w:t>
            </w:r>
            <w:r>
              <w:t xml:space="preserve"> </w:t>
            </w:r>
            <w:r>
              <w:t xml:space="preserve">effects.</w:t>
            </w:r>
          </w:p>
          <w:bookmarkEnd w:id="55"/>
        </w:tc>
      </w:tr>
    </w:tbl>
    <w:p>
      <w:pPr>
        <w:pStyle w:val="BodyText"/>
      </w:pPr>
      <w:r>
        <w:t xml:space="preserve">We additionally tested the amortized posterior on this same nonlinear</w:t>
      </w:r>
      <w:r>
        <w:t xml:space="preserve"> </w:t>
      </w:r>
      <w:r>
        <w:t xml:space="preserve">model and found a distinct, substantial instability, not the</w:t>
      </w:r>
      <w:r>
        <w:t xml:space="preserve"> </w:t>
      </w:r>
      <w:r>
        <w:t xml:space="preserve">amortized-flow instability described above, since no flow is involved,</w:t>
      </w:r>
      <w:r>
        <w:t xml:space="preserve"> </w:t>
      </w:r>
      <w:r>
        <w:t xml:space="preserve">with bias in the random-effect standard deviations increasing rather than decreasing with</w:t>
      </w:r>
      <w:r>
        <w:t xml:space="preserve"> </w:t>
      </w:r>
      <m:oMath>
        <m:r>
          <m:t>K</m:t>
        </m:r>
      </m:oMath>
      <w:r>
        <w:t xml:space="preserve"> </w:t>
      </w:r>
      <w:r>
        <w:t xml:space="preserve">and a</w:t>
      </w:r>
      <w:r>
        <w:t xml:space="preserve"> </w:t>
      </w:r>
      <w:r>
        <w:t xml:space="preserve">non-trivial fraction of fits failing to converge within the training</w:t>
      </w:r>
      <w:r>
        <w:t xml:space="preserve"> </w:t>
      </w:r>
      <w:r>
        <w:t xml:space="preserve">budget. Results using the amortized posterior on this model are excluded</w:t>
      </w:r>
      <w:r>
        <w:t xml:space="preserve"> </w:t>
      </w:r>
      <w:r>
        <w:t xml:space="preserve">from the table and figure above and discussed further, with candidate</w:t>
      </w:r>
      <w:r>
        <w:t xml:space="preserve"> </w:t>
      </w:r>
      <w:r>
        <w:t xml:space="preserve">explanations, in the Discussion below.</w:t>
      </w:r>
    </w:p>
    <w:bookmarkEnd w:id="56"/>
    <w:bookmarkStart w:id="61" w:name="real-data-validation-1"/>
    <w:p>
      <w:pPr>
        <w:pStyle w:val="Heading3"/>
      </w:pPr>
      <w:r>
        <w:t xml:space="preserve">Real-Data Validation</w:t>
      </w:r>
    </w:p>
    <w:p>
      <w:pPr>
        <w:pStyle w:val="FirstParagraph"/>
      </w:pPr>
      <w:r>
        <w:t xml:space="preserve">Both real pharmacokinetic datasets reproduce the standard-ELBO shrinkage</w:t>
      </w:r>
      <w:r>
        <w:t xml:space="preserve"> </w:t>
      </w:r>
      <w:r>
        <w:t xml:space="preserve">signature identified in simulation:</w:t>
      </w:r>
      <w:r>
        <w:t xml:space="preserve"> </w:t>
      </w:r>
      <m:oMath>
        <m:r>
          <m:t>K</m:t>
        </m:r>
        <m:r>
          <m:rPr>
            <m:sty m:val="p"/>
          </m:rPr>
          <m:t>=</m:t>
        </m:r>
        <m:r>
          <m:t>1</m:t>
        </m:r>
      </m:oMath>
      <w:r>
        <w:t xml:space="preserve"> </w:t>
      </w:r>
      <w:r>
        <w:t xml:space="preserve">reports smaller random-effect standard deviations than</w:t>
      </w:r>
      <w:r>
        <w:t xml:space="preserve"> </w:t>
      </w:r>
      <m:oMath>
        <m:r>
          <m:t>K</m:t>
        </m:r>
        <m:r>
          <m:rPr>
            <m:sty m:val="p"/>
          </m:rPr>
          <m:t>=</m:t>
        </m:r>
        <m:r>
          <m:t>64</m:t>
        </m:r>
      </m:oMath>
      <w:r>
        <w:t xml:space="preserve"> </w:t>
      </w:r>
      <w:r>
        <w:t xml:space="preserve">on the identical dataset, with the clearance random effect showing</w:t>
      </w:r>
      <w:r>
        <w:t xml:space="preserve"> </w:t>
      </w:r>
      <w:r>
        <w:t xml:space="preserve">the least shrinkage of the three, consistent with clearance being the</w:t>
      </w:r>
      <w:r>
        <w:t xml:space="preserve"> </w:t>
      </w:r>
      <w:r>
        <w:t xml:space="preserve">most robustly identified parameter throughout the simulated results above</w:t>
      </w:r>
      <w:r>
        <w:t xml:space="preserve"> </w:t>
      </w:r>
      <w:r>
        <w:t xml:space="preserve">(</w:t>
      </w:r>
      <w:hyperlink w:anchor="fig-realdata-k1-vs-khigh">
        <w:r>
          <w:rPr>
            <w:rStyle w:val="Hyperlink"/>
          </w:rPr>
          <w:t xml:space="preserve">Figure 4</w:t>
        </w:r>
      </w:hyperlink>
      <w:r>
        <w:t xml:space="preserve"> </w:t>
      </w:r>
      <w:r>
        <w:t xml:space="preserve">and</w:t>
      </w:r>
      <w:r>
        <w:t xml:space="preserve"> </w:t>
      </w:r>
      <w:hyperlink w:anchor="supptbl-realdata-k1-vs-khigh">
        <w:r>
          <w:rPr>
            <w:rStyle w:val="Hyperlink"/>
          </w:rPr>
          <w:t xml:space="preserve">Table S5</w:t>
        </w:r>
      </w:hyperlink>
      <w:r>
        <w:t xml:space="preserve">). On warfarin,</w:t>
      </w:r>
      <w:r>
        <w:t xml:space="preserve"> </w:t>
      </w:r>
      <w:r>
        <w:t xml:space="preserve">fixed-effect estimates for clearance and volume of distribution fall</w:t>
      </w:r>
      <w:r>
        <w:t xml:space="preserve"> </w:t>
      </w:r>
      <w:r>
        <w:t xml:space="preserve">inside the published 95% confidence intervals of an independently fitted</w:t>
      </w:r>
      <w:r>
        <w:t xml:space="preserve"> </w:t>
      </w:r>
      <w:r>
        <w:t xml:space="preserve">FOCEI model on the same data</w:t>
      </w:r>
      <w:r>
        <w:t xml:space="preserve"> </w:t>
      </w:r>
      <w:r>
        <w:t xml:space="preserve">(Fidler et al. 2019)</w:t>
      </w:r>
      <w:r>
        <w:t xml:space="preserve"> </w:t>
      </w:r>
      <w:r>
        <w:t xml:space="preserve">despite this work’s</w:t>
      </w:r>
      <w:r>
        <w:t xml:space="preserve"> </w:t>
      </w:r>
      <w:r>
        <w:t xml:space="preserve">simpler one-compartment, single-step absorption structure versus the</w:t>
      </w:r>
      <w:r>
        <w:t xml:space="preserve"> </w:t>
      </w:r>
      <w:r>
        <w:t xml:space="preserve">published model’s two-step transit-compartment absorption, a real,</w:t>
      </w:r>
      <w:r>
        <w:t xml:space="preserve"> </w:t>
      </w:r>
      <w:r>
        <w:t xml:space="preserve">external agreement on the parameters that should agree given the shared</w:t>
      </w:r>
      <w:r>
        <w:t xml:space="preserve"> </w:t>
      </w:r>
      <w:r>
        <w:t xml:space="preserve">elimination structure, not merely a directional match.</w:t>
      </w:r>
    </w:p>
    <w:tbl>
      <w:tblPr>
        <w:tblStyle w:val="Table"/>
        <w:tblW w:type="pct" w:w="5000"/>
        <w:tblLayout w:type="fixed"/>
        <w:tblLook w:firstRow="0" w:lastRow="0" w:firstColumn="0" w:lastColumn="0" w:noHBand="0" w:noVBand="0" w:val="0000"/>
      </w:tblPr>
      <w:tblGrid>
        <w:gridCol w:w="7920"/>
      </w:tblGrid>
      <w:tr>
        <w:tc>
          <w:tcPr/>
          <w:bookmarkStart w:id="60" w:name="fig-realdata-k1-vs-khigh"/>
          <w:p>
            <w:pPr>
              <w:pStyle w:val="Compact"/>
              <w:jc w:val="center"/>
            </w:pPr>
            <w:r>
              <w:drawing>
                <wp:inline>
                  <wp:extent cx="5334000" cy="2560319"/>
                  <wp:effectExtent b="0" l="0" r="0" t="0"/>
                  <wp:docPr descr="" title="" id="58" name="Picture"/>
                  <a:graphic>
                    <a:graphicData uri="http://schemas.openxmlformats.org/drawingml/2006/picture">
                      <pic:pic>
                        <pic:nvPicPr>
                          <pic:cNvPr descr="publication/figures/fig_realdata_k1_vs_khigh.png" id="59" name="Picture"/>
                          <pic:cNvPicPr>
                            <a:picLocks noChangeArrowheads="1" noChangeAspect="1"/>
                          </pic:cNvPicPr>
                        </pic:nvPicPr>
                        <pic:blipFill>
                          <a:blip r:embed="rId57"/>
                          <a:stretch>
                            <a:fillRect/>
                          </a:stretch>
                        </pic:blipFill>
                        <pic:spPr bwMode="auto">
                          <a:xfrm>
                            <a:off x="0" y="0"/>
                            <a:ext cx="5334000" cy="256031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between-subject variability estimates at</w:t>
            </w:r>
            <w:r>
              <w:t xml:space="preserve"> </w:t>
            </w:r>
            <m:oMath>
              <m:r>
                <m:t>K</m:t>
              </m:r>
              <m:r>
                <m:rPr>
                  <m:sty m:val="p"/>
                </m:rPr>
                <m:t>=</m:t>
              </m:r>
              <m:r>
                <m:t>1</m:t>
              </m:r>
            </m:oMath>
            <w:r>
              <w:t xml:space="preserve"> </w:t>
            </w:r>
            <w:r>
              <w:t xml:space="preserve">versus</w:t>
            </w:r>
            <w:r>
              <w:t xml:space="preserve"> </w:t>
            </w:r>
            <m:oMath>
              <m:r>
                <m:t>K</m:t>
              </m:r>
              <m:r>
                <m:rPr>
                  <m:sty m:val="p"/>
                </m:rPr>
                <m:t>=</m:t>
              </m:r>
              <m:r>
                <m:t>64</m:t>
              </m:r>
            </m:oMath>
            <w:r>
              <w:t xml:space="preserve"> </w:t>
            </w:r>
            <w:r>
              <w:t xml:space="preserve">for each dataset, by parameter.</w:t>
            </w:r>
          </w:p>
          <w:bookmarkEnd w:id="60"/>
        </w:tc>
      </w:tr>
    </w:tbl>
    <w:bookmarkEnd w:id="61"/>
    <w:bookmarkStart w:id="66" w:name="X627c9ea9ed2633dce633e0bb7f5cd1bb2177e8b"/>
    <w:p>
      <w:pPr>
        <w:pStyle w:val="Heading3"/>
      </w:pPr>
      <w:r>
        <w:t xml:space="preserve">Diagnosing Fit Quality via Effective Sample Size</w:t>
      </w:r>
    </w:p>
    <w:p>
      <w:pPr>
        <w:pStyle w:val="FirstParagraph"/>
      </w:pPr>
      <w:r>
        <w:t xml:space="preserve">Mean importance-sampling effective sample size cleanly separates</w:t>
      </w:r>
      <w:r>
        <w:t xml:space="preserve"> </w:t>
      </w:r>
      <w:r>
        <w:t xml:space="preserve">deliberately under-trained fits from well-converged fits on matched</w:t>
      </w:r>
      <w:r>
        <w:t xml:space="preserve"> </w:t>
      </w:r>
      <w:r>
        <w:t xml:space="preserve">simulated data (</w:t>
      </w:r>
      <w:hyperlink w:anchor="fig-psis-ess">
        <w:r>
          <w:rPr>
            <w:rStyle w:val="Hyperlink"/>
          </w:rPr>
          <w:t xml:space="preserve">Figure 5</w:t>
        </w:r>
      </w:hyperlink>
      <w:r>
        <w:t xml:space="preserve"> </w:t>
      </w:r>
      <w:r>
        <w:t xml:space="preserve">and</w:t>
      </w:r>
      <w:r>
        <w:t xml:space="preserve"> </w:t>
      </w:r>
      <w:hyperlink w:anchor="supptbl-psis-ess">
        <w:r>
          <w:rPr>
            <w:rStyle w:val="Hyperlink"/>
          </w:rPr>
          <w:t xml:space="preserve">Table S6</w:t>
        </w:r>
      </w:hyperlink>
      <w:r>
        <w:t xml:space="preserve">), supporting its use as a</w:t>
      </w:r>
      <w:r>
        <w:t xml:space="preserve"> </w:t>
      </w:r>
      <w:r>
        <w:t xml:space="preserve">practical diagnostic on real data where no ground truth is available to</w:t>
      </w:r>
      <w:r>
        <w:t xml:space="preserve"> </w:t>
      </w:r>
      <w:r>
        <w:t xml:space="preserve">check convergence directly. A fixed per-subject tail-count threshold does</w:t>
      </w:r>
      <w:r>
        <w:t xml:space="preserve"> </w:t>
      </w:r>
      <w:r>
        <w:t xml:space="preserve">not separate the two groups as cleanly, reflecting genuine</w:t>
      </w:r>
      <w:r>
        <w:t xml:space="preserve"> </w:t>
      </w:r>
      <w:r>
        <w:t xml:space="preserve">subject-to-subject variation in fit difficulty independent of overall</w:t>
      </w:r>
      <w:r>
        <w:t xml:space="preserve"> </w:t>
      </w:r>
      <w:r>
        <w:t xml:space="preserve">training adequacy; we therefore recommend the aggregate (mean or median)</w:t>
      </w:r>
      <w:r>
        <w:t xml:space="preserve"> </w:t>
      </w:r>
      <w:r>
        <w:t xml:space="preserve">ESS as the primary diagnostic, not a fixed per-subject threshold.</w:t>
      </w:r>
    </w:p>
    <w:tbl>
      <w:tblPr>
        <w:tblStyle w:val="Table"/>
        <w:tblW w:type="pct" w:w="5000"/>
        <w:tblLayout w:type="fixed"/>
        <w:tblLook w:firstRow="0" w:lastRow="0" w:firstColumn="0" w:lastColumn="0" w:noHBand="0" w:noVBand="0" w:val="0000"/>
      </w:tblPr>
      <w:tblGrid>
        <w:gridCol w:w="7920"/>
      </w:tblGrid>
      <w:tr>
        <w:tc>
          <w:tcPr/>
          <w:bookmarkStart w:id="65" w:name="fig-psis-ess"/>
          <w:p>
            <w:pPr>
              <w:pStyle w:val="Compact"/>
              <w:jc w:val="center"/>
            </w:pPr>
            <w:r>
              <w:drawing>
                <wp:inline>
                  <wp:extent cx="5334000" cy="3810000"/>
                  <wp:effectExtent b="0" l="0" r="0" t="0"/>
                  <wp:docPr descr="" title="" id="63" name="Picture"/>
                  <a:graphic>
                    <a:graphicData uri="http://schemas.openxmlformats.org/drawingml/2006/picture">
                      <pic:pic>
                        <pic:nvPicPr>
                          <pic:cNvPr descr="publication/figures/fig_psis_ess.png" id="64" name="Picture"/>
                          <pic:cNvPicPr>
                            <a:picLocks noChangeArrowheads="1" noChangeAspect="1"/>
                          </pic:cNvPicPr>
                        </pic:nvPicPr>
                        <pic:blipFill>
                          <a:blip r:embed="rId6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Per-subject effective sample size distribution, well-converged versus</w:t>
            </w:r>
            <w:r>
              <w:t xml:space="preserve"> </w:t>
            </w:r>
            <w:r>
              <w:t xml:space="preserve">deliberately under-trained fits on identical data.</w:t>
            </w:r>
          </w:p>
          <w:bookmarkEnd w:id="65"/>
        </w:tc>
      </w:tr>
    </w:tbl>
    <w:bookmarkEnd w:id="66"/>
    <w:bookmarkStart w:id="71" w:name="X81e26ee250042c7e8ed204a0b244bb633406c84"/>
    <w:p>
      <w:pPr>
        <w:pStyle w:val="Heading3"/>
      </w:pPr>
      <w:r>
        <w:t xml:space="preserve">Validity of the Recovered Likelihood for Model Selection</w:t>
      </w:r>
    </w:p>
    <w:p>
      <w:pPr>
        <w:pStyle w:val="FirstParagraph"/>
      </w:pPr>
      <w:r>
        <w:t xml:space="preserve">Likelihood-ratio tests built on the free posterior’s recovered marginal</w:t>
      </w:r>
      <w:r>
        <w:t xml:space="preserve"> </w:t>
      </w:r>
      <w:r>
        <w:t xml:space="preserve">likelihood were miscalibrated against the correct Self-Liang boundary</w:t>
      </w:r>
      <w:r>
        <w:t xml:space="preserve"> </w:t>
      </w:r>
      <w:r>
        <w:t xml:space="preserve">mixture reference for testing whether a random effect’s variance is zero</w:t>
      </w:r>
      <w:r>
        <w:t xml:space="preserve"> </w:t>
      </w:r>
      <w:r>
        <w:t xml:space="preserve">(</w:t>
      </w:r>
      <w:hyperlink w:anchor="fig-deltaofv-calibration">
        <w:r>
          <w:rPr>
            <w:rStyle w:val="Hyperlink"/>
          </w:rPr>
          <w:t xml:space="preserve">Figure 6</w:t>
        </w:r>
      </w:hyperlink>
      <w:r>
        <w:t xml:space="preserve">). Under the free posterior, only 25% of 100</w:t>
      </w:r>
      <w:r>
        <w:t xml:space="preserve"> </w:t>
      </w:r>
      <w:r>
        <w:t xml:space="preserve">null replicates fell within the prespecified boundary region, compared</w:t>
      </w:r>
      <w:r>
        <w:t xml:space="preserve"> </w:t>
      </w:r>
      <w:r>
        <w:t xml:space="preserve">with the approximately 50% expected under the theoretical mixture; 22</w:t>
      </w:r>
      <w:r>
        <w:t xml:space="preserve"> </w:t>
      </w:r>
      <w:r>
        <w:t xml:space="preserve">replicates produced negative</w:t>
      </w:r>
      <w:r>
        <w:t xml:space="preserve"> </w:t>
      </w:r>
      <m:oMath>
        <m:r>
          <m:t>Δ</m:t>
        </m:r>
        <m:r>
          <m:rPr>
            <m:sty m:val="p"/>
          </m:rPr>
          <m:t>O</m:t>
        </m:r>
        <m:r>
          <m:rPr>
            <m:sty m:val="p"/>
          </m:rPr>
          <m:t>F</m:t>
        </m:r>
        <m:r>
          <m:rPr>
            <m:sty m:val="p"/>
          </m:rPr>
          <m:t>V</m:t>
        </m:r>
      </m:oMath>
      <w:r>
        <w:t xml:space="preserve"> </w:t>
      </w:r>
      <w:r>
        <w:t xml:space="preserve">values. Among the</w:t>
      </w:r>
      <w:r>
        <w:t xml:space="preserve"> </w:t>
      </w:r>
      <w:r>
        <w:t xml:space="preserve">strictly positive replicates, the distribution also deviated from</w:t>
      </w:r>
      <w:r>
        <w:t xml:space="preserve"> </w:t>
      </w:r>
      <m:oMath>
        <m:sSubSup>
          <m:e>
            <m:r>
              <m:t>χ</m:t>
            </m:r>
          </m:e>
          <m:sub>
            <m:r>
              <m:t>1</m:t>
            </m:r>
          </m:sub>
          <m:sup>
            <m:r>
              <m:t>2</m:t>
            </m:r>
          </m:sup>
        </m:sSubSup>
      </m:oMath>
      <w:r>
        <w:t xml:space="preserve"> </w:t>
      </w:r>
      <w:r>
        <w:t xml:space="preserve">(Kolmogorov-Smirnov</w:t>
      </w:r>
      <w:r>
        <w:t xml:space="preserve"> </w:t>
      </w:r>
      <m:oMath>
        <m:r>
          <m:t>D</m:t>
        </m:r>
        <m:r>
          <m:rPr>
            <m:sty m:val="p"/>
          </m:rPr>
          <m:t>=</m:t>
        </m:r>
        <m:r>
          <m:t>0.2922</m:t>
        </m:r>
      </m:oMath>
      <w:r>
        <w:t xml:space="preserve">,</w:t>
      </w:r>
      <w:r>
        <w:t xml:space="preserve"> </w:t>
      </w:r>
      <m:oMath>
        <m:r>
          <m:t>p</m:t>
        </m:r>
        <m:r>
          <m:rPr>
            <m:sty m:val="p"/>
          </m:rPr>
          <m:t>&lt;</m:t>
        </m:r>
        <m:r>
          <m:t>0.0001</m:t>
        </m:r>
      </m:oMath>
      <w:r>
        <w:t xml:space="preserve">), although the</w:t>
      </w:r>
      <w:r>
        <w:t xml:space="preserve"> </w:t>
      </w:r>
      <w:r>
        <w:t xml:space="preserve">empirical type-I error using the correct boundary-mixture cutoff was 6%,</w:t>
      </w:r>
      <w:r>
        <w:t xml:space="preserve"> </w:t>
      </w:r>
      <w:r>
        <w:t xml:space="preserve">close to the nominal 5% level. The complete numerical calibration summary</w:t>
      </w:r>
      <w:r>
        <w:t xml:space="preserve"> </w:t>
      </w:r>
      <w:r>
        <w:t xml:space="preserve">is provided in</w:t>
      </w:r>
      <w:r>
        <w:t xml:space="preserve"> </w:t>
      </w:r>
      <w:hyperlink w:anchor="supptbl-deltaofv-calibration">
        <w:r>
          <w:rPr>
            <w:rStyle w:val="Hyperlink"/>
          </w:rPr>
          <w:t xml:space="preserve">Table S7</w:t>
        </w:r>
      </w:hyperlink>
      <w:r>
        <w:t xml:space="preserve">.</w:t>
      </w:r>
    </w:p>
    <w:p>
      <w:pPr>
        <w:pStyle w:val="BodyText"/>
      </w:pPr>
      <w:r>
        <w:t xml:space="preserve">This miscalibration was not explained by insufficient post-hoc</w:t>
      </w:r>
      <w:r>
        <w:t xml:space="preserve"> </w:t>
      </w:r>
      <w:r>
        <w:t xml:space="preserve">importance-sampling precision: increasing the post-hoc evaluation sample</w:t>
      </w:r>
      <w:r>
        <w:t xml:space="preserve"> </w:t>
      </w:r>
      <w:r>
        <w:t xml:space="preserve">size fivefold left the calibration essentially unchanged, including a</w:t>
      </w:r>
      <w:r>
        <w:t xml:space="preserve"> </w:t>
      </w:r>
      <w:r>
        <w:t xml:space="preserve">highly discrepant replicate whose</w:t>
      </w:r>
      <w:r>
        <w:t xml:space="preserve"> </w:t>
      </w:r>
      <m:oMath>
        <m:r>
          <m:t>Δ</m:t>
        </m:r>
        <m:r>
          <m:rPr>
            <m:sty m:val="p"/>
          </m:rPr>
          <m:t>O</m:t>
        </m:r>
        <m:r>
          <m:rPr>
            <m:sty m:val="p"/>
          </m:rPr>
          <m:t>F</m:t>
        </m:r>
        <m:r>
          <m:rPr>
            <m:sty m:val="p"/>
          </m:rPr>
          <m:t>V</m:t>
        </m:r>
      </m:oMath>
      <w:r>
        <w:t xml:space="preserve"> </w:t>
      </w:r>
      <w:r>
        <w:t xml:space="preserve">value remained</w:t>
      </w:r>
      <w:r>
        <w:t xml:space="preserve"> </w:t>
      </w:r>
      <w:r>
        <w:t xml:space="preserve">nearly unchanged. Switching to an amortized posterior substantially</w:t>
      </w:r>
      <w:r>
        <w:t xml:space="preserve"> </w:t>
      </w:r>
      <w:r>
        <w:t xml:space="preserve">improved the boundary-mass component of the calibration, reproducibly at</w:t>
      </w:r>
      <w:r>
        <w:t xml:space="preserve"> </w:t>
      </w:r>
      <w:r>
        <w:t xml:space="preserve">two independent replicate counts, although a smaller residual deviation</w:t>
      </w:r>
      <w:r>
        <w:t xml:space="preserve"> </w:t>
      </w:r>
      <w:r>
        <w:t xml:space="preserve">in the shape of the non-boundary distribution remained. We attribute the</w:t>
      </w:r>
      <w:r>
        <w:t xml:space="preserve"> </w:t>
      </w:r>
      <w:r>
        <w:t xml:space="preserve">free posterior’s miscalibration to an effective-degrees-of-freedom</w:t>
      </w:r>
      <w:r>
        <w:t xml:space="preserve"> </w:t>
      </w:r>
      <w:r>
        <w:t xml:space="preserve">mismatch: the more-complex model receives an additional free variational</w:t>
      </w:r>
      <w:r>
        <w:t xml:space="preserve"> </w:t>
      </w:r>
      <w:r>
        <w:t xml:space="preserve">parameter pair for every subject, far exceeding the single</w:t>
      </w:r>
      <w:r>
        <w:t xml:space="preserve"> </w:t>
      </w:r>
      <w:r>
        <w:t xml:space="preserve">population-level variance parameter nominally being tested. Classical</w:t>
      </w:r>
      <w:r>
        <w:t xml:space="preserve"> </w:t>
      </w:r>
      <w:r>
        <w:t xml:space="preserve">asymptotic theory, including the Self-Liang boundary-mixture reference,</w:t>
      </w:r>
      <w:r>
        <w:t xml:space="preserve"> </w:t>
      </w:r>
      <w:r>
        <w:t xml:space="preserve">does not account for this per-subject asymmetry; a shared amortized</w:t>
      </w:r>
      <w:r>
        <w:t xml:space="preserve"> </w:t>
      </w:r>
      <w:r>
        <w:t xml:space="preserve">encoder does not introduce the same increase in subject-specific</w:t>
      </w:r>
      <w:r>
        <w:t xml:space="preserve"> </w:t>
      </w:r>
      <w:r>
        <w:t xml:space="preserve">variational parameters.</w:t>
      </w:r>
    </w:p>
    <w:tbl>
      <w:tblPr>
        <w:tblStyle w:val="Table"/>
        <w:tblW w:type="pct" w:w="5000"/>
        <w:tblLayout w:type="fixed"/>
        <w:tblLook w:firstRow="0" w:lastRow="0" w:firstColumn="0" w:lastColumn="0" w:noHBand="0" w:noVBand="0" w:val="0000"/>
      </w:tblPr>
      <w:tblGrid>
        <w:gridCol w:w="7920"/>
      </w:tblGrid>
      <w:tr>
        <w:tc>
          <w:tcPr/>
          <w:bookmarkStart w:id="70" w:name="fig-deltaofv-calibration"/>
          <w:p>
            <w:pPr>
              <w:pStyle w:val="Compact"/>
              <w:jc w:val="center"/>
            </w:pPr>
            <w:r>
              <w:drawing>
                <wp:inline>
                  <wp:extent cx="5334000" cy="3810000"/>
                  <wp:effectExtent b="0" l="0" r="0" t="0"/>
                  <wp:docPr descr="" title="" id="68" name="Picture"/>
                  <a:graphic>
                    <a:graphicData uri="http://schemas.openxmlformats.org/drawingml/2006/picture">
                      <pic:pic>
                        <pic:nvPicPr>
                          <pic:cNvPr descr="publication/figures/fig_deltaofv_calibration.png" id="69" name="Picture"/>
                          <pic:cNvPicPr>
                            <a:picLocks noChangeArrowheads="1" noChangeAspect="1"/>
                          </pic:cNvPicPr>
                        </pic:nvPicPr>
                        <pic:blipFill>
                          <a:blip r:embed="rId6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Empirical</w:t>
            </w:r>
            <w:r>
              <w:t xml:space="preserve"> </w:t>
            </w:r>
            <m:oMath>
              <m:r>
                <m:t>Δ</m:t>
              </m:r>
              <m:r>
                <m:rPr>
                  <m:sty m:val="p"/>
                </m:rPr>
                <m:t>O</m:t>
              </m:r>
              <m:r>
                <m:rPr>
                  <m:sty m:val="p"/>
                </m:rPr>
                <m:t>F</m:t>
              </m:r>
              <m:r>
                <m:rPr>
                  <m:sty m:val="p"/>
                </m:rPr>
                <m:t>V</m:t>
              </m:r>
            </m:oMath>
            <w:r>
              <w:t xml:space="preserve"> </w:t>
            </w:r>
            <w:r>
              <w:t xml:space="preserve">distribution under the null hypothesis</w:t>
            </w:r>
            <w:r>
              <w:t xml:space="preserve"> </w:t>
            </w:r>
            <w:r>
              <w:t xml:space="preserve">against the theoretical Self-Liang mixture reference density.</w:t>
            </w:r>
          </w:p>
          <w:bookmarkEnd w:id="70"/>
        </w:tc>
      </w:tr>
    </w:tbl>
    <w:p>
      <w:pPr>
        <w:pStyle w:val="BodyText"/>
      </w:pPr>
      <w:r>
        <w:t xml:space="preserve">This finding is scoped specifically to likelihood-ratio comparisons that</w:t>
      </w:r>
      <w:r>
        <w:t xml:space="preserve"> </w:t>
      </w:r>
      <w:r>
        <w:t xml:space="preserve">change the number of random effects; it does not affect the BSV-bias</w:t>
      </w:r>
      <w:r>
        <w:t xml:space="preserve"> </w:t>
      </w:r>
      <w:r>
        <w:t xml:space="preserve">correction findings reported above, which never depended on nested-model</w:t>
      </w:r>
      <w:r>
        <w:t xml:space="preserve"> </w:t>
      </w:r>
      <w:r>
        <w:t xml:space="preserve">comparison.</w:t>
      </w:r>
    </w:p>
    <w:bookmarkEnd w:id="71"/>
    <w:bookmarkStart w:id="73" w:name="X7bc0bc5f740e0da78ed6ae748566b15951efbf7"/>
    <w:p>
      <w:pPr>
        <w:pStyle w:val="Heading3"/>
      </w:pPr>
      <w:r>
        <w:t xml:space="preserve">Comparison to Established Estimation Methods</w:t>
      </w:r>
    </w:p>
    <w:p>
      <w:pPr>
        <w:pStyle w:val="FirstParagraph"/>
      </w:pPr>
      <w:r>
        <w:t xml:space="preserve">On matched simulated data (</w:t>
      </w:r>
      <m:oMath>
        <m:r>
          <m:t>N</m:t>
        </m:r>
        <m:r>
          <m:rPr>
            <m:sty m:val="p"/>
          </m:rPr>
          <m:t>=</m:t>
        </m:r>
        <m:r>
          <m:t>120</m:t>
        </m:r>
      </m:oMath>
      <w:r>
        <w:t xml:space="preserve"> </w:t>
      </w:r>
      <w:r>
        <w:t xml:space="preserve">subjects, 20 replicates), FOCEI,</w:t>
      </w:r>
      <w:r>
        <w:t xml:space="preserve"> </w:t>
      </w:r>
      <w:r>
        <w:t xml:space="preserve">SAEM, and variational inference at</w:t>
      </w:r>
      <w:r>
        <w:t xml:space="preserve"> </w:t>
      </w:r>
      <m:oMath>
        <m:r>
          <m:t>K</m:t>
        </m:r>
        <m:r>
          <m:rPr>
            <m:sty m:val="p"/>
          </m:rPr>
          <m:t>=</m:t>
        </m:r>
        <m:r>
          <m:t>64</m:t>
        </m:r>
      </m:oMath>
      <w:r>
        <w:t xml:space="preserve"> </w:t>
      </w:r>
      <w:r>
        <w:t xml:space="preserve">recover both fixed effects and</w:t>
      </w:r>
      <w:r>
        <w:t xml:space="preserve"> </w:t>
      </w:r>
      <w:r>
        <w:t xml:space="preserve">the random-effect standard deviations with closely comparable accuracy, while</w:t>
      </w:r>
      <w:r>
        <w:t xml:space="preserve"> </w:t>
      </w:r>
      <m:oMath>
        <m:r>
          <m:t>K</m:t>
        </m:r>
        <m:r>
          <m:rPr>
            <m:sty m:val="p"/>
          </m:rPr>
          <m:t>=</m:t>
        </m:r>
        <m:r>
          <m:t>1</m:t>
        </m:r>
      </m:oMath>
      <w:r>
        <w:t xml:space="preserve"> </w:t>
      </w:r>
      <w:r>
        <w:t xml:space="preserve">reproduces the</w:t>
      </w:r>
      <w:r>
        <w:t xml:space="preserve"> </w:t>
      </w:r>
      <w:r>
        <w:t xml:space="preserve">same systematic underestimation of the random-effect standard deviations established throughout the</w:t>
      </w:r>
      <w:r>
        <w:t xml:space="preserve"> </w:t>
      </w:r>
      <w:r>
        <w:t xml:space="preserve">linear-tier results above (</w:t>
      </w:r>
      <w:hyperlink w:anchor="tbl-baseline-comparison">
        <w:r>
          <w:rPr>
            <w:rStyle w:val="Hyperlink"/>
          </w:rPr>
          <w:t xml:space="preserve">Table 1</w:t>
        </w:r>
      </w:hyperlink>
      <w:r>
        <w:t xml:space="preserve">). Fixed-effect bias</w:t>
      </w:r>
      <w:r>
        <w:t xml:space="preserve"> </w:t>
      </w:r>
      <w:r>
        <w:t xml:space="preserve">is small for every method (under 2.1% in magnitude across</w:t>
      </w:r>
      <w:r>
        <w:t xml:space="preserve"> </w:t>
      </w:r>
      <m:oMath>
        <m:r>
          <m:t>C</m:t>
        </m:r>
        <m:r>
          <m:t>L</m:t>
        </m:r>
      </m:oMath>
      <w:r>
        <w:t xml:space="preserve">,</w:t>
      </w:r>
      <w:r>
        <w:t xml:space="preserve"> </w:t>
      </w:r>
      <m:oMath>
        <m:r>
          <m:t>V</m:t>
        </m:r>
      </m:oMath>
      <w:r>
        <w:t xml:space="preserve">, and</w:t>
      </w:r>
      <w:r>
        <w:t xml:space="preserve"> </w:t>
      </w:r>
      <m:oMath>
        <m:sSub>
          <m:e>
            <m:r>
              <m:t>k</m:t>
            </m:r>
          </m:e>
          <m:sub>
            <m:r>
              <m:t>a</m:t>
            </m:r>
          </m:sub>
        </m:sSub>
      </m:oMath>
      <w:r>
        <w:t xml:space="preserve"> </w:t>
      </w:r>
      <w:r>
        <w:t xml:space="preserve">for FOCEI, SAEM, and both VI arms alike), showing that structural fixed effects were comparatively well recovered in this matched benchmark. For the random-effect standard deviations, FOCEI and SAEM show bias no larger than 3.6% on any parameter</w:t>
      </w:r>
      <w:r>
        <w:t xml:space="preserve"> </w:t>
      </w:r>
      <w:r>
        <w:t xml:space="preserve">(</w:t>
      </w:r>
      <m:oMath>
        <m:sSub>
          <m:e>
            <m:r>
              <m:t>ω</m:t>
            </m:r>
          </m:e>
          <m:sub>
            <m:sSub>
              <m:e>
                <m:r>
                  <m:t>k</m:t>
                </m:r>
              </m:e>
              <m:sub>
                <m:r>
                  <m:t>a</m:t>
                </m:r>
              </m:sub>
            </m:sSub>
          </m:sub>
        </m:sSub>
      </m:oMath>
      <w:r>
        <w:t xml:space="preserve">:</w:t>
      </w:r>
      <w:r>
        <w:t xml:space="preserve"> </w:t>
      </w:r>
      <m:oMath>
        <m:r>
          <m:rPr>
            <m:sty m:val="p"/>
          </m:rPr>
          <m:t>−</m:t>
        </m:r>
        <m:r>
          <m:t>3.6</m:t>
        </m:r>
        <m:r>
          <m:rPr>
            <m:sty m:val="p"/>
          </m:rPr>
          <m:t>%</m:t>
        </m:r>
      </m:oMath>
      <w:r>
        <w:t xml:space="preserve"> </w:t>
      </w:r>
      <w:r>
        <w:t xml:space="preserve">and</w:t>
      </w:r>
      <w:r>
        <w:t xml:space="preserve"> </w:t>
      </w:r>
      <m:oMath>
        <m:r>
          <m:rPr>
            <m:sty m:val="p"/>
          </m:rPr>
          <m:t>−</m:t>
        </m:r>
        <m:r>
          <m:t>1.25</m:t>
        </m:r>
        <m:r>
          <m:rPr>
            <m:sty m:val="p"/>
          </m:rPr>
          <m:t>%</m:t>
        </m:r>
      </m:oMath>
      <w:r>
        <w:t xml:space="preserve"> </w:t>
      </w:r>
      <w:r>
        <w:t xml:space="preserve">respectively); VI at</w:t>
      </w:r>
      <w:r>
        <w:t xml:space="preserve"> </w:t>
      </w:r>
      <m:oMath>
        <m:r>
          <m:t>K</m:t>
        </m:r>
        <m:r>
          <m:rPr>
            <m:sty m:val="p"/>
          </m:rPr>
          <m:t>=</m:t>
        </m:r>
        <m:r>
          <m:t>64</m:t>
        </m:r>
      </m:oMath>
      <w:r>
        <w:t xml:space="preserve"> </w:t>
      </w:r>
      <w:r>
        <w:t xml:space="preserve">matches this closely, with bias under 1.2% on every</w:t>
      </w:r>
      <w:r>
        <w:t xml:space="preserve"> </w:t>
      </w:r>
      <m:oMath>
        <m:r>
          <m:t>ω</m:t>
        </m:r>
      </m:oMath>
      <w:r>
        <w:t xml:space="preserve"> </w:t>
      </w:r>
      <w:r>
        <w:t xml:space="preserve">parameter</w:t>
      </w:r>
      <w:r>
        <w:t xml:space="preserve"> </w:t>
      </w:r>
      <w:r>
        <w:t xml:space="preserve">(</w:t>
      </w:r>
      <m:oMath>
        <m:sSub>
          <m:e>
            <m:r>
              <m:t>ω</m:t>
            </m:r>
          </m:e>
          <m:sub>
            <m:r>
              <m:t>C</m:t>
            </m:r>
            <m:r>
              <m:t>L</m:t>
            </m:r>
          </m:sub>
        </m:sSub>
      </m:oMath>
      <w:r>
        <w:t xml:space="preserve">:</w:t>
      </w:r>
      <w:r>
        <w:t xml:space="preserve"> </w:t>
      </w:r>
      <m:oMath>
        <m:r>
          <m:rPr>
            <m:sty m:val="p"/>
          </m:rPr>
          <m:t>−</m:t>
        </m:r>
        <m:r>
          <m:t>0.30</m:t>
        </m:r>
        <m:r>
          <m:rPr>
            <m:sty m:val="p"/>
          </m:rPr>
          <m:t>%</m:t>
        </m:r>
      </m:oMath>
      <w:r>
        <w:t xml:space="preserve">,</w:t>
      </w:r>
      <w:r>
        <w:t xml:space="preserve"> </w:t>
      </w:r>
      <m:oMath>
        <m:sSub>
          <m:e>
            <m:r>
              <m:t>ω</m:t>
            </m:r>
          </m:e>
          <m:sub>
            <m:r>
              <m:t>V</m:t>
            </m:r>
          </m:sub>
        </m:sSub>
      </m:oMath>
      <w:r>
        <w:t xml:space="preserve">:</w:t>
      </w:r>
      <w:r>
        <w:t xml:space="preserve"> </w:t>
      </w:r>
      <m:oMath>
        <m:r>
          <m:rPr>
            <m:sty m:val="p"/>
          </m:rPr>
          <m:t>+</m:t>
        </m:r>
        <m:r>
          <m:t>1.15</m:t>
        </m:r>
        <m:r>
          <m:rPr>
            <m:sty m:val="p"/>
          </m:rPr>
          <m:t>%</m:t>
        </m:r>
      </m:oMath>
      <w:r>
        <w:t xml:space="preserve">,</w:t>
      </w:r>
      <w:r>
        <w:t xml:space="preserve"> </w:t>
      </w:r>
      <m:oMath>
        <m:sSub>
          <m:e>
            <m:r>
              <m:t>ω</m:t>
            </m:r>
          </m:e>
          <m:sub>
            <m:sSub>
              <m:e>
                <m:r>
                  <m:t>k</m:t>
                </m:r>
              </m:e>
              <m:sub>
                <m:r>
                  <m:t>a</m:t>
                </m:r>
              </m:sub>
            </m:sSub>
          </m:sub>
        </m:sSub>
      </m:oMath>
      <w:r>
        <w:t xml:space="preserve">:</w:t>
      </w:r>
      <w:r>
        <w:t xml:space="preserve"> </w:t>
      </w:r>
      <m:oMath>
        <m:r>
          <m:rPr>
            <m:sty m:val="p"/>
          </m:rPr>
          <m:t>−</m:t>
        </m:r>
        <m:r>
          <m:t>1.18</m:t>
        </m:r>
        <m:r>
          <m:rPr>
            <m:sty m:val="p"/>
          </m:rPr>
          <m:t>%</m:t>
        </m:r>
      </m:oMath>
      <w:r>
        <w:t xml:space="preserve">). VI at</w:t>
      </w:r>
      <w:r>
        <w:t xml:space="preserve"> </w:t>
      </w:r>
      <m:oMath>
        <m:r>
          <m:t>K</m:t>
        </m:r>
        <m:r>
          <m:rPr>
            <m:sty m:val="p"/>
          </m:rPr>
          <m:t>=</m:t>
        </m:r>
        <m:r>
          <m:t>1</m:t>
        </m:r>
      </m:oMath>
      <w:r>
        <w:t xml:space="preserve">, by contrast, shows the characteristic pattern</w:t>
      </w:r>
      <w:r>
        <w:t xml:space="preserve"> </w:t>
      </w:r>
      <w:r>
        <w:t xml:space="preserve">identified throughout this work:</w:t>
      </w:r>
      <w:r>
        <w:t xml:space="preserve"> </w:t>
      </w:r>
      <m:oMath>
        <m:sSub>
          <m:e>
            <m:r>
              <m:t>ω</m:t>
            </m:r>
          </m:e>
          <m:sub>
            <m:r>
              <m:t>V</m:t>
            </m:r>
          </m:sub>
        </m:sSub>
      </m:oMath>
      <w:r>
        <w:t xml:space="preserve"> </w:t>
      </w:r>
      <w:r>
        <w:t xml:space="preserve">and</w:t>
      </w:r>
      <w:r>
        <w:t xml:space="preserve"> </w:t>
      </w:r>
      <m:oMath>
        <m:sSub>
          <m:e>
            <m:r>
              <m:t>ω</m:t>
            </m:r>
          </m:e>
          <m:sub>
            <m:sSub>
              <m:e>
                <m:r>
                  <m:t>k</m:t>
                </m:r>
              </m:e>
              <m:sub>
                <m:r>
                  <m:t>a</m:t>
                </m:r>
              </m:sub>
            </m:sSub>
          </m:sub>
        </m:sSub>
      </m:oMath>
      <w:r>
        <w:t xml:space="preserve"> </w:t>
      </w:r>
      <w:r>
        <w:t xml:space="preserve">biased by</w:t>
      </w:r>
      <w:r>
        <w:t xml:space="preserve"> </w:t>
      </w:r>
      <m:oMath>
        <m:r>
          <m:rPr>
            <m:sty m:val="p"/>
          </m:rPr>
          <m:t>−</m:t>
        </m:r>
        <m:r>
          <m:t>14.3</m:t>
        </m:r>
        <m:r>
          <m:rPr>
            <m:sty m:val="p"/>
          </m:rPr>
          <m:t>%</m:t>
        </m:r>
      </m:oMath>
      <w:r>
        <w:t xml:space="preserve"> </w:t>
      </w:r>
      <w:r>
        <w:t xml:space="preserve">and</w:t>
      </w:r>
      <w:r>
        <w:t xml:space="preserve"> </w:t>
      </w:r>
      <m:oMath>
        <m:r>
          <m:rPr>
            <m:sty m:val="p"/>
          </m:rPr>
          <m:t>−</m:t>
        </m:r>
        <m:r>
          <m:t>21.9</m:t>
        </m:r>
        <m:r>
          <m:rPr>
            <m:sty m:val="p"/>
          </m:rPr>
          <m:t>%</m:t>
        </m:r>
      </m:oMath>
      <w:r>
        <w:t xml:space="preserve"> </w:t>
      </w:r>
      <w:r>
        <w:t xml:space="preserve">respectively, an order of magnitude larger than</w:t>
      </w:r>
      <w:r>
        <w:t xml:space="preserve"> </w:t>
      </w:r>
      <w:r>
        <w:t xml:space="preserve">FOCEI, SAEM, or VI at</w:t>
      </w:r>
      <w:r>
        <w:t xml:space="preserve"> </w:t>
      </w:r>
      <m:oMath>
        <m:r>
          <m:t>K</m:t>
        </m:r>
        <m:r>
          <m:rPr>
            <m:sty m:val="p"/>
          </m:rPr>
          <m:t>=</m:t>
        </m:r>
        <m:r>
          <m:t>64</m:t>
        </m:r>
      </m:oMath>
      <w:r>
        <w:t xml:space="preserve"> </w:t>
      </w:r>
      <w:r>
        <w:t xml:space="preserve">on the same parameters. A parallel pattern</w:t>
      </w:r>
      <w:r>
        <w:t xml:space="preserve"> </w:t>
      </w:r>
      <w:r>
        <w:t xml:space="preserve">holds for the residual-error parameter</w:t>
      </w:r>
      <w:r>
        <w:t xml:space="preserve"> </w:t>
      </w:r>
      <m:oMath>
        <m:r>
          <m:t>σ</m:t>
        </m:r>
      </m:oMath>
      <w:r>
        <w:t xml:space="preserve">: FOCEI, SAEM, and VI at</w:t>
      </w:r>
      <w:r>
        <w:t xml:space="preserve"> </w:t>
      </w:r>
      <m:oMath>
        <m:r>
          <m:t>K</m:t>
        </m:r>
        <m:r>
          <m:rPr>
            <m:sty m:val="p"/>
          </m:rPr>
          <m:t>=</m:t>
        </m:r>
        <m:r>
          <m:t>64</m:t>
        </m:r>
      </m:oMath>
      <w:r>
        <w:t xml:space="preserve"> </w:t>
      </w:r>
      <w:r>
        <w:t xml:space="preserve">all recover</w:t>
      </w:r>
      <w:r>
        <w:t xml:space="preserve"> </w:t>
      </w:r>
      <m:oMath>
        <m:r>
          <m:t>σ</m:t>
        </m:r>
      </m:oMath>
      <w:r>
        <w:t xml:space="preserve"> </w:t>
      </w:r>
      <w:r>
        <w:t xml:space="preserve">within 2% of its true value, while VI at</w:t>
      </w:r>
      <w:r>
        <w:t xml:space="preserve"> </w:t>
      </w:r>
      <m:oMath>
        <m:r>
          <m:t>K</m:t>
        </m:r>
        <m:r>
          <m:rPr>
            <m:sty m:val="p"/>
          </m:rPr>
          <m:t>=</m:t>
        </m:r>
        <m:r>
          <m:t>1</m:t>
        </m:r>
      </m:oMath>
      <w:r>
        <w:t xml:space="preserve"> </w:t>
      </w:r>
      <w:r>
        <w:t xml:space="preserve">overestimates it by 7.4%.</w:t>
      </w:r>
    </w:p>
    <w:tbl>
      <w:tblPr>
        <w:tblStyle w:val="Table"/>
        <w:tblW w:type="pct" w:w="5000"/>
        <w:tblLayout w:type="fixed"/>
        <w:tblLook w:firstRow="0" w:lastRow="0" w:firstColumn="0" w:lastColumn="0" w:noHBand="0" w:noVBand="0" w:val="0000"/>
      </w:tblPr>
      <w:tblGrid>
        <w:gridCol w:w="7920"/>
      </w:tblGrid>
      <w:tr>
        <w:tc>
          <w:tcPr/>
          <w:bookmarkStart w:id="72" w:name="tbl-baseline-comparison"/>
          <w:p>
            <w:pPr>
              <w:jc w:val="center"/>
            </w:pPr>
            <w:pPr>
              <w:jc w:val="left"/>
              <w:spacing w:before="200"/>
              <w:pStyle w:val="ImageCaption"/>
            </w:pPr>
            <w:r>
              <w:t xml:space="preserve">Table 1: Mean parameter estimates by method (FOCEI, SAEM, variational inference</w:t>
            </w:r>
            <w:r>
              <w:t xml:space="preserve"> </w:t>
            </w:r>
            <w:r>
              <w:t xml:space="preserve">at</w:t>
            </w:r>
            <w:r>
              <w:t xml:space="preserve"> </w:t>
            </w:r>
            <m:oMath>
              <m:r>
                <m:t>K</m:t>
              </m:r>
              <m:r>
                <m:rPr>
                  <m:sty m:val="p"/>
                </m:rPr>
                <m:t>=</m:t>
              </m:r>
              <m:r>
                <m:t>1</m:t>
              </m:r>
            </m:oMath>
            <w:r>
              <w:t xml:space="preserve"> </w:t>
            </w:r>
            <w:r>
              <w:t xml:space="preserve">and</w:t>
            </w:r>
            <w:r>
              <w:t xml:space="preserve"> </w:t>
            </w:r>
            <m:oMath>
              <m:r>
                <m:t>K</m:t>
              </m:r>
              <m:r>
                <m:rPr>
                  <m:sty m:val="p"/>
                </m:rPr>
                <m:t>=</m:t>
              </m:r>
              <m:r>
                <m:t>64</m:t>
              </m:r>
            </m:oMath>
            <w:r>
              <w:t xml:space="preserve">) against ground truth,</w:t>
            </w:r>
            <w:r>
              <w:t xml:space="preserve"> </w:t>
            </w:r>
            <m:oMath>
              <m:r>
                <m:t>N</m:t>
              </m:r>
              <m:r>
                <m:rPr>
                  <m:sty m:val="p"/>
                </m:rPr>
                <m:t>=</m:t>
              </m:r>
              <m:r>
                <m:t>120</m:t>
              </m:r>
            </m:oMath>
            <w:r>
              <w:t xml:space="preserve"> </w:t>
            </w:r>
            <w:r>
              <w:t xml:space="preserve">subjects, 20</w:t>
            </w:r>
            <w:r>
              <w:t xml:space="preserve"> </w:t>
            </w:r>
            <w:r>
              <w:t xml:space="preserve">replicates.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Parameter</w:t>
                  </w:r>
                </w:p>
              </w:tc>
              <w:tc>
                <w:tcPr/>
                <w:p>
                  <w:pPr>
                    <w:pStyle w:val="Compact"/>
                    <w:jc w:val="center"/>
                  </w:pPr>
                  <w:r>
                    <w:t xml:space="preserve">Truth</w:t>
                  </w:r>
                </w:p>
              </w:tc>
              <w:tc>
                <w:tcPr/>
                <w:p>
                  <w:pPr>
                    <w:pStyle w:val="Compact"/>
                    <w:jc w:val="center"/>
                  </w:pPr>
                  <w:r>
                    <w:t xml:space="preserve">FOCEI</w:t>
                  </w:r>
                </w:p>
              </w:tc>
              <w:tc>
                <w:tcPr/>
                <w:p>
                  <w:pPr>
                    <w:pStyle w:val="Compact"/>
                    <w:jc w:val="center"/>
                  </w:pPr>
                  <w:r>
                    <w:t xml:space="preserve">SAEM</w:t>
                  </w:r>
                </w:p>
              </w:tc>
              <w:tc>
                <w:tcPr/>
                <w:p>
                  <w:pPr>
                    <w:pStyle w:val="Compact"/>
                    <w:jc w:val="center"/>
                  </w:pPr>
                  <w:r>
                    <w:t xml:space="preserve">VI, K = 1</w:t>
                  </w:r>
                </w:p>
              </w:tc>
              <w:tc>
                <w:tcPr/>
                <w:p>
                  <w:pPr>
                    <w:pStyle w:val="Compact"/>
                    <w:jc w:val="center"/>
                  </w:pPr>
                  <w:r>
                    <w:t xml:space="preserve">VI, K = 64</w:t>
                  </w:r>
                </w:p>
              </w:tc>
            </w:tr>
            <w:tr>
              <w:tc>
                <w:tcPr/>
                <w:p>
                  <w:pPr>
                    <w:pStyle w:val="Compact"/>
                    <w:jc w:val="center"/>
                  </w:pPr>
                  <m:oMath>
                    <m:r>
                      <m:t>C</m:t>
                    </m:r>
                    <m:r>
                      <m:t>L</m:t>
                    </m:r>
                  </m:oMath>
                </w:p>
              </w:tc>
              <w:tc>
                <w:tcPr/>
                <w:p>
                  <w:pPr>
                    <w:pStyle w:val="Compact"/>
                    <w:jc w:val="center"/>
                  </w:pPr>
                  <w:r>
                    <w:t xml:space="preserve">3</w:t>
                  </w:r>
                </w:p>
              </w:tc>
              <w:tc>
                <w:tcPr/>
                <w:p>
                  <w:pPr>
                    <w:pStyle w:val="Compact"/>
                    <w:jc w:val="center"/>
                  </w:pPr>
                  <w:r>
                    <w:t xml:space="preserve">3</w:t>
                  </w:r>
                </w:p>
              </w:tc>
              <w:tc>
                <w:tcPr/>
                <w:p>
                  <w:pPr>
                    <w:pStyle w:val="Compact"/>
                    <w:jc w:val="center"/>
                  </w:pPr>
                  <w:r>
                    <w:t xml:space="preserve">2.98</w:t>
                  </w:r>
                </w:p>
              </w:tc>
              <w:tc>
                <w:tcPr/>
                <w:p>
                  <w:pPr>
                    <w:pStyle w:val="Compact"/>
                    <w:jc w:val="center"/>
                  </w:pPr>
                  <w:r>
                    <w:t xml:space="preserve">3</w:t>
                  </w:r>
                </w:p>
              </w:tc>
              <w:tc>
                <w:tcPr/>
                <w:p>
                  <w:pPr>
                    <w:pStyle w:val="Compact"/>
                    <w:jc w:val="center"/>
                  </w:pPr>
                  <w:r>
                    <w:t xml:space="preserve">2.94</w:t>
                  </w:r>
                </w:p>
              </w:tc>
            </w:tr>
            <w:tr>
              <w:tc>
                <w:tcPr/>
                <w:p>
                  <w:pPr>
                    <w:pStyle w:val="Compact"/>
                    <w:jc w:val="center"/>
                  </w:pPr>
                  <m:oMath>
                    <m:r>
                      <m:t>V</m:t>
                    </m:r>
                  </m:oMath>
                </w:p>
              </w:tc>
              <w:tc>
                <w:tcPr/>
                <w:p>
                  <w:pPr>
                    <w:pStyle w:val="Compact"/>
                    <w:jc w:val="center"/>
                  </w:pPr>
                  <w:r>
                    <w:t xml:space="preserve">30</w:t>
                  </w:r>
                </w:p>
              </w:tc>
              <w:tc>
                <w:tcPr/>
                <w:p>
                  <w:pPr>
                    <w:pStyle w:val="Compact"/>
                    <w:jc w:val="center"/>
                  </w:pPr>
                  <w:r>
                    <w:t xml:space="preserve">30.3</w:t>
                  </w:r>
                </w:p>
              </w:tc>
              <w:tc>
                <w:tcPr/>
                <w:p>
                  <w:pPr>
                    <w:pStyle w:val="Compact"/>
                    <w:jc w:val="center"/>
                  </w:pPr>
                  <w:r>
                    <w:t xml:space="preserve">30.1</w:t>
                  </w:r>
                </w:p>
              </w:tc>
              <w:tc>
                <w:tcPr/>
                <w:p>
                  <w:pPr>
                    <w:pStyle w:val="Compact"/>
                    <w:jc w:val="center"/>
                  </w:pPr>
                  <w:r>
                    <w:t xml:space="preserve">30.5</w:t>
                  </w:r>
                </w:p>
              </w:tc>
              <w:tc>
                <w:tcPr/>
                <w:p>
                  <w:pPr>
                    <w:pStyle w:val="Compact"/>
                    <w:jc w:val="center"/>
                  </w:pPr>
                  <w:r>
                    <w:t xml:space="preserve">30.4</w:t>
                  </w:r>
                </w:p>
              </w:tc>
            </w:tr>
            <w:tr>
              <w:tc>
                <w:tcPr/>
                <w:p>
                  <w:pPr>
                    <w:pStyle w:val="Compact"/>
                    <w:jc w:val="center"/>
                  </w:pPr>
                  <m:oMath>
                    <m:sSub>
                      <m:e>
                        <m:r>
                          <m:t>k</m:t>
                        </m:r>
                      </m:e>
                      <m:sub>
                        <m:r>
                          <m:t>a</m:t>
                        </m:r>
                      </m:sub>
                    </m:sSub>
                  </m:oMath>
                </w:p>
              </w:tc>
              <w:tc>
                <w:tcPr/>
                <w:p>
                  <w:pPr>
                    <w:pStyle w:val="Compact"/>
                    <w:jc w:val="center"/>
                  </w:pPr>
                  <w:r>
                    <w:t xml:space="preserve">1.2</w:t>
                  </w:r>
                </w:p>
              </w:tc>
              <w:tc>
                <w:tcPr/>
                <w:p>
                  <w:pPr>
                    <w:pStyle w:val="Compact"/>
                    <w:jc w:val="center"/>
                  </w:pPr>
                  <w:r>
                    <w:t xml:space="preserve">1.18</w:t>
                  </w:r>
                </w:p>
              </w:tc>
              <w:tc>
                <w:tcPr/>
                <w:p>
                  <w:pPr>
                    <w:pStyle w:val="Compact"/>
                    <w:jc w:val="center"/>
                  </w:pPr>
                  <w:r>
                    <w:t xml:space="preserve">1.19</w:t>
                  </w:r>
                </w:p>
              </w:tc>
              <w:tc>
                <w:tcPr/>
                <w:p>
                  <w:pPr>
                    <w:pStyle w:val="Compact"/>
                    <w:jc w:val="center"/>
                  </w:pPr>
                  <w:r>
                    <w:t xml:space="preserve">1.21</w:t>
                  </w:r>
                </w:p>
              </w:tc>
              <w:tc>
                <w:tcPr/>
                <w:p>
                  <w:pPr>
                    <w:pStyle w:val="Compact"/>
                    <w:jc w:val="center"/>
                  </w:pPr>
                  <w:r>
                    <w:t xml:space="preserve">1.18</w:t>
                  </w:r>
                </w:p>
              </w:tc>
            </w:tr>
            <w:tr>
              <w:tc>
                <w:tcPr/>
                <w:p>
                  <w:pPr>
                    <w:pStyle w:val="Compact"/>
                    <w:jc w:val="center"/>
                  </w:pPr>
                  <m:oMath>
                    <m:sSub>
                      <m:e>
                        <m:r>
                          <m:t>ω</m:t>
                        </m:r>
                      </m:e>
                      <m:sub>
                        <m:r>
                          <m:t>C</m:t>
                        </m:r>
                        <m:r>
                          <m:t>L</m:t>
                        </m:r>
                      </m:sub>
                    </m:sSub>
                  </m:oMath>
                </w:p>
              </w:tc>
              <w:tc>
                <w:tcPr/>
                <w:p>
                  <w:pPr>
                    <w:pStyle w:val="Compact"/>
                    <w:jc w:val="center"/>
                  </w:pPr>
                  <w:r>
                    <w:t xml:space="preserve">0.3</w:t>
                  </w:r>
                </w:p>
              </w:tc>
              <w:tc>
                <w:tcPr/>
                <w:p>
                  <w:pPr>
                    <w:pStyle w:val="Compact"/>
                    <w:jc w:val="center"/>
                  </w:pPr>
                  <w:r>
                    <w:t xml:space="preserve">0.296</w:t>
                  </w:r>
                </w:p>
              </w:tc>
              <w:tc>
                <w:tcPr/>
                <w:p>
                  <w:pPr>
                    <w:pStyle w:val="Compact"/>
                    <w:jc w:val="center"/>
                  </w:pPr>
                  <w:r>
                    <w:t xml:space="preserve">0.298</w:t>
                  </w:r>
                </w:p>
              </w:tc>
              <w:tc>
                <w:tcPr/>
                <w:p>
                  <w:pPr>
                    <w:pStyle w:val="Compact"/>
                    <w:jc w:val="center"/>
                  </w:pPr>
                  <w:r>
                    <w:t xml:space="preserve">0.293</w:t>
                  </w:r>
                </w:p>
              </w:tc>
              <w:tc>
                <w:tcPr/>
                <w:p>
                  <w:pPr>
                    <w:pStyle w:val="Compact"/>
                    <w:jc w:val="center"/>
                  </w:pPr>
                  <w:r>
                    <w:t xml:space="preserve">0.299</w:t>
                  </w:r>
                </w:p>
              </w:tc>
            </w:tr>
            <w:tr>
              <w:tc>
                <w:tcPr/>
                <w:p>
                  <w:pPr>
                    <w:pStyle w:val="Compact"/>
                    <w:jc w:val="center"/>
                  </w:pPr>
                  <m:oMath>
                    <m:sSub>
                      <m:e>
                        <m:r>
                          <m:t>ω</m:t>
                        </m:r>
                      </m:e>
                      <m:sub>
                        <m:r>
                          <m:t>V</m:t>
                        </m:r>
                      </m:sub>
                    </m:sSub>
                  </m:oMath>
                </w:p>
              </w:tc>
              <w:tc>
                <w:tcPr/>
                <w:p>
                  <w:pPr>
                    <w:pStyle w:val="Compact"/>
                    <w:jc w:val="center"/>
                  </w:pPr>
                  <w:r>
                    <w:t xml:space="preserve">0.2</w:t>
                  </w:r>
                </w:p>
              </w:tc>
              <w:tc>
                <w:tcPr/>
                <w:p>
                  <w:pPr>
                    <w:pStyle w:val="Compact"/>
                    <w:jc w:val="center"/>
                  </w:pPr>
                  <w:r>
                    <w:t xml:space="preserve">0.204</w:t>
                  </w:r>
                </w:p>
              </w:tc>
              <w:tc>
                <w:tcPr/>
                <w:p>
                  <w:pPr>
                    <w:pStyle w:val="Compact"/>
                    <w:jc w:val="center"/>
                  </w:pPr>
                  <w:r>
                    <w:t xml:space="preserve">0.203</w:t>
                  </w:r>
                </w:p>
              </w:tc>
              <w:tc>
                <w:tcPr/>
                <w:p>
                  <w:pPr>
                    <w:pStyle w:val="Compact"/>
                    <w:jc w:val="center"/>
                  </w:pPr>
                  <w:r>
                    <w:t xml:space="preserve">0.172</w:t>
                  </w:r>
                </w:p>
              </w:tc>
              <w:tc>
                <w:tcPr/>
                <w:p>
                  <w:pPr>
                    <w:pStyle w:val="Compact"/>
                    <w:jc w:val="center"/>
                  </w:pPr>
                  <w:r>
                    <w:t xml:space="preserve">0.202</w:t>
                  </w:r>
                </w:p>
              </w:tc>
            </w:tr>
            <w:tr>
              <w:tc>
                <w:tcPr/>
                <w:p>
                  <w:pPr>
                    <w:pStyle w:val="Compact"/>
                    <w:jc w:val="center"/>
                  </w:pPr>
                  <m:oMath>
                    <m:sSub>
                      <m:e>
                        <m:r>
                          <m:t>ω</m:t>
                        </m:r>
                      </m:e>
                      <m:sub>
                        <m:sSub>
                          <m:e>
                            <m:r>
                              <m:t>k</m:t>
                            </m:r>
                          </m:e>
                          <m:sub>
                            <m:r>
                              <m:t>a</m:t>
                            </m:r>
                          </m:sub>
                        </m:sSub>
                      </m:sub>
                    </m:sSub>
                  </m:oMath>
                </w:p>
              </w:tc>
              <w:tc>
                <w:tcPr/>
                <w:p>
                  <w:pPr>
                    <w:pStyle w:val="Compact"/>
                    <w:jc w:val="center"/>
                  </w:pPr>
                  <w:r>
                    <w:t xml:space="preserve">0.4</w:t>
                  </w:r>
                </w:p>
              </w:tc>
              <w:tc>
                <w:tcPr/>
                <w:p>
                  <w:pPr>
                    <w:pStyle w:val="Compact"/>
                    <w:jc w:val="center"/>
                  </w:pPr>
                  <w:r>
                    <w:t xml:space="preserve">0.389</w:t>
                  </w:r>
                </w:p>
              </w:tc>
              <w:tc>
                <w:tcPr/>
                <w:p>
                  <w:pPr>
                    <w:pStyle w:val="Compact"/>
                    <w:jc w:val="center"/>
                  </w:pPr>
                  <w:r>
                    <w:t xml:space="preserve">0.395</w:t>
                  </w:r>
                </w:p>
              </w:tc>
              <w:tc>
                <w:tcPr/>
                <w:p>
                  <w:pPr>
                    <w:pStyle w:val="Compact"/>
                    <w:jc w:val="center"/>
                  </w:pPr>
                  <w:r>
                    <w:t xml:space="preserve">0.313</w:t>
                  </w:r>
                </w:p>
              </w:tc>
              <w:tc>
                <w:tcPr/>
                <w:p>
                  <w:pPr>
                    <w:pStyle w:val="Compact"/>
                    <w:jc w:val="center"/>
                  </w:pPr>
                  <w:r>
                    <w:t xml:space="preserve">0.395</w:t>
                  </w:r>
                </w:p>
              </w:tc>
            </w:tr>
            <w:tr>
              <w:tc>
                <w:tcPr/>
                <w:p>
                  <w:pPr>
                    <w:pStyle w:val="Compact"/>
                    <w:jc w:val="center"/>
                  </w:pPr>
                  <m:oMath>
                    <m:r>
                      <m:t>σ</m:t>
                    </m:r>
                  </m:oMath>
                </w:p>
              </w:tc>
              <w:tc>
                <w:tcPr/>
                <w:p>
                  <w:pPr>
                    <w:pStyle w:val="Compact"/>
                    <w:jc w:val="center"/>
                  </w:pPr>
                  <w:r>
                    <w:t xml:space="preserve">0.2</w:t>
                  </w:r>
                </w:p>
              </w:tc>
              <w:tc>
                <w:tcPr/>
                <w:p>
                  <w:pPr>
                    <w:pStyle w:val="Compact"/>
                    <w:jc w:val="center"/>
                  </w:pPr>
                  <w:r>
                    <w:t xml:space="preserve">0.196</w:t>
                  </w:r>
                </w:p>
              </w:tc>
              <w:tc>
                <w:tcPr/>
                <w:p>
                  <w:pPr>
                    <w:pStyle w:val="Compact"/>
                    <w:jc w:val="center"/>
                  </w:pPr>
                  <w:r>
                    <w:t xml:space="preserve">0.196</w:t>
                  </w:r>
                </w:p>
              </w:tc>
              <w:tc>
                <w:tcPr/>
                <w:p>
                  <w:pPr>
                    <w:pStyle w:val="Compact"/>
                    <w:jc w:val="center"/>
                  </w:pPr>
                  <w:r>
                    <w:t xml:space="preserve">0.215</w:t>
                  </w:r>
                </w:p>
              </w:tc>
              <w:tc>
                <w:tcPr/>
                <w:p>
                  <w:pPr>
                    <w:pStyle w:val="Compact"/>
                    <w:jc w:val="center"/>
                  </w:pPr>
                  <w:r>
                    <w:t xml:space="preserve">0.197</w:t>
                  </w:r>
                </w:p>
              </w:tc>
            </w:tr>
            <w:tr>
              <w:tc>
                <w:tcPr/>
                <w:p>
                  <w:pPr>
                    <w:pStyle w:val="Compact"/>
                    <w:jc w:val="center"/>
                  </w:pPr>
                  <w:r>
                    <w:t xml:space="preserve">Median runtime (s)</w:t>
                  </w:r>
                </w:p>
              </w:tc>
              <w:tc>
                <w:tcPr/>
                <w:p>
                  <w:pPr>
                    <w:pStyle w:val="Compact"/>
                  </w:pPr>
                </w:p>
              </w:tc>
              <w:tc>
                <w:tcPr/>
                <w:p>
                  <w:pPr>
                    <w:pStyle w:val="Compact"/>
                    <w:jc w:val="center"/>
                  </w:pPr>
                  <w:r>
                    <w:t xml:space="preserve">11.1</w:t>
                  </w:r>
                </w:p>
              </w:tc>
              <w:tc>
                <w:tcPr/>
                <w:p>
                  <w:pPr>
                    <w:pStyle w:val="Compact"/>
                    <w:jc w:val="center"/>
                  </w:pPr>
                  <w:r>
                    <w:t xml:space="preserve">12.6</w:t>
                  </w:r>
                </w:p>
              </w:tc>
              <w:tc>
                <w:tcPr/>
                <w:p>
                  <w:pPr>
                    <w:pStyle w:val="Compact"/>
                    <w:jc w:val="center"/>
                  </w:pPr>
                  <w:r>
                    <w:t xml:space="preserve">4.94</w:t>
                  </w:r>
                </w:p>
              </w:tc>
              <w:tc>
                <w:tcPr/>
                <w:p>
                  <w:pPr>
                    <w:pStyle w:val="Compact"/>
                    <w:jc w:val="center"/>
                  </w:pPr>
                  <w:r>
                    <w:t xml:space="preserve">17.7</w:t>
                  </w:r>
                </w:p>
              </w:tc>
            </w:tr>
          </w:tbl>
          <w:bookmarkEnd w:id="72"/>
          <w:p/>
        </w:tc>
      </w:tr>
    </w:tbl>
    <w:p>
      <w:pPr>
        <w:pStyle w:val="BodyText"/>
      </w:pPr>
      <w:r>
        <w:t xml:space="preserve">Mean process CPU time, both sides now evaluating the model via a</w:t>
      </w:r>
      <w:r>
        <w:t xml:space="preserve"> </w:t>
      </w:r>
      <w:r>
        <w:t xml:space="preserve">closed-form analytic solution, was 11.25s for FOCEI, 12.68s for SAEM,</w:t>
      </w:r>
      <w:r>
        <w:t xml:space="preserve"> </w:t>
      </w:r>
      <w:r>
        <w:t xml:space="preserve">5.14s for VI at</w:t>
      </w:r>
      <w:r>
        <w:t xml:space="preserve"> </w:t>
      </w:r>
      <m:oMath>
        <m:r>
          <m:t>K</m:t>
        </m:r>
        <m:r>
          <m:rPr>
            <m:sty m:val="p"/>
          </m:rPr>
          <m:t>=</m:t>
        </m:r>
        <m:r>
          <m:t>1</m:t>
        </m:r>
      </m:oMath>
      <w:r>
        <w:t xml:space="preserve">, and 16.50s for VI at</w:t>
      </w:r>
      <w:r>
        <w:t xml:space="preserve"> </w:t>
      </w:r>
      <m:oMath>
        <m:r>
          <m:t>K</m:t>
        </m:r>
        <m:r>
          <m:rPr>
            <m:sty m:val="p"/>
          </m:rPr>
          <m:t>=</m:t>
        </m:r>
        <m:r>
          <m:t>64</m:t>
        </m:r>
      </m:oMath>
      <w:r>
        <w:t xml:space="preserve">. At</w:t>
      </w:r>
      <w:r>
        <w:t xml:space="preserve"> </w:t>
      </w:r>
      <m:oMath>
        <m:r>
          <m:t>K</m:t>
        </m:r>
        <m:r>
          <m:rPr>
            <m:sty m:val="p"/>
          </m:rPr>
          <m:t>=</m:t>
        </m:r>
        <m:r>
          <m:t>1</m:t>
        </m:r>
      </m:oMath>
      <w:r>
        <w:t xml:space="preserve">,</w:t>
      </w:r>
      <w:r>
        <w:t xml:space="preserve"> </w:t>
      </w:r>
      <w:r>
        <w:t xml:space="preserve">variational inference is modestly faster than both established methods</w:t>
      </w:r>
      <w:r>
        <w:t xml:space="preserve"> </w:t>
      </w:r>
      <w:r>
        <w:t xml:space="preserve">(2.2x versus FOCEI, 2.5x versus SAEM). At</w:t>
      </w:r>
      <w:r>
        <w:t xml:space="preserve"> </w:t>
      </w:r>
      <m:oMath>
        <m:r>
          <m:t>K</m:t>
        </m:r>
        <m:r>
          <m:rPr>
            <m:sty m:val="p"/>
          </m:rPr>
          <m:t>=</m:t>
        </m:r>
        <m:r>
          <m:t>64</m:t>
        </m:r>
      </m:oMath>
      <w:r>
        <w:t xml:space="preserve">, this reverses: VI is</w:t>
      </w:r>
      <w:r>
        <w:t xml:space="preserve"> </w:t>
      </w:r>
      <w:r>
        <w:t xml:space="preserve">slower than both (FOCEI is roughly 1.5x faster, SAEM roughly 1.3x</w:t>
      </w:r>
      <w:r>
        <w:t xml:space="preserve"> </w:t>
      </w:r>
      <w:r>
        <w:t xml:space="preserve">faster), reflecting the direct computational cost of the</w:t>
      </w:r>
      <w:r>
        <w:t xml:space="preserve"> </w:t>
      </w:r>
      <w:r>
        <w:t xml:space="preserve">importance-weighting correction itself. This asymmetry is precisely the</w:t>
      </w:r>
      <w:r>
        <w:t xml:space="preserve"> </w:t>
      </w:r>
      <w:r>
        <w:t xml:space="preserve">point made in the Methods scoping paragraph above: on this simple,</w:t>
      </w:r>
      <w:r>
        <w:t xml:space="preserve"> </w:t>
      </w:r>
      <w:r>
        <w:t xml:space="preserve">analytically tractable model, correcting the</w:t>
      </w:r>
      <w:r>
        <w:t xml:space="preserve"> </w:t>
      </w:r>
      <m:oMath>
        <m:r>
          <m:t>K</m:t>
        </m:r>
        <m:r>
          <m:rPr>
            <m:sty m:val="p"/>
          </m:rPr>
          <m:t>=</m:t>
        </m:r>
        <m:r>
          <m:t>1</m:t>
        </m:r>
      </m:oMath>
      <w:r>
        <w:t xml:space="preserve"> </w:t>
      </w:r>
      <w:r>
        <w:t xml:space="preserve">bias to</w:t>
      </w:r>
      <w:r>
        <w:t xml:space="preserve"> </w:t>
      </w:r>
      <w:r>
        <w:t xml:space="preserve">FOCEI/SAEM-comparable accuracy is not free, and the net runtime effect</w:t>
      </w:r>
      <w:r>
        <w:t xml:space="preserve"> </w:t>
      </w:r>
      <w:r>
        <w:t xml:space="preserve">depends on</w:t>
      </w:r>
      <w:r>
        <w:t xml:space="preserve"> </w:t>
      </w:r>
      <m:oMath>
        <m:r>
          <m:t>K</m:t>
        </m:r>
      </m:oMath>
      <w:r>
        <w:t xml:space="preserve">, not a uniform variational-inference advantage. This</w:t>
      </w:r>
      <w:r>
        <w:t xml:space="preserve"> </w:t>
      </w:r>
      <w:r>
        <w:t xml:space="preserve">result should not be read as evidence against variational inference’s</w:t>
      </w:r>
      <w:r>
        <w:t xml:space="preserve"> </w:t>
      </w:r>
      <w:r>
        <w:t xml:space="preserve">practical value, which this work’s broader case rests on accuracy (see</w:t>
      </w:r>
      <w:r>
        <w:t xml:space="preserve"> </w:t>
      </w:r>
      <w:r>
        <w:t xml:space="preserve">above) together with runtime advantages already established in the</w:t>
      </w:r>
      <w:r>
        <w:t xml:space="preserve"> </w:t>
      </w:r>
      <w:r>
        <w:t xml:space="preserve">literature for larger, structurally more complex models</w:t>
      </w:r>
      <w:r>
        <w:t xml:space="preserve"> </w:t>
      </w:r>
      <w:r>
        <w:t xml:space="preserve">(</w:t>
      </w:r>
      <w:r>
        <w:t xml:space="preserve">Arruda et al. (2024)</w:t>
      </w:r>
      <w:r>
        <w:t xml:space="preserve">); it is evidence that, for models simple enough</w:t>
      </w:r>
      <w:r>
        <w:t xml:space="preserve"> </w:t>
      </w:r>
      <w:r>
        <w:t xml:space="preserve">to admit a closed-form solution, the runtime case for variational</w:t>
      </w:r>
      <w:r>
        <w:t xml:space="preserve"> </w:t>
      </w:r>
      <w:r>
        <w:t xml:space="preserve">inference is genuinely mixed rather than uniformly favorable. Thread</w:t>
      </w:r>
      <w:r>
        <w:t xml:space="preserve"> </w:t>
      </w:r>
      <w:r>
        <w:t xml:space="preserve">counts were not explicitly pinned to be equal between the PyTorch and</w:t>
      </w:r>
      <w:r>
        <w:t xml:space="preserve"> </w:t>
      </w:r>
      <w:r>
        <w:t xml:space="preserve">R/BLAS processes; see Limitations.</w:t>
      </w:r>
    </w:p>
    <w:bookmarkEnd w:id="73"/>
    <w:bookmarkEnd w:id="74"/>
    <w:bookmarkStart w:id="76" w:name="discussion"/>
    <w:p>
      <w:pPr>
        <w:pStyle w:val="Heading2"/>
      </w:pPr>
      <w:r>
        <w:t xml:space="preserve">Discussion</w:t>
      </w:r>
    </w:p>
    <w:p>
      <w:pPr>
        <w:pStyle w:val="FirstParagraph"/>
      </w:pPr>
      <w:r>
        <w:t xml:space="preserve">Across simulated and real data, we observed a consistent dependence of between-subject variability estimates on the tightness of the variational objective. Under the standard ELBO (</w:t>
      </w:r>
      <m:oMath>
        <m:r>
          <m:t>K</m:t>
        </m:r>
        <m:r>
          <m:rPr>
            <m:sty m:val="p"/>
          </m:rPr>
          <m:t>=</m:t>
        </m:r>
        <m:r>
          <m:t>1</m:t>
        </m:r>
      </m:oMath>
      <w:r>
        <w:t xml:space="preserve">), random-effect variability was systematically underestimated, whereas larger</w:t>
      </w:r>
      <w:r>
        <w:t xml:space="preserve"> </w:t>
      </w:r>
      <m:oMath>
        <m:r>
          <m:t>K</m:t>
        </m:r>
      </m:oMath>
      <w:r>
        <w:t xml:space="preserve"> </w:t>
      </w:r>
      <w:r>
        <w:t xml:space="preserve">under the IW-ELBO substantially reduced this bias. The same pattern was observed in both free and amortized posterior architectures, across dense and sparse sampling designs, and in a nonlinear model requiring numerical integration. Direct comparison on matched simulated datasets further showed that VI at</w:t>
      </w:r>
      <w:r>
        <w:t xml:space="preserve"> </w:t>
      </w:r>
      <m:oMath>
        <m:r>
          <m:t>K</m:t>
        </m:r>
        <m:r>
          <m:rPr>
            <m:sty m:val="p"/>
          </m:rPr>
          <m:t>=</m:t>
        </m:r>
        <m:r>
          <m:t>64</m:t>
        </m:r>
      </m:oMath>
      <w:r>
        <w:t xml:space="preserve"> </w:t>
      </w:r>
      <w:r>
        <w:t xml:space="preserve">recovered fixed effects and between-subject variability with accuracy comparable to FOCEI and SAEM. Thus, the improvement at larger</w:t>
      </w:r>
      <w:r>
        <w:t xml:space="preserve"> </w:t>
      </w:r>
      <m:oMath>
        <m:r>
          <m:t>K</m:t>
        </m:r>
      </m:oMath>
      <w:r>
        <w:t xml:space="preserve"> </w:t>
      </w:r>
      <w:r>
        <w:t xml:space="preserve">is not merely an internal change within VI; it brings the resulting point estimates close to those from established NLME estimators under the conditions studied here.</w:t>
      </w:r>
    </w:p>
    <w:p>
      <w:pPr>
        <w:pStyle w:val="BodyText"/>
      </w:pPr>
      <w:r>
        <w:t xml:space="preserve">The companion fixed-effect analyses clarify the specificity of this result. Structural fixed effects were generally much less sensitive to</w:t>
      </w:r>
      <w:r>
        <w:t xml:space="preserve"> </w:t>
      </w:r>
      <m:oMath>
        <m:r>
          <m:t>K</m:t>
        </m:r>
      </m:oMath>
      <w:r>
        <w:t xml:space="preserve"> </w:t>
      </w:r>
      <w:r>
        <w:t xml:space="preserve">than the random-effect parameters. In Phase 0,</w:t>
      </w:r>
      <w:r>
        <w:t xml:space="preserve"> </w:t>
      </w:r>
      <m:oMath>
        <m:sSub>
          <m:e>
            <m:r>
              <m:t>k</m:t>
            </m:r>
          </m:e>
          <m:sub>
            <m:r>
              <m:t>a</m:t>
            </m:r>
          </m:sub>
        </m:sSub>
      </m:oMath>
      <w:r>
        <w:t xml:space="preserve"> </w:t>
      </w:r>
      <w:r>
        <w:t xml:space="preserve">remained consistently underestimated across all tested values of</w:t>
      </w:r>
      <w:r>
        <w:t xml:space="preserve"> </w:t>
      </w:r>
      <m:oMath>
        <m:r>
          <m:t>K</m:t>
        </m:r>
      </m:oMath>
      <w:r>
        <w:t xml:space="preserve">, suggesting a persistent estimation or information limitation distinct from the</w:t>
      </w:r>
      <w:r>
        <w:t xml:space="preserve"> </w:t>
      </w:r>
      <m:oMath>
        <m:r>
          <m:t>K</m:t>
        </m:r>
      </m:oMath>
      <w:r>
        <w:t xml:space="preserve">-dependent variability bias. Residual-error estimates were more sensitive to</w:t>
      </w:r>
      <w:r>
        <w:t xml:space="preserve"> </w:t>
      </w:r>
      <m:oMath>
        <m:r>
          <m:t>K</m:t>
        </m:r>
      </m:oMath>
      <w:r>
        <w:t xml:space="preserve"> </w:t>
      </w:r>
      <w:r>
        <w:t xml:space="preserve">in some settings and tended to improve as between-subject variability increased toward its generating value. This pattern is consistent with partial compensation between residual and between-subject variability: when random-effect variability is underestimated, some unexplained variation can be absorbed by the residual-error term. The principal effect of increasing</w:t>
      </w:r>
      <w:r>
        <w:t xml:space="preserve"> </w:t>
      </w:r>
      <m:oMath>
        <m:r>
          <m:t>K</m:t>
        </m:r>
      </m:oMath>
      <w:r>
        <w:t xml:space="preserve"> </w:t>
      </w:r>
      <w:r>
        <w:t xml:space="preserve">is therefore better described as improved allocation and recovery of variability rather than a general correction of all parameter bias.</w:t>
      </w:r>
    </w:p>
    <w:p>
      <w:pPr>
        <w:pStyle w:val="BodyText"/>
      </w:pPr>
      <w:r>
        <w:t xml:space="preserve">The results also show that posterior architecture and variational family cannot be treated as interchangeable implementation details. Free-posterior normalizing flows substantially reduce variability bias even at low</w:t>
      </w:r>
      <w:r>
        <w:t xml:space="preserve"> </w:t>
      </w:r>
      <m:oMath>
        <m:r>
          <m:t>K</m:t>
        </m:r>
      </m:oMath>
      <w:r>
        <w:t xml:space="preserve"> </w:t>
      </w:r>
      <w:r>
        <w:t xml:space="preserve">in well-identified designs. In contrast, the amortized-flow configuration tested here was unstable across all values of</w:t>
      </w:r>
      <w:r>
        <w:t xml:space="preserve"> </w:t>
      </w:r>
      <m:oMath>
        <m:r>
          <m:t>K</m:t>
        </m:r>
      </m:oMath>
      <w:r>
        <w:t xml:space="preserve">. A plausible explanation is that the amortized encoder output serves two roles simultaneously in this architecture: it parameterizes the flow’s base distribution and also conditions the flow transformation, creating a moving optimization target. The amortized-flow architecture of</w:t>
      </w:r>
      <w:r>
        <w:t xml:space="preserve"> </w:t>
      </w:r>
      <w:r>
        <w:t xml:space="preserve">Arruda et al. (2024)</w:t>
      </w:r>
      <w:r>
        <w:t xml:space="preserve"> </w:t>
      </w:r>
      <w:r>
        <w:t xml:space="preserve">avoids this coupling by using a fixed standard-normal base distribution and reserving encoder-derived summaries for conditioning. A preliminary decoupled implementation following that design produced plausible estimates in a small-scale test, but it has not yet been evaluated at the scale required for inclusion as a formal result.</w:t>
      </w:r>
    </w:p>
    <w:p>
      <w:pPr>
        <w:pStyle w:val="BodyText"/>
      </w:pPr>
      <w:r>
        <w:t xml:space="preserve">A distinct instability was observed when the amortized Gaussian posterior was applied to the nonlinear Michaelis-Menten model. Because no flow was involved, this behavior cannot be explained by the same base-distribution coupling. A diagnostic feature of this failure is that it worsens, rather than improves, with increasing</w:t>
      </w:r>
      <w:r>
        <w:t xml:space="preserve"> </w:t>
      </w:r>
      <m:oMath>
        <m:r>
          <m:t>K</m:t>
        </m:r>
      </m:oMath>
      <w:r>
        <w:t xml:space="preserve">, the opposite of the pattern observed everywhere else in this work. This directionality is consistent with a known pathology of importance-weighted training objectives: increasing</w:t>
      </w:r>
      <w:r>
        <w:t xml:space="preserve"> </w:t>
      </w:r>
      <m:oMath>
        <m:r>
          <m:t>K</m:t>
        </m:r>
      </m:oMath>
      <w:r>
        <w:t xml:space="preserve"> </w:t>
      </w:r>
      <w:r>
        <w:t xml:space="preserve">improves the gradient signal-to-noise ratio for global model parameters but degrades it specifically for inference-network parameters</w:t>
      </w:r>
      <w:r>
        <w:t xml:space="preserve"> </w:t>
      </w:r>
      <w:r>
        <w:t xml:space="preserve">(Rainforth et al. 2018)</w:t>
      </w:r>
      <w:r>
        <w:t xml:space="preserve">, a problem the doubly-reparameterized gradient estimator was designed to address but which was not used in the amortized fits reported here. This may compound with a harder representation problem, since a single shared encoder must map subject trajectories spanning saturated, transitional, and approximately first-order elimination regimes onto variational parameters, a substantially more complex mapping than in the linear tier, and consistent with known limits on when amortized inference can match a per-subject (free) solution</w:t>
      </w:r>
      <w:r>
        <w:t xml:space="preserve"> </w:t>
      </w:r>
      <w:r>
        <w:t xml:space="preserve">(Margossian and Blei 2024)</w:t>
      </w:r>
      <w:r>
        <w:t xml:space="preserve">. Both explanations remain unconfirmed; distinguishing an encoder-optimization failure from a representation-capacity limitation, for example via encoder gradient diagnostics across</w:t>
      </w:r>
      <w:r>
        <w:t xml:space="preserve"> </w:t>
      </w:r>
      <m:oMath>
        <m:r>
          <m:t>K</m:t>
        </m:r>
      </m:oMath>
      <w:r>
        <w:t xml:space="preserve"> </w:t>
      </w:r>
      <w:r>
        <w:t xml:space="preserve">or a semi-amortized warm-start, is noted as future work below.</w:t>
      </w:r>
    </w:p>
    <w:p>
      <w:pPr>
        <w:pStyle w:val="BodyText"/>
      </w:pPr>
      <w:r>
        <w:t xml:space="preserve">The nonlinear analysis also highlighted an identifiability issue that should be distinguished from VI-specific approximation error. Allowing independent between-subject variability on both</w:t>
      </w:r>
      <w:r>
        <w:t xml:space="preserve"> </w:t>
      </w:r>
      <m:oMath>
        <m:sSub>
          <m:e>
            <m:r>
              <m:t>V</m:t>
            </m:r>
          </m:e>
          <m:sub>
            <m:r>
              <m:rPr>
                <m:sty m:val="p"/>
              </m:rPr>
              <m:t>max</m:t>
            </m:r>
          </m:sub>
        </m:sSub>
      </m:oMath>
      <w:r>
        <w:t xml:space="preserve"> </w:t>
      </w:r>
      <w:r>
        <w:t xml:space="preserve">and</w:t>
      </w:r>
      <w:r>
        <w:t xml:space="preserve"> </w:t>
      </w:r>
      <m:oMath>
        <m:sSub>
          <m:e>
            <m:r>
              <m:t>K</m:t>
            </m:r>
          </m:e>
          <m:sub>
            <m:r>
              <m:t>m</m:t>
            </m:r>
          </m:sub>
        </m:sSub>
      </m:oMath>
      <w:r>
        <w:t xml:space="preserve"> </w:t>
      </w:r>
      <w:r>
        <w:t xml:space="preserve">produced severe and persistent bias in the variability associated with</w:t>
      </w:r>
      <w:r>
        <w:t xml:space="preserve"> </w:t>
      </w:r>
      <m:oMath>
        <m:sSub>
          <m:e>
            <m:r>
              <m:t>K</m:t>
            </m:r>
          </m:e>
          <m:sub>
            <m:r>
              <m:t>m</m:t>
            </m:r>
          </m:sub>
        </m:sSub>
      </m:oMath>
      <w:r>
        <w:t xml:space="preserve">, even after extending training and redesigning the sampling window. Restricting between-subject variability to</w:t>
      </w:r>
      <w:r>
        <w:t xml:space="preserve"> </w:t>
      </w:r>
      <m:oMath>
        <m:sSub>
          <m:e>
            <m:r>
              <m:t>V</m:t>
            </m:r>
          </m:e>
          <m:sub>
            <m:r>
              <m:rPr>
                <m:sty m:val="p"/>
              </m:rPr>
              <m:t>max</m:t>
            </m:r>
          </m:sub>
        </m:sSub>
      </m:oMath>
      <w:r>
        <w:t xml:space="preserve"> </w:t>
      </w:r>
      <w:r>
        <w:t xml:space="preserve">and</w:t>
      </w:r>
      <w:r>
        <w:t xml:space="preserve"> </w:t>
      </w:r>
      <m:oMath>
        <m:r>
          <m:t>V</m:t>
        </m:r>
      </m:oMath>
      <w:r>
        <w:t xml:space="preserve">, while retaining</w:t>
      </w:r>
      <w:r>
        <w:t xml:space="preserve"> </w:t>
      </w:r>
      <m:oMath>
        <m:sSub>
          <m:e>
            <m:r>
              <m:t>K</m:t>
            </m:r>
          </m:e>
          <m:sub>
            <m:r>
              <m:t>m</m:t>
            </m:r>
          </m:sub>
        </m:sSub>
      </m:oMath>
      <w:r>
        <w:t xml:space="preserve"> </w:t>
      </w:r>
      <w:r>
        <w:t xml:space="preserve">as a fixed effect, resolved the most severe instability. This behavior is consistent with the known correlation and identifiability challenges associated with simultaneous estimation of Michaelis-Menten parameters in saturable systems. A direct FOCEI/SAEM comparison on the same nonlinear model would provide a stronger cross-method confirmation of this interpretation.</w:t>
      </w:r>
    </w:p>
    <w:p>
      <w:pPr>
        <w:pStyle w:val="BodyText"/>
      </w:pPr>
      <w:r>
        <w:t xml:space="preserve">The likelihood-ratio calibration experiments show that accurate point estimates do not guarantee valid downstream likelihood-based inference. When nested models differed in random-effect structure, the free posterior produced substantially too little boundary mass relative to the Self-Liang reference distribution. Increasing the precision of the post-hoc importance-sampling evaluation did not resolve the discrepancy, arguing against finite-sample importance-sampling noise as the primary explanation. In contrast, the amortized posterior substantially restored the expected boundary behavior. The effective-degrees-of-freedom interpretation provides a plausible explanation: adding a random effect under a free posterior introduces additional subject-specific variational parameters for every subject, whereas the classical likelihood-ratio reference accounts only for the population-level parameter being tested. The shared amortized encoder does not introduce the same per-subject asymmetry. A smaller residual deviation in the positive part of the null distribution remains unexplained.</w:t>
      </w:r>
    </w:p>
    <w:p>
      <w:pPr>
        <w:pStyle w:val="BodyText"/>
      </w:pPr>
      <w:r>
        <w:t xml:space="preserve">The real-data analyses provide an important complement to the simulations. Both theophylline and warfarin showed smaller random-effect variability estimates at</w:t>
      </w:r>
      <w:r>
        <w:t xml:space="preserve"> </w:t>
      </w:r>
      <m:oMath>
        <m:r>
          <m:t>K</m:t>
        </m:r>
        <m:r>
          <m:rPr>
            <m:sty m:val="p"/>
          </m:rPr>
          <m:t>=</m:t>
        </m:r>
        <m:r>
          <m:t>1</m:t>
        </m:r>
      </m:oMath>
      <w:r>
        <w:t xml:space="preserve"> </w:t>
      </w:r>
      <w:r>
        <w:t xml:space="preserve">than at</w:t>
      </w:r>
      <w:r>
        <w:t xml:space="preserve"> </w:t>
      </w:r>
      <m:oMath>
        <m:r>
          <m:t>K</m:t>
        </m:r>
        <m:r>
          <m:rPr>
            <m:sty m:val="p"/>
          </m:rPr>
          <m:t>=</m:t>
        </m:r>
        <m:r>
          <m:t>64</m:t>
        </m:r>
      </m:oMath>
      <w:r>
        <w:t xml:space="preserve"> </w:t>
      </w:r>
      <w:r>
        <w:t xml:space="preserve">on the same data, reproducing the direction of the simulation result without access to ground truth. On warfarin, clearance and volume estimates were also compatible with published FOCEI confidence intervals despite differences in structural absorption models. These findings support the relevance of the simulation-derived pattern to practical pharmacokinetic analyses, while the small size of the theophylline dataset also emphasizes that residual high-</w:t>
      </w:r>
      <m:oMath>
        <m:r>
          <m:t>K</m:t>
        </m:r>
      </m:oMath>
      <w:r>
        <w:t xml:space="preserve"> </w:t>
      </w:r>
      <w:r>
        <w:t xml:space="preserve">variability bias may reflect classical small-sample estimation effects in addition to variational approximation error.</w:t>
      </w:r>
    </w:p>
    <w:p>
      <w:pPr>
        <w:pStyle w:val="BodyText"/>
      </w:pPr>
      <w:r>
        <w:t xml:space="preserve">The direct runtime comparison should be interpreted narrowly. On the simple analytic one-compartment model used for the benchmark, VI at</w:t>
      </w:r>
      <w:r>
        <w:t xml:space="preserve"> </w:t>
      </w:r>
      <m:oMath>
        <m:r>
          <m:t>K</m:t>
        </m:r>
        <m:r>
          <m:rPr>
            <m:sty m:val="p"/>
          </m:rPr>
          <m:t>=</m:t>
        </m:r>
        <m:r>
          <m:t>1</m:t>
        </m:r>
      </m:oMath>
      <w:r>
        <w:t xml:space="preserve"> </w:t>
      </w:r>
      <w:r>
        <w:t xml:space="preserve">was faster than FOCEI and SAEM, whereas VI at</w:t>
      </w:r>
      <w:r>
        <w:t xml:space="preserve"> </w:t>
      </w:r>
      <m:oMath>
        <m:r>
          <m:t>K</m:t>
        </m:r>
        <m:r>
          <m:rPr>
            <m:sty m:val="p"/>
          </m:rPr>
          <m:t>=</m:t>
        </m:r>
        <m:r>
          <m:t>64</m:t>
        </m:r>
      </m:oMath>
      <w:r>
        <w:t xml:space="preserve"> </w:t>
      </w:r>
      <w:r>
        <w:t xml:space="preserve">was slower because of the direct computational cost of importance weighting. This result does not support a uniform speed advantage for corrected VI on simple models. Rather, it shows that improved accuracy at larger</w:t>
      </w:r>
      <w:r>
        <w:t xml:space="preserve"> </w:t>
      </w:r>
      <m:oMath>
        <m:r>
          <m:t>K</m:t>
        </m:r>
      </m:oMath>
      <w:r>
        <w:t xml:space="preserve"> </w:t>
      </w:r>
      <w:r>
        <w:t xml:space="preserve">carries a measurable computational cost. Potential efficiency advantages are more likely to emerge for larger populations, repeated inference, amortized workflows, or structurally complex models, consistent with prior work</w:t>
      </w:r>
      <w:r>
        <w:t xml:space="preserve"> </w:t>
      </w:r>
      <w:r>
        <w:t xml:space="preserve">(Arruda et al. 2024)</w:t>
      </w:r>
      <w:r>
        <w:t xml:space="preserve">.</w:t>
      </w:r>
    </w:p>
    <w:bookmarkStart w:id="75" w:name="limitations-and-future-directions"/>
    <w:p>
      <w:pPr>
        <w:pStyle w:val="Heading3"/>
      </w:pPr>
      <w:r>
        <w:t xml:space="preserve">Limitations and Future Directions</w:t>
      </w:r>
    </w:p>
    <w:p>
      <w:pPr>
        <w:pStyle w:val="FirstParagraph"/>
      </w:pPr>
      <w:r>
        <w:t xml:space="preserve">Several limitations should be considered. First, thread counts were not explicitly matched between PyTorch and R/BLAS processes in the runtime benchmark, so differences in incidental parallelism may contribute to the observed timing differences. Second, the FOCEI/SAEM comparison was performed only for the linear model. Extending the benchmark to the Michaelis-Menten model would strengthen the interpretation of the nonlinear identifiability results. Third, this study evaluates one linear and one nonlinear structural model; generalization to multicomponent models, correlated random effects, covariate models, time-varying dosing, and other residual-error structures remains to be established. Fourth, the smaller residual miscalibration in the positive component of the amortized-posterior likelihood-ratio test remains unexplained.</w:t>
      </w:r>
    </w:p>
    <w:p>
      <w:pPr>
        <w:pStyle w:val="BodyText"/>
      </w:pPr>
      <w:r>
        <w:t xml:space="preserve">Future work should therefore focus on production-scale evaluation of the decoupled amortized-flow architecture, diagnostic investigation of the amortized-Gaussian nonlinear instability (encoder gradient variance across</w:t>
      </w:r>
      <w:r>
        <w:t xml:space="preserve"> </w:t>
      </w:r>
      <m:oMath>
        <m:r>
          <m:t>K</m:t>
        </m:r>
      </m:oMath>
      <w:r>
        <w:t xml:space="preserve">, encoder capacity, and semi-amortized initialization), direct FOCEI/SAEM benchmarking on nonlinear models, explicit control of computational parallelism in runtime comparisons, and extension to more complex NLME structures. Because numerical integration dominated the cost of the nonlinear experiments, evaluating differentiable, purpose-built ODE solvers such as</w:t>
      </w:r>
      <w:r>
        <w:t xml:space="preserve"> </w:t>
      </w:r>
      <w:r>
        <w:rPr>
          <w:rStyle w:val="VerbatimChar"/>
        </w:rPr>
        <w:t xml:space="preserve">DifferentialEquations.jl</w:t>
      </w:r>
      <w:r>
        <w:t xml:space="preserve"> </w:t>
      </w:r>
      <w:r>
        <w:t xml:space="preserve">(Rackauckas and Nie 2017)</w:t>
      </w:r>
      <w:r>
        <w:t xml:space="preserve">, as used by</w:t>
      </w:r>
      <w:r>
        <w:t xml:space="preserve"> </w:t>
      </w:r>
      <w:r>
        <w:t xml:space="preserve">Arruda et al. (2024)</w:t>
      </w:r>
      <w:r>
        <w:t xml:space="preserve"> </w:t>
      </w:r>
      <w:r>
        <w:t xml:space="preserve">for more structurally complex models, may also be worthwhile provided that solver changes do not alter the statistical comparison being made.</w:t>
      </w:r>
    </w:p>
    <w:bookmarkEnd w:id="75"/>
    <w:bookmarkEnd w:id="76"/>
    <w:bookmarkStart w:id="98" w:name="references"/>
    <w:p>
      <w:pPr>
        <w:pStyle w:val="Heading2"/>
      </w:pPr>
      <w:r>
        <w:t xml:space="preserve">References</w:t>
      </w:r>
    </w:p>
    <w:bookmarkStart w:id="97" w:name="refs"/>
    <w:bookmarkStart w:id="77" w:name="ref-arruda2024amortized"/>
    <w:p>
      <w:pPr>
        <w:pStyle w:val="Bibliography"/>
      </w:pPr>
      <w:r>
        <w:t xml:space="preserve">Arruda, Jonas, Yannik Schälte, Clemens Peiter, Olga Teplytska, Ulrich Jaehde, and Jan Hasenauer. 2024.</w:t>
      </w:r>
      <w:r>
        <w:t xml:space="preserve"> </w:t>
      </w:r>
      <w:r>
        <w:t xml:space="preserve">“An Amortized Approach to Non-Linear Mixed-Effects Modeling Based on Neural Posterior Estimation.”</w:t>
      </w:r>
      <w:r>
        <w:t xml:space="preserve"> </w:t>
      </w:r>
      <w:r>
        <w:t xml:space="preserve">In</w:t>
      </w:r>
      <w:r>
        <w:t xml:space="preserve"> </w:t>
      </w:r>
      <w:r>
        <w:rPr>
          <w:i/>
          <w:iCs/>
        </w:rPr>
        <w:t xml:space="preserve">Proceedings of the 41st International Conference on Machine Learning</w:t>
      </w:r>
      <w:r>
        <w:t xml:space="preserve">. Vol. 235. Proceedings of Machine Learning Research. Vienna, Austria: PMLR.</w:t>
      </w:r>
    </w:p>
    <w:bookmarkEnd w:id="77"/>
    <w:bookmarkStart w:id="79" w:name="ref-baaz2026empirical"/>
    <w:p>
      <w:pPr>
        <w:pStyle w:val="Bibliography"/>
      </w:pPr>
      <w:r>
        <w:t xml:space="preserve">Baaz, Marcus, Anders Sjöberg, and Mats Jirstrand. 2026.</w:t>
      </w:r>
      <w:r>
        <w:t xml:space="preserve"> </w:t>
      </w:r>
      <w:r>
        <w:t xml:space="preserve">“The Empirical</w:t>
      </w:r>
      <w:r>
        <w:t xml:space="preserve"> </w:t>
      </w:r>
      <w:r>
        <w:t xml:space="preserve">Bayes</w:t>
      </w:r>
      <w:r>
        <w:t xml:space="preserve"> </w:t>
      </w:r>
      <w:r>
        <w:t xml:space="preserve">Variational Autoencoder: A Neural</w:t>
      </w:r>
      <w:r>
        <w:t xml:space="preserve"> </w:t>
      </w:r>
      <w:r>
        <w:t xml:space="preserve">ODE</w:t>
      </w:r>
      <w:r>
        <w:t xml:space="preserve"> </w:t>
      </w:r>
      <w:r>
        <w:t xml:space="preserve">Approach for Population Modeling in Pharmacology.”</w:t>
      </w:r>
      <w:r>
        <w:t xml:space="preserve"> </w:t>
      </w:r>
      <w:r>
        <w:rPr>
          <w:i/>
          <w:iCs/>
        </w:rPr>
        <w:t xml:space="preserve">CPT: Pharmacometrics &amp; Systems Pharmacology</w:t>
      </w:r>
      <w:r>
        <w:t xml:space="preserve"> </w:t>
      </w:r>
      <w:r>
        <w:t xml:space="preserve">15 (7): e70280.</w:t>
      </w:r>
      <w:r>
        <w:t xml:space="preserve"> </w:t>
      </w:r>
      <w:hyperlink r:id="rId78">
        <w:r>
          <w:rPr>
            <w:rStyle w:val="Hyperlink"/>
          </w:rPr>
          <w:t xml:space="preserve">https://doi.org/10.1002/psp4.70280</w:t>
        </w:r>
      </w:hyperlink>
      <w:r>
        <w:t xml:space="preserve">.</w:t>
      </w:r>
    </w:p>
    <w:bookmarkEnd w:id="79"/>
    <w:bookmarkStart w:id="80" w:name="ref-beal1980nonmem"/>
    <w:p>
      <w:pPr>
        <w:pStyle w:val="Bibliography"/>
      </w:pPr>
      <w:r>
        <w:t xml:space="preserve">Beal, Stuart, and Lewis Sheiner. 1980.</w:t>
      </w:r>
      <w:r>
        <w:t xml:space="preserve"> </w:t>
      </w:r>
      <w:r>
        <w:t xml:space="preserve">“The</w:t>
      </w:r>
      <w:r>
        <w:t xml:space="preserve"> </w:t>
      </w:r>
      <w:r>
        <w:t xml:space="preserve">NONMEM</w:t>
      </w:r>
      <w:r>
        <w:t xml:space="preserve"> </w:t>
      </w:r>
      <w:r>
        <w:t xml:space="preserve">System.”</w:t>
      </w:r>
      <w:r>
        <w:t xml:space="preserve"> </w:t>
      </w:r>
      <w:r>
        <w:rPr>
          <w:i/>
          <w:iCs/>
        </w:rPr>
        <w:t xml:space="preserve">The American Statistician</w:t>
      </w:r>
      <w:r>
        <w:t xml:space="preserve"> </w:t>
      </w:r>
      <w:r>
        <w:t xml:space="preserve">34 (2): 118–19.</w:t>
      </w:r>
    </w:p>
    <w:bookmarkEnd w:id="80"/>
    <w:bookmarkStart w:id="81" w:name="ref-boeckmann1994nonmem"/>
    <w:p>
      <w:pPr>
        <w:pStyle w:val="Bibliography"/>
      </w:pPr>
      <w:r>
        <w:t xml:space="preserve">Boeckmann, A. J., L. B. Sheiner, and S. L. Beal. 1994.</w:t>
      </w:r>
      <w:r>
        <w:t xml:space="preserve"> </w:t>
      </w:r>
      <w:r>
        <w:t xml:space="preserve">“</w:t>
      </w:r>
      <w:r>
        <w:t xml:space="preserve">NONMEM</w:t>
      </w:r>
      <w:r>
        <w:t xml:space="preserve"> </w:t>
      </w:r>
      <w:r>
        <w:t xml:space="preserve">Users Guide: Part v.”</w:t>
      </w:r>
      <w:r>
        <w:t xml:space="preserve"> </w:t>
      </w:r>
      <w:r>
        <w:t xml:space="preserve">University of California, San Francisco.</w:t>
      </w:r>
    </w:p>
    <w:bookmarkEnd w:id="81"/>
    <w:bookmarkStart w:id="82" w:name="ref-burda2016importance"/>
    <w:p>
      <w:pPr>
        <w:pStyle w:val="Bibliography"/>
      </w:pPr>
      <w:r>
        <w:t xml:space="preserve">Burda, Yuri, Roger Grosse, and Ruslan Salakhutdinov. 2016.</w:t>
      </w:r>
      <w:r>
        <w:t xml:space="preserve"> </w:t>
      </w:r>
      <w:r>
        <w:t xml:space="preserve">“Importance Weighted Autoencoders.”</w:t>
      </w:r>
      <w:r>
        <w:t xml:space="preserve"> </w:t>
      </w:r>
      <w:r>
        <w:t xml:space="preserve">In</w:t>
      </w:r>
      <w:r>
        <w:t xml:space="preserve"> </w:t>
      </w:r>
      <w:r>
        <w:rPr>
          <w:i/>
          <w:iCs/>
        </w:rPr>
        <w:t xml:space="preserve">International Conference on Learning Representations (ICLR)</w:t>
      </w:r>
      <w:r>
        <w:t xml:space="preserve">.</w:t>
      </w:r>
    </w:p>
    <w:bookmarkEnd w:id="82"/>
    <w:bookmarkStart w:id="83" w:name="ref-fidler2019nonlinear"/>
    <w:p>
      <w:pPr>
        <w:pStyle w:val="Bibliography"/>
      </w:pPr>
      <w:r>
        <w:t xml:space="preserve">Fidler, Matthew, Justin J. Wilkins, Rik Hooijmaijers, Teun M. Post, Rik Schoemaker, Mirjam N. Trame, Yuan Xiong, and Wenping Wang. 2019.</w:t>
      </w:r>
      <w:r>
        <w:t xml:space="preserve"> </w:t>
      </w:r>
      <w:r>
        <w:t xml:space="preserve">“Nonlinear Mixed-Effects Model Development and Simulation Using</w:t>
      </w:r>
      <w:r>
        <w:t xml:space="preserve"> </w:t>
      </w:r>
      <w:r>
        <w:t xml:space="preserve">nlmixr</w:t>
      </w:r>
      <w:r>
        <w:t xml:space="preserve"> </w:t>
      </w:r>
      <w:r>
        <w:t xml:space="preserve">and Related</w:t>
      </w:r>
      <w:r>
        <w:t xml:space="preserve"> </w:t>
      </w:r>
      <w:r>
        <w:t xml:space="preserve">R</w:t>
      </w:r>
      <w:r>
        <w:t xml:space="preserve"> </w:t>
      </w:r>
      <w:r>
        <w:t xml:space="preserve">Open-Source Packages.”</w:t>
      </w:r>
      <w:r>
        <w:t xml:space="preserve"> </w:t>
      </w:r>
      <w:r>
        <w:rPr>
          <w:i/>
          <w:iCs/>
        </w:rPr>
        <w:t xml:space="preserve">CPT: Pharmacometrics &amp; Systems Pharmacology</w:t>
      </w:r>
      <w:r>
        <w:t xml:space="preserve"> </w:t>
      </w:r>
      <w:r>
        <w:t xml:space="preserve">8 (9): 621–33.</w:t>
      </w:r>
    </w:p>
    <w:bookmarkEnd w:id="83"/>
    <w:bookmarkStart w:id="84" w:name="ref-kuhn2005maximum"/>
    <w:p>
      <w:pPr>
        <w:pStyle w:val="Bibliography"/>
      </w:pPr>
      <w:r>
        <w:t xml:space="preserve">Kuhn, Estelle, and Marc Lavielle. 2005.</w:t>
      </w:r>
      <w:r>
        <w:t xml:space="preserve"> </w:t>
      </w:r>
      <w:r>
        <w:t xml:space="preserve">“Maximum Likelihood Estimation in Nonlinear Mixed Effects Models.”</w:t>
      </w:r>
      <w:r>
        <w:t xml:space="preserve"> </w:t>
      </w:r>
      <w:r>
        <w:rPr>
          <w:i/>
          <w:iCs/>
        </w:rPr>
        <w:t xml:space="preserve">Computational Statistics &amp; Data Analysis</w:t>
      </w:r>
      <w:r>
        <w:t xml:space="preserve"> </w:t>
      </w:r>
      <w:r>
        <w:t xml:space="preserve">49 (4): 1020–38.</w:t>
      </w:r>
    </w:p>
    <w:bookmarkEnd w:id="84"/>
    <w:bookmarkStart w:id="85" w:name="ref-li2026variational"/>
    <w:p>
      <w:pPr>
        <w:pStyle w:val="Bibliography"/>
      </w:pPr>
      <w:r>
        <w:t xml:space="preserve">Li, Zhe, Mélanie Prague, Rodolphe Thiébaut, and Quentin Clairon. 2026.</w:t>
      </w:r>
      <w:r>
        <w:t xml:space="preserve"> </w:t>
      </w:r>
      <w:r>
        <w:t xml:space="preserve">“Variational Autoencoder for Inference of Nonlinear Mixed Effect Models Based on Ordinary Differential Equations.”</w:t>
      </w:r>
      <w:r>
        <w:t xml:space="preserve"> </w:t>
      </w:r>
      <w:r>
        <w:rPr>
          <w:i/>
          <w:iCs/>
        </w:rPr>
        <w:t xml:space="preserve">arXiv Preprint arXiv:2601.17400</w:t>
      </w:r>
      <w:r>
        <w:t xml:space="preserve">.</w:t>
      </w:r>
    </w:p>
    <w:bookmarkEnd w:id="85"/>
    <w:bookmarkStart w:id="86" w:name="ref-margossian2024amortized"/>
    <w:p>
      <w:pPr>
        <w:pStyle w:val="Bibliography"/>
      </w:pPr>
      <w:r>
        <w:t xml:space="preserve">Margossian, Charles C., and David M. Blei. 2024.</w:t>
      </w:r>
      <w:r>
        <w:t xml:space="preserve"> </w:t>
      </w:r>
      <w:r>
        <w:t xml:space="preserve">“Amortized Variational Inference: When and Why?”</w:t>
      </w:r>
      <w:r>
        <w:t xml:space="preserve"> In</w:t>
      </w:r>
      <w:r>
        <w:t xml:space="preserve"> </w:t>
      </w:r>
      <w:r>
        <w:rPr>
          <w:i/>
          <w:iCs/>
        </w:rPr>
        <w:t xml:space="preserve">Proceedings of the Fortieth Conference on Uncertainty in Artificial Intelligence</w:t>
      </w:r>
      <w:r>
        <w:t xml:space="preserve">, 244:2434–49. Proceedings of Machine Learning Research. PMLR.</w:t>
      </w:r>
    </w:p>
    <w:bookmarkEnd w:id="86"/>
    <w:bookmarkStart w:id="87" w:name="ref-oreilly1968studies"/>
    <w:p>
      <w:pPr>
        <w:pStyle w:val="Bibliography"/>
      </w:pPr>
      <w:r>
        <w:t xml:space="preserve">O’Reilly, Robert A., and Paul M. Aggeler. 1968.</w:t>
      </w:r>
      <w:r>
        <w:t xml:space="preserve"> </w:t>
      </w:r>
      <w:r>
        <w:t xml:space="preserve">“Studies on Coumarin Anticoagulant Drugs: Initiation of Warfarin Therapy Without a Loading Dose.”</w:t>
      </w:r>
      <w:r>
        <w:t xml:space="preserve"> </w:t>
      </w:r>
      <w:r>
        <w:rPr>
          <w:i/>
          <w:iCs/>
        </w:rPr>
        <w:t xml:space="preserve">Circulation</w:t>
      </w:r>
      <w:r>
        <w:t xml:space="preserve"> </w:t>
      </w:r>
      <w:r>
        <w:t xml:space="preserve">38 (1): 169–77.</w:t>
      </w:r>
    </w:p>
    <w:bookmarkEnd w:id="87"/>
    <w:bookmarkStart w:id="88" w:name="ref-papamakarios2021normalizing"/>
    <w:p>
      <w:pPr>
        <w:pStyle w:val="Bibliography"/>
      </w:pPr>
      <w:r>
        <w:t xml:space="preserve">Papamakarios, George, Eric T. Nalisnick, Danilo Jimenez Rezende, Shakir Mohamed, and Balaji Lakshminarayanan. 2021.</w:t>
      </w:r>
      <w:r>
        <w:t xml:space="preserve"> </w:t>
      </w:r>
      <w:r>
        <w:t xml:space="preserve">“Normalizing Flows for Probabilistic Modeling and Inference.”</w:t>
      </w:r>
      <w:r>
        <w:t xml:space="preserve"> </w:t>
      </w:r>
      <w:r>
        <w:rPr>
          <w:i/>
          <w:iCs/>
        </w:rPr>
        <w:t xml:space="preserve">Journal of Machine Learning Research</w:t>
      </w:r>
      <w:r>
        <w:t xml:space="preserve"> </w:t>
      </w:r>
      <w:r>
        <w:t xml:space="preserve">22 (57): 1–64.</w:t>
      </w:r>
    </w:p>
    <w:bookmarkEnd w:id="88"/>
    <w:bookmarkStart w:id="89" w:name="ref-paszke2019pytorch"/>
    <w:p>
      <w:pPr>
        <w:pStyle w:val="Bibliography"/>
      </w:pPr>
      <w:r>
        <w:t xml:space="preserve">Paszke, Adam, Sam Gross, Francisco Massa, Adam Lerer, James Bradbury, Gregory Chanan, Trevor Killeen, et al. 2019.</w:t>
      </w:r>
      <w:r>
        <w:t xml:space="preserve"> </w:t>
      </w:r>
      <w:r>
        <w:t xml:space="preserve">“</w:t>
      </w:r>
      <w:r>
        <w:t xml:space="preserve">PyTorch</w:t>
      </w:r>
      <w:r>
        <w:t xml:space="preserve">: An Imperative Style, High-Performance Deep Learning Library.”</w:t>
      </w:r>
      <w:r>
        <w:t xml:space="preserve"> </w:t>
      </w:r>
      <w:r>
        <w:t xml:space="preserve">In</w:t>
      </w:r>
      <w:r>
        <w:t xml:space="preserve"> </w:t>
      </w:r>
      <w:r>
        <w:rPr>
          <w:i/>
          <w:iCs/>
        </w:rPr>
        <w:t xml:space="preserve">Advances in Neural Information Processing Systems</w:t>
      </w:r>
      <w:r>
        <w:t xml:space="preserve">. Vol. 32.</w:t>
      </w:r>
    </w:p>
    <w:bookmarkEnd w:id="89"/>
    <w:bookmarkStart w:id="90" w:name="ref-pinheiro1994topics"/>
    <w:p>
      <w:pPr>
        <w:pStyle w:val="Bibliography"/>
      </w:pPr>
      <w:r>
        <w:t xml:space="preserve">Pinheiro, José C. 1994.</w:t>
      </w:r>
      <w:r>
        <w:t xml:space="preserve"> </w:t>
      </w:r>
      <w:r>
        <w:t xml:space="preserve">“Topics in Mixed Effects Models.”</w:t>
      </w:r>
      <w:r>
        <w:t xml:space="preserve"> </w:t>
      </w:r>
      <w:r>
        <w:t xml:space="preserve">PhD thesis, Madison, USA: University of Wisconsin, Madison.</w:t>
      </w:r>
    </w:p>
    <w:bookmarkEnd w:id="90"/>
    <w:bookmarkStart w:id="91" w:name="ref-rackauckas2017differentialequations"/>
    <w:p>
      <w:pPr>
        <w:pStyle w:val="Bibliography"/>
      </w:pPr>
      <w:r>
        <w:t xml:space="preserve">Rackauckas, Christopher, and Qing Nie. 2017.</w:t>
      </w:r>
      <w:r>
        <w:t xml:space="preserve"> </w:t>
      </w:r>
      <w:r>
        <w:t xml:space="preserve">“</w:t>
      </w:r>
      <w:r>
        <w:t xml:space="preserve">DifferentialEquations.jl</w:t>
      </w:r>
      <w:r>
        <w:t xml:space="preserve">: A Performant and Feature-Rich Ecosystem for Solving Differential Equations in</w:t>
      </w:r>
      <w:r>
        <w:t xml:space="preserve"> </w:t>
      </w:r>
      <w:r>
        <w:t xml:space="preserve">Julia</w:t>
      </w:r>
      <w:r>
        <w:t xml:space="preserve">.”</w:t>
      </w:r>
      <w:r>
        <w:t xml:space="preserve"> </w:t>
      </w:r>
      <w:r>
        <w:rPr>
          <w:i/>
          <w:iCs/>
        </w:rPr>
        <w:t xml:space="preserve">Journal of Open Research Software</w:t>
      </w:r>
      <w:r>
        <w:t xml:space="preserve"> </w:t>
      </w:r>
      <w:r>
        <w:t xml:space="preserve">5 (1).</w:t>
      </w:r>
    </w:p>
    <w:bookmarkEnd w:id="91"/>
    <w:bookmarkStart w:id="92" w:name="ref-rainforth2018tighter"/>
    <w:p>
      <w:pPr>
        <w:pStyle w:val="Bibliography"/>
      </w:pPr>
      <w:r>
        <w:t xml:space="preserve">Rainforth, Tom, Adam Kosiorek, Tuan Anh Le, Chris Maddison, Maximilian Igl, Frank Wood, and Yee Whye Teh. 2018.</w:t>
      </w:r>
      <w:r>
        <w:t xml:space="preserve"> </w:t>
      </w:r>
      <w:r>
        <w:t xml:space="preserve">“Tighter Variational Bounds Are Not Necessarily Better.”</w:t>
      </w:r>
      <w:r>
        <w:t xml:space="preserve"> </w:t>
      </w:r>
      <w:r>
        <w:t xml:space="preserve">In</w:t>
      </w:r>
      <w:r>
        <w:t xml:space="preserve"> </w:t>
      </w:r>
      <w:r>
        <w:rPr>
          <w:i/>
          <w:iCs/>
        </w:rPr>
        <w:t xml:space="preserve">Proceedings of the 35th International Conference on Machine Learning</w:t>
      </w:r>
      <w:r>
        <w:t xml:space="preserve">, 80:4277–85. Proceedings of Machine Learning Research. PMLR.</w:t>
      </w:r>
    </w:p>
    <w:bookmarkEnd w:id="92"/>
    <w:bookmarkStart w:id="93" w:name="ref-rezende2015variational"/>
    <w:p>
      <w:pPr>
        <w:pStyle w:val="Bibliography"/>
      </w:pPr>
      <w:r>
        <w:t xml:space="preserve">Rezende, Danilo, and Shakir Mohamed. 2015.</w:t>
      </w:r>
      <w:r>
        <w:t xml:space="preserve"> </w:t>
      </w:r>
      <w:r>
        <w:t xml:space="preserve">“Variational Inference with Normalizing Flows.”</w:t>
      </w:r>
      <w:r>
        <w:t xml:space="preserve"> </w:t>
      </w:r>
      <w:r>
        <w:t xml:space="preserve">In</w:t>
      </w:r>
      <w:r>
        <w:t xml:space="preserve"> </w:t>
      </w:r>
      <w:r>
        <w:rPr>
          <w:i/>
          <w:iCs/>
        </w:rPr>
        <w:t xml:space="preserve">International Conference on Machine Learning</w:t>
      </w:r>
      <w:r>
        <w:t xml:space="preserve">, 1530–38. PMLR.</w:t>
      </w:r>
    </w:p>
    <w:bookmarkEnd w:id="93"/>
    <w:bookmarkStart w:id="94" w:name="ref-self1987asymptotic"/>
    <w:p>
      <w:pPr>
        <w:pStyle w:val="Bibliography"/>
      </w:pPr>
      <w:r>
        <w:t xml:space="preserve">Self, Steven G., and Kung-Yee Liang. 1987.</w:t>
      </w:r>
      <w:r>
        <w:t xml:space="preserve"> </w:t>
      </w:r>
      <w:r>
        <w:t xml:space="preserve">“Asymptotic Properties of Maximum Likelihood Estimators and Likelihood Ratio Tests Under Nonstandard Conditions.”</w:t>
      </w:r>
      <w:r>
        <w:t xml:space="preserve"> </w:t>
      </w:r>
      <w:r>
        <w:rPr>
          <w:i/>
          <w:iCs/>
        </w:rPr>
        <w:t xml:space="preserve">Journal of the American Statistical Association</w:t>
      </w:r>
      <w:r>
        <w:t xml:space="preserve"> </w:t>
      </w:r>
      <w:r>
        <w:t xml:space="preserve">82 (398): 605–10.</w:t>
      </w:r>
    </w:p>
    <w:bookmarkEnd w:id="94"/>
    <w:bookmarkStart w:id="95" w:name="ref-tarek2026fitting"/>
    <w:p>
      <w:pPr>
        <w:pStyle w:val="Bibliography"/>
      </w:pPr>
      <w:r>
        <w:t xml:space="preserve">Tarek, Mohamed, and Pedro Afonso. 2026.</w:t>
      </w:r>
      <w:r>
        <w:t xml:space="preserve"> </w:t>
      </w:r>
      <w:r>
        <w:t xml:space="preserve">“Fitting Large Nonlinear Mixed Effects Models Using Variational Expectation Maximization.”</w:t>
      </w:r>
      <w:r>
        <w:t xml:space="preserve"> </w:t>
      </w:r>
      <w:r>
        <w:rPr>
          <w:i/>
          <w:iCs/>
        </w:rPr>
        <w:t xml:space="preserve">arXiv Preprint arXiv:2604.26160</w:t>
      </w:r>
      <w:r>
        <w:t xml:space="preserve">.</w:t>
      </w:r>
    </w:p>
    <w:bookmarkEnd w:id="95"/>
    <w:bookmarkStart w:id="96" w:name="ref-wang2008derivation"/>
    <w:p>
      <w:pPr>
        <w:pStyle w:val="Bibliography"/>
      </w:pPr>
      <w:r>
        <w:t xml:space="preserve">Wang, Yaning. 2008.</w:t>
      </w:r>
      <w:r>
        <w:t xml:space="preserve"> </w:t>
      </w:r>
      <w:r>
        <w:t xml:space="preserve">“Derivation of Various</w:t>
      </w:r>
      <w:r>
        <w:t xml:space="preserve"> </w:t>
      </w:r>
      <w:r>
        <w:t xml:space="preserve">NONMEM</w:t>
      </w:r>
      <w:r>
        <w:t xml:space="preserve"> </w:t>
      </w:r>
      <w:r>
        <w:t xml:space="preserve">Estimation Methods.”</w:t>
      </w:r>
      <w:r>
        <w:t xml:space="preserve"> </w:t>
      </w:r>
      <w:r>
        <w:rPr>
          <w:i/>
          <w:iCs/>
        </w:rPr>
        <w:t xml:space="preserve">Journal of Pharmacokinetics and Pharmacodynamics</w:t>
      </w:r>
      <w:r>
        <w:t xml:space="preserve"> </w:t>
      </w:r>
      <w:r>
        <w:t xml:space="preserve">35 (2): 249–49.</w:t>
      </w:r>
    </w:p>
    <w:bookmarkEnd w:id="96"/>
    <w:bookmarkEnd w:id="97"/>
    <w:bookmarkEnd w:id="98"/>
    <w:bookmarkStart w:id="116" w:name="supplementary-material"/>
    <w:p>
      <w:pPr>
        <w:pStyle w:val="Heading2"/>
      </w:pPr>
      <w:r>
        <w:t xml:space="preserve">Supplementary Material</w:t>
      </w:r>
    </w:p>
    <w:bookmarkStart w:id="106" w:name="supplementary-tables"/>
    <w:p>
      <w:pPr>
        <w:pStyle w:val="Heading3"/>
      </w:pPr>
      <w:r>
        <w:t xml:space="preserve">Supplementary Tables</w:t>
      </w:r>
    </w:p>
    <w:tbl>
      <w:tblPr>
        <w:tblStyle w:val="Table"/>
        <w:tblW w:type="pct" w:w="5000"/>
        <w:tblLayout w:type="fixed"/>
        <w:tblLook w:firstRow="0" w:lastRow="0" w:firstColumn="0" w:lastColumn="0" w:noHBand="0" w:noVBand="0" w:val="0000"/>
      </w:tblPr>
      <w:tblGrid>
        <w:gridCol w:w="7920"/>
      </w:tblGrid>
      <w:tr>
        <w:tc>
          <w:tcPr/>
          <w:bookmarkStart w:id="99" w:name="supptbl-phase0-combined"/>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Posterior</w:t>
                  </w:r>
                </w:p>
              </w:tc>
              <w:tc>
                <w:tcPr/>
                <w:p>
                  <w:pPr>
                    <w:pStyle w:val="Compact"/>
                    <w:jc w:val="center"/>
                  </w:pPr>
                  <w:r>
                    <w:t xml:space="preserve">Parameter type</w:t>
                  </w:r>
                </w:p>
              </w:tc>
              <w:tc>
                <w:tcPr/>
                <w:p>
                  <w:pPr>
                    <w:pStyle w:val="Compact"/>
                    <w:jc w:val="center"/>
                  </w:pPr>
                  <w:r>
                    <w:t xml:space="preserve">Parameter</w:t>
                  </w:r>
                </w:p>
              </w:tc>
              <w:tc>
                <w:tcPr/>
                <w:p>
                  <w:pPr>
                    <w:pStyle w:val="Compact"/>
                    <w:jc w:val="center"/>
                  </w:pPr>
                  <m:oMath>
                    <m:r>
                      <m:t>K</m:t>
                    </m:r>
                    <m:r>
                      <m:rPr>
                        <m:sty m:val="p"/>
                      </m:rPr>
                      <m:t>=</m:t>
                    </m:r>
                    <m:r>
                      <m:t>1</m:t>
                    </m:r>
                  </m:oMath>
                </w:p>
              </w:tc>
              <w:tc>
                <w:tcPr/>
                <w:p>
                  <w:pPr>
                    <w:pStyle w:val="Compact"/>
                    <w:jc w:val="center"/>
                  </w:pPr>
                  <m:oMath>
                    <m:r>
                      <m:t>K</m:t>
                    </m:r>
                    <m:r>
                      <m:rPr>
                        <m:sty m:val="p"/>
                      </m:rPr>
                      <m:t>=</m:t>
                    </m:r>
                    <m:r>
                      <m:t>8</m:t>
                    </m:r>
                  </m:oMath>
                </w:p>
              </w:tc>
              <w:tc>
                <w:tcPr/>
                <w:p>
                  <w:pPr>
                    <w:pStyle w:val="Compact"/>
                    <w:jc w:val="center"/>
                  </w:pPr>
                  <m:oMath>
                    <m:r>
                      <m:t>K</m:t>
                    </m:r>
                    <m:r>
                      <m:rPr>
                        <m:sty m:val="p"/>
                      </m:rPr>
                      <m:t>=</m:t>
                    </m:r>
                    <m:r>
                      <m:t>64</m:t>
                    </m:r>
                  </m:oMath>
                </w:p>
              </w:tc>
            </w:tr>
            <w:tr>
              <w:tc>
                <w:tcPr/>
                <w:p>
                  <w:pPr>
                    <w:pStyle w:val="Compact"/>
                    <w:jc w:val="center"/>
                  </w:pPr>
                  <w:r>
                    <w:t xml:space="preserve">amortized</w:t>
                  </w:r>
                </w:p>
              </w:tc>
              <w:tc>
                <w:tcPr/>
                <w:p>
                  <w:pPr>
                    <w:pStyle w:val="Compact"/>
                    <w:jc w:val="center"/>
                  </w:pPr>
                  <w:r>
                    <w:t xml:space="preserve">Fixed effect</w:t>
                  </w:r>
                </w:p>
              </w:tc>
              <w:tc>
                <w:tcPr/>
                <w:p>
                  <w:pPr>
                    <w:pStyle w:val="Compact"/>
                    <w:jc w:val="center"/>
                  </w:pPr>
                  <m:oMath>
                    <m:r>
                      <m:t>C</m:t>
                    </m:r>
                    <m:r>
                      <m:t>L</m:t>
                    </m:r>
                  </m:oMath>
                </w:p>
              </w:tc>
              <w:tc>
                <w:tcPr/>
                <w:p>
                  <w:pPr>
                    <w:pStyle w:val="Compact"/>
                    <w:jc w:val="center"/>
                  </w:pPr>
                  <w:r>
                    <w:t xml:space="preserve">-0.484 (2.85)</w:t>
                  </w:r>
                </w:p>
              </w:tc>
              <w:tc>
                <w:tcPr/>
                <w:p>
                  <w:pPr>
                    <w:pStyle w:val="Compact"/>
                    <w:jc w:val="center"/>
                  </w:pPr>
                  <w:r>
                    <w:t xml:space="preserve">-0.0361 (4.16)</w:t>
                  </w:r>
                </w:p>
              </w:tc>
              <w:tc>
                <w:tcPr/>
                <w:p>
                  <w:pPr>
                    <w:pStyle w:val="Compact"/>
                    <w:jc w:val="center"/>
                  </w:pPr>
                  <w:r>
                    <w:t xml:space="preserve">-0.321 (3.49)</w:t>
                  </w:r>
                </w:p>
              </w:tc>
            </w:tr>
            <w:tr>
              <w:tc>
                <w:tcPr/>
                <w:p>
                  <w:pPr>
                    <w:pStyle w:val="Compact"/>
                    <w:jc w:val="center"/>
                  </w:pPr>
                  <w:r>
                    <w:t xml:space="preserve">amortized</w:t>
                  </w:r>
                </w:p>
              </w:tc>
              <w:tc>
                <w:tcPr/>
                <w:p>
                  <w:pPr>
                    <w:pStyle w:val="Compact"/>
                    <w:jc w:val="center"/>
                  </w:pPr>
                  <w:r>
                    <w:t xml:space="preserve">Fixed effect</w:t>
                  </w:r>
                </w:p>
              </w:tc>
              <w:tc>
                <w:tcPr/>
                <w:p>
                  <w:pPr>
                    <w:pStyle w:val="Compact"/>
                    <w:jc w:val="center"/>
                  </w:pPr>
                  <m:oMath>
                    <m:r>
                      <m:t>V</m:t>
                    </m:r>
                  </m:oMath>
                </w:p>
              </w:tc>
              <w:tc>
                <w:tcPr/>
                <w:p>
                  <w:pPr>
                    <w:pStyle w:val="Compact"/>
                    <w:jc w:val="center"/>
                  </w:pPr>
                  <w:r>
                    <w:t xml:space="preserve">-0.0532 (3.32)</w:t>
                  </w:r>
                </w:p>
              </w:tc>
              <w:tc>
                <w:tcPr/>
                <w:p>
                  <w:pPr>
                    <w:pStyle w:val="Compact"/>
                    <w:jc w:val="center"/>
                  </w:pPr>
                  <w:r>
                    <w:t xml:space="preserve">-0.412 (2.99)</w:t>
                  </w:r>
                </w:p>
              </w:tc>
              <w:tc>
                <w:tcPr/>
                <w:p>
                  <w:pPr>
                    <w:pStyle w:val="Compact"/>
                    <w:jc w:val="center"/>
                  </w:pPr>
                  <w:r>
                    <w:t xml:space="preserve">-0.241 (2.89)</w:t>
                  </w:r>
                </w:p>
              </w:tc>
            </w:tr>
            <w:tr>
              <w:tc>
                <w:tcPr/>
                <w:p>
                  <w:pPr>
                    <w:pStyle w:val="Compact"/>
                    <w:jc w:val="center"/>
                  </w:pPr>
                  <w:r>
                    <w:t xml:space="preserve">amortized</w:t>
                  </w:r>
                </w:p>
              </w:tc>
              <w:tc>
                <w:tcPr/>
                <w:p>
                  <w:pPr>
                    <w:pStyle w:val="Compact"/>
                    <w:jc w:val="center"/>
                  </w:pPr>
                  <w:r>
                    <w:t xml:space="preserve">Fixed effect</w:t>
                  </w:r>
                </w:p>
              </w:tc>
              <w:tc>
                <w:tcPr/>
                <w:p>
                  <w:pPr>
                    <w:pStyle w:val="Compact"/>
                    <w:jc w:val="center"/>
                  </w:pPr>
                  <m:oMath>
                    <m:sSub>
                      <m:e>
                        <m:r>
                          <m:t>k</m:t>
                        </m:r>
                      </m:e>
                      <m:sub>
                        <m:r>
                          <m:t>a</m:t>
                        </m:r>
                      </m:sub>
                    </m:sSub>
                  </m:oMath>
                </w:p>
              </w:tc>
              <w:tc>
                <w:tcPr/>
                <w:p>
                  <w:pPr>
                    <w:pStyle w:val="Compact"/>
                    <w:jc w:val="center"/>
                  </w:pPr>
                  <w:r>
                    <w:t xml:space="preserve">-3.94 (4.48)</w:t>
                  </w:r>
                </w:p>
              </w:tc>
              <w:tc>
                <w:tcPr/>
                <w:p>
                  <w:pPr>
                    <w:pStyle w:val="Compact"/>
                    <w:jc w:val="center"/>
                  </w:pPr>
                  <w:r>
                    <w:t xml:space="preserve">-4.07 (3.17)</w:t>
                  </w:r>
                </w:p>
              </w:tc>
              <w:tc>
                <w:tcPr/>
                <w:p>
                  <w:pPr>
                    <w:pStyle w:val="Compact"/>
                    <w:jc w:val="center"/>
                  </w:pPr>
                  <w:r>
                    <w:t xml:space="preserve">-2.92 (3.89)</w:t>
                  </w:r>
                </w:p>
              </w:tc>
            </w:tr>
            <w:tr>
              <w:tc>
                <w:tcPr/>
                <w:p>
                  <w:pPr>
                    <w:pStyle w:val="Compact"/>
                    <w:jc w:val="center"/>
                  </w:pPr>
                  <w:r>
                    <w:t xml:space="preserve">amortized</w:t>
                  </w:r>
                </w:p>
              </w:tc>
              <w:tc>
                <w:tcPr/>
                <w:p>
                  <w:pPr>
                    <w:pStyle w:val="Compact"/>
                    <w:jc w:val="center"/>
                  </w:pPr>
                  <w:r>
                    <w:t xml:space="preserve">RUV</w:t>
                  </w:r>
                </w:p>
              </w:tc>
              <w:tc>
                <w:tcPr/>
                <w:p>
                  <w:pPr>
                    <w:pStyle w:val="Compact"/>
                    <w:jc w:val="center"/>
                  </w:pPr>
                  <m:oMath>
                    <m:r>
                      <m:t>σ</m:t>
                    </m:r>
                  </m:oMath>
                </w:p>
              </w:tc>
              <w:tc>
                <w:tcPr/>
                <w:p>
                  <w:pPr>
                    <w:pStyle w:val="Compact"/>
                    <w:jc w:val="center"/>
                  </w:pPr>
                  <w:r>
                    <w:t xml:space="preserve">15.3 (6.29)</w:t>
                  </w:r>
                </w:p>
              </w:tc>
              <w:tc>
                <w:tcPr/>
                <w:p>
                  <w:pPr>
                    <w:pStyle w:val="Compact"/>
                    <w:jc w:val="center"/>
                  </w:pPr>
                  <w:r>
                    <w:t xml:space="preserve">0.315 (2.85)</w:t>
                  </w:r>
                </w:p>
              </w:tc>
              <w:tc>
                <w:tcPr/>
                <w:p>
                  <w:pPr>
                    <w:pStyle w:val="Compact"/>
                    <w:jc w:val="center"/>
                  </w:pPr>
                  <w:r>
                    <w:t xml:space="preserve">-1.21 (3.72)</w:t>
                  </w:r>
                </w:p>
              </w:tc>
            </w:tr>
            <w:tr>
              <w:tc>
                <w:tcPr/>
                <w:p>
                  <w:pPr>
                    <w:pStyle w:val="Compact"/>
                    <w:jc w:val="center"/>
                  </w:pPr>
                  <w:r>
                    <w:t xml:space="preserve">amortized</w:t>
                  </w:r>
                </w:p>
              </w:tc>
              <w:tc>
                <w:tcPr/>
                <w:p>
                  <w:pPr>
                    <w:pStyle w:val="Compact"/>
                    <w:jc w:val="center"/>
                  </w:pPr>
                  <w:r>
                    <w:t xml:space="preserve">BSV</w:t>
                  </w:r>
                </w:p>
              </w:tc>
              <w:tc>
                <w:tcPr/>
                <w:p>
                  <w:pPr>
                    <w:pStyle w:val="Compact"/>
                    <w:jc w:val="center"/>
                  </w:pPr>
                  <m:oMath>
                    <m:sSub>
                      <m:e>
                        <m:r>
                          <m:t>ω</m:t>
                        </m:r>
                      </m:e>
                      <m:sub>
                        <m:r>
                          <m:t>C</m:t>
                        </m:r>
                        <m:r>
                          <m:t>L</m:t>
                        </m:r>
                      </m:sub>
                    </m:sSub>
                  </m:oMath>
                </w:p>
              </w:tc>
              <w:tc>
                <w:tcPr/>
                <w:p>
                  <w:pPr>
                    <w:pStyle w:val="Compact"/>
                    <w:jc w:val="center"/>
                  </w:pPr>
                  <w:r>
                    <w:t xml:space="preserve">-0.712 (5.91)</w:t>
                  </w:r>
                </w:p>
              </w:tc>
              <w:tc>
                <w:tcPr/>
                <w:p>
                  <w:pPr>
                    <w:pStyle w:val="Compact"/>
                    <w:jc w:val="center"/>
                  </w:pPr>
                  <w:r>
                    <w:t xml:space="preserve">0.17 (7.51)</w:t>
                  </w:r>
                </w:p>
              </w:tc>
              <w:tc>
                <w:tcPr/>
                <w:p>
                  <w:pPr>
                    <w:pStyle w:val="Compact"/>
                    <w:jc w:val="center"/>
                  </w:pPr>
                  <w:r>
                    <w:t xml:space="preserve">-0.329 (7.05)</w:t>
                  </w:r>
                </w:p>
              </w:tc>
            </w:tr>
            <w:tr>
              <w:tc>
                <w:tcPr/>
                <w:p>
                  <w:pPr>
                    <w:pStyle w:val="Compact"/>
                    <w:jc w:val="center"/>
                  </w:pPr>
                  <w:r>
                    <w:t xml:space="preserve">amortized</w:t>
                  </w:r>
                </w:p>
              </w:tc>
              <w:tc>
                <w:tcPr/>
                <w:p>
                  <w:pPr>
                    <w:pStyle w:val="Compact"/>
                    <w:jc w:val="center"/>
                  </w:pPr>
                  <w:r>
                    <w:t xml:space="preserve">BSV</w:t>
                  </w:r>
                </w:p>
              </w:tc>
              <w:tc>
                <w:tcPr/>
                <w:p>
                  <w:pPr>
                    <w:pStyle w:val="Compact"/>
                    <w:jc w:val="center"/>
                  </w:pPr>
                  <m:oMath>
                    <m:sSub>
                      <m:e>
                        <m:r>
                          <m:t>ω</m:t>
                        </m:r>
                      </m:e>
                      <m:sub>
                        <m:r>
                          <m:t>V</m:t>
                        </m:r>
                      </m:sub>
                    </m:sSub>
                  </m:oMath>
                </w:p>
              </w:tc>
              <w:tc>
                <w:tcPr/>
                <w:p>
                  <w:pPr>
                    <w:pStyle w:val="Compact"/>
                    <w:jc w:val="center"/>
                  </w:pPr>
                  <w:r>
                    <w:t xml:space="preserve">-47.8 (39.6)</w:t>
                  </w:r>
                </w:p>
              </w:tc>
              <w:tc>
                <w:tcPr/>
                <w:p>
                  <w:pPr>
                    <w:pStyle w:val="Compact"/>
                    <w:jc w:val="center"/>
                  </w:pPr>
                  <w:r>
                    <w:t xml:space="preserve">-16.5 (14.1)</w:t>
                  </w:r>
                </w:p>
              </w:tc>
              <w:tc>
                <w:tcPr/>
                <w:p>
                  <w:pPr>
                    <w:pStyle w:val="Compact"/>
                    <w:jc w:val="center"/>
                  </w:pPr>
                  <w:r>
                    <w:t xml:space="preserve">-9.67 (13.4)</w:t>
                  </w:r>
                </w:p>
              </w:tc>
            </w:tr>
            <w:tr>
              <w:tc>
                <w:tcPr/>
                <w:p>
                  <w:pPr>
                    <w:pStyle w:val="Compact"/>
                    <w:jc w:val="center"/>
                  </w:pPr>
                  <w:r>
                    <w:t xml:space="preserve">amortized</w:t>
                  </w:r>
                </w:p>
              </w:tc>
              <w:tc>
                <w:tcPr/>
                <w:p>
                  <w:pPr>
                    <w:pStyle w:val="Compact"/>
                    <w:jc w:val="center"/>
                  </w:pPr>
                  <w:r>
                    <w:t xml:space="preserve">BSV</w:t>
                  </w:r>
                </w:p>
              </w:tc>
              <w:tc>
                <w:tcPr/>
                <w:p>
                  <w:pPr>
                    <w:pStyle w:val="Compact"/>
                    <w:jc w:val="center"/>
                  </w:pPr>
                  <m:oMath>
                    <m:sSub>
                      <m:e>
                        <m:r>
                          <m:t>ω</m:t>
                        </m:r>
                      </m:e>
                      <m:sub>
                        <m:sSub>
                          <m:e>
                            <m:r>
                              <m:t>k</m:t>
                            </m:r>
                          </m:e>
                          <m:sub>
                            <m:r>
                              <m:t>a</m:t>
                            </m:r>
                          </m:sub>
                        </m:sSub>
                      </m:sub>
                    </m:sSub>
                  </m:oMath>
                </w:p>
              </w:tc>
              <w:tc>
                <w:tcPr/>
                <w:p>
                  <w:pPr>
                    <w:pStyle w:val="Compact"/>
                    <w:jc w:val="center"/>
                  </w:pPr>
                  <w:r>
                    <w:t xml:space="preserve">-13.5 (35.8)</w:t>
                  </w:r>
                </w:p>
              </w:tc>
              <w:tc>
                <w:tcPr/>
                <w:p>
                  <w:pPr>
                    <w:pStyle w:val="Compact"/>
                    <w:jc w:val="center"/>
                  </w:pPr>
                  <w:r>
                    <w:t xml:space="preserve">-5.79 (16.9)</w:t>
                  </w:r>
                </w:p>
              </w:tc>
              <w:tc>
                <w:tcPr/>
                <w:p>
                  <w:pPr>
                    <w:pStyle w:val="Compact"/>
                    <w:jc w:val="center"/>
                  </w:pPr>
                  <w:r>
                    <w:t xml:space="preserve">-2.61 (13.7)</w:t>
                  </w:r>
                </w:p>
              </w:tc>
            </w:tr>
            <w:tr>
              <w:tc>
                <w:tcPr/>
                <w:p>
                  <w:pPr>
                    <w:pStyle w:val="Compact"/>
                    <w:jc w:val="center"/>
                  </w:pPr>
                  <w:r>
                    <w:t xml:space="preserve">free</w:t>
                  </w:r>
                </w:p>
              </w:tc>
              <w:tc>
                <w:tcPr/>
                <w:p>
                  <w:pPr>
                    <w:pStyle w:val="Compact"/>
                    <w:jc w:val="center"/>
                  </w:pPr>
                  <w:r>
                    <w:t xml:space="preserve">Fixed effect</w:t>
                  </w:r>
                </w:p>
              </w:tc>
              <w:tc>
                <w:tcPr/>
                <w:p>
                  <w:pPr>
                    <w:pStyle w:val="Compact"/>
                    <w:jc w:val="center"/>
                  </w:pPr>
                  <m:oMath>
                    <m:r>
                      <m:t>C</m:t>
                    </m:r>
                    <m:r>
                      <m:t>L</m:t>
                    </m:r>
                  </m:oMath>
                </w:p>
              </w:tc>
              <w:tc>
                <w:tcPr/>
                <w:p>
                  <w:pPr>
                    <w:pStyle w:val="Compact"/>
                    <w:jc w:val="center"/>
                  </w:pPr>
                  <w:r>
                    <w:t xml:space="preserve">0.524 (3.45)</w:t>
                  </w:r>
                </w:p>
              </w:tc>
              <w:tc>
                <w:tcPr/>
                <w:p>
                  <w:pPr>
                    <w:pStyle w:val="Compact"/>
                    <w:jc w:val="center"/>
                  </w:pPr>
                  <w:r>
                    <w:t xml:space="preserve">1.28 (4.49)</w:t>
                  </w:r>
                </w:p>
              </w:tc>
              <w:tc>
                <w:tcPr/>
                <w:p>
                  <w:pPr>
                    <w:pStyle w:val="Compact"/>
                    <w:jc w:val="center"/>
                  </w:pPr>
                  <w:r>
                    <w:t xml:space="preserve">0.198 (3.44)</w:t>
                  </w:r>
                </w:p>
              </w:tc>
            </w:tr>
            <w:tr>
              <w:tc>
                <w:tcPr/>
                <w:p>
                  <w:pPr>
                    <w:pStyle w:val="Compact"/>
                    <w:jc w:val="center"/>
                  </w:pPr>
                  <w:r>
                    <w:t xml:space="preserve">free</w:t>
                  </w:r>
                </w:p>
              </w:tc>
              <w:tc>
                <w:tcPr/>
                <w:p>
                  <w:pPr>
                    <w:pStyle w:val="Compact"/>
                    <w:jc w:val="center"/>
                  </w:pPr>
                  <w:r>
                    <w:t xml:space="preserve">Fixed effect</w:t>
                  </w:r>
                </w:p>
              </w:tc>
              <w:tc>
                <w:tcPr/>
                <w:p>
                  <w:pPr>
                    <w:pStyle w:val="Compact"/>
                    <w:jc w:val="center"/>
                  </w:pPr>
                  <m:oMath>
                    <m:r>
                      <m:t>V</m:t>
                    </m:r>
                  </m:oMath>
                </w:p>
              </w:tc>
              <w:tc>
                <w:tcPr/>
                <w:p>
                  <w:pPr>
                    <w:pStyle w:val="Compact"/>
                    <w:jc w:val="center"/>
                  </w:pPr>
                  <w:r>
                    <w:t xml:space="preserve">-0.508 (3.69)</w:t>
                  </w:r>
                </w:p>
              </w:tc>
              <w:tc>
                <w:tcPr/>
                <w:p>
                  <w:pPr>
                    <w:pStyle w:val="Compact"/>
                    <w:jc w:val="center"/>
                  </w:pPr>
                  <w:r>
                    <w:t xml:space="preserve">-0.249 (2.66)</w:t>
                  </w:r>
                </w:p>
              </w:tc>
              <w:tc>
                <w:tcPr/>
                <w:p>
                  <w:pPr>
                    <w:pStyle w:val="Compact"/>
                    <w:jc w:val="center"/>
                  </w:pPr>
                  <w:r>
                    <w:t xml:space="preserve">-0.267 (2.71)</w:t>
                  </w:r>
                </w:p>
              </w:tc>
            </w:tr>
            <w:tr>
              <w:tc>
                <w:tcPr/>
                <w:p>
                  <w:pPr>
                    <w:pStyle w:val="Compact"/>
                    <w:jc w:val="center"/>
                  </w:pPr>
                  <w:r>
                    <w:t xml:space="preserve">free</w:t>
                  </w:r>
                </w:p>
              </w:tc>
              <w:tc>
                <w:tcPr/>
                <w:p>
                  <w:pPr>
                    <w:pStyle w:val="Compact"/>
                    <w:jc w:val="center"/>
                  </w:pPr>
                  <w:r>
                    <w:t xml:space="preserve">Fixed effect</w:t>
                  </w:r>
                </w:p>
              </w:tc>
              <w:tc>
                <w:tcPr/>
                <w:p>
                  <w:pPr>
                    <w:pStyle w:val="Compact"/>
                    <w:jc w:val="center"/>
                  </w:pPr>
                  <m:oMath>
                    <m:sSub>
                      <m:e>
                        <m:r>
                          <m:t>k</m:t>
                        </m:r>
                      </m:e>
                      <m:sub>
                        <m:r>
                          <m:t>a</m:t>
                        </m:r>
                      </m:sub>
                    </m:sSub>
                  </m:oMath>
                </w:p>
              </w:tc>
              <w:tc>
                <w:tcPr/>
                <w:p>
                  <w:pPr>
                    <w:pStyle w:val="Compact"/>
                    <w:jc w:val="center"/>
                  </w:pPr>
                  <w:r>
                    <w:t xml:space="preserve">-4.03 (5.3)</w:t>
                  </w:r>
                </w:p>
              </w:tc>
              <w:tc>
                <w:tcPr/>
                <w:p>
                  <w:pPr>
                    <w:pStyle w:val="Compact"/>
                    <w:jc w:val="center"/>
                  </w:pPr>
                  <w:r>
                    <w:t xml:space="preserve">-3.2 (3.43)</w:t>
                  </w:r>
                </w:p>
              </w:tc>
              <w:tc>
                <w:tcPr/>
                <w:p>
                  <w:pPr>
                    <w:pStyle w:val="Compact"/>
                    <w:jc w:val="center"/>
                  </w:pPr>
                  <w:r>
                    <w:t xml:space="preserve">-3.13 (3.15)</w:t>
                  </w:r>
                </w:p>
              </w:tc>
            </w:tr>
            <w:tr>
              <w:tc>
                <w:tcPr/>
                <w:p>
                  <w:pPr>
                    <w:pStyle w:val="Compact"/>
                    <w:jc w:val="center"/>
                  </w:pPr>
                  <w:r>
                    <w:t xml:space="preserve">free</w:t>
                  </w:r>
                </w:p>
              </w:tc>
              <w:tc>
                <w:tcPr/>
                <w:p>
                  <w:pPr>
                    <w:pStyle w:val="Compact"/>
                    <w:jc w:val="center"/>
                  </w:pPr>
                  <w:r>
                    <w:t xml:space="preserve">RUV</w:t>
                  </w:r>
                </w:p>
              </w:tc>
              <w:tc>
                <w:tcPr/>
                <w:p>
                  <w:pPr>
                    <w:pStyle w:val="Compact"/>
                    <w:jc w:val="center"/>
                  </w:pPr>
                  <m:oMath>
                    <m:r>
                      <m:t>σ</m:t>
                    </m:r>
                  </m:oMath>
                </w:p>
              </w:tc>
              <w:tc>
                <w:tcPr/>
                <w:p>
                  <w:pPr>
                    <w:pStyle w:val="Compact"/>
                    <w:jc w:val="center"/>
                  </w:pPr>
                  <w:r>
                    <w:t xml:space="preserve">9.92 (3.71)</w:t>
                  </w:r>
                </w:p>
              </w:tc>
              <w:tc>
                <w:tcPr/>
                <w:p>
                  <w:pPr>
                    <w:pStyle w:val="Compact"/>
                    <w:jc w:val="center"/>
                  </w:pPr>
                  <w:r>
                    <w:t xml:space="preserve">-0.099 (3.46)</w:t>
                  </w:r>
                </w:p>
              </w:tc>
              <w:tc>
                <w:tcPr/>
                <w:p>
                  <w:pPr>
                    <w:pStyle w:val="Compact"/>
                    <w:jc w:val="center"/>
                  </w:pPr>
                  <w:r>
                    <w:t xml:space="preserve">-1.15 (3.49)</w:t>
                  </w:r>
                </w:p>
              </w:tc>
            </w:tr>
            <w:tr>
              <w:tc>
                <w:tcPr/>
                <w:p>
                  <w:pPr>
                    <w:pStyle w:val="Compact"/>
                    <w:jc w:val="center"/>
                  </w:pPr>
                  <w:r>
                    <w:t xml:space="preserve">free</w:t>
                  </w:r>
                </w:p>
              </w:tc>
              <w:tc>
                <w:tcPr/>
                <w:p>
                  <w:pPr>
                    <w:pStyle w:val="Compact"/>
                    <w:jc w:val="center"/>
                  </w:pPr>
                  <w:r>
                    <w:t xml:space="preserve">BSV</w:t>
                  </w:r>
                </w:p>
              </w:tc>
              <w:tc>
                <w:tcPr/>
                <w:p>
                  <w:pPr>
                    <w:pStyle w:val="Compact"/>
                    <w:jc w:val="center"/>
                  </w:pPr>
                  <m:oMath>
                    <m:sSub>
                      <m:e>
                        <m:r>
                          <m:t>ω</m:t>
                        </m:r>
                      </m:e>
                      <m:sub>
                        <m:r>
                          <m:t>C</m:t>
                        </m:r>
                        <m:r>
                          <m:t>L</m:t>
                        </m:r>
                      </m:sub>
                    </m:sSub>
                  </m:oMath>
                </w:p>
              </w:tc>
              <w:tc>
                <w:tcPr/>
                <w:p>
                  <w:pPr>
                    <w:pStyle w:val="Compact"/>
                    <w:jc w:val="center"/>
                  </w:pPr>
                  <w:r>
                    <w:t xml:space="preserve">-1.67 (6.34)</w:t>
                  </w:r>
                </w:p>
              </w:tc>
              <w:tc>
                <w:tcPr/>
                <w:p>
                  <w:pPr>
                    <w:pStyle w:val="Compact"/>
                    <w:jc w:val="center"/>
                  </w:pPr>
                  <w:r>
                    <w:t xml:space="preserve">0.248 (7.49)</w:t>
                  </w:r>
                </w:p>
              </w:tc>
              <w:tc>
                <w:tcPr/>
                <w:p>
                  <w:pPr>
                    <w:pStyle w:val="Compact"/>
                    <w:jc w:val="center"/>
                  </w:pPr>
                  <w:r>
                    <w:t xml:space="preserve">0.415 (7.43)</w:t>
                  </w:r>
                </w:p>
              </w:tc>
            </w:tr>
            <w:tr>
              <w:tc>
                <w:tcPr/>
                <w:p>
                  <w:pPr>
                    <w:pStyle w:val="Compact"/>
                    <w:jc w:val="center"/>
                  </w:pPr>
                  <w:r>
                    <w:t xml:space="preserve">free</w:t>
                  </w:r>
                </w:p>
              </w:tc>
              <w:tc>
                <w:tcPr/>
                <w:p>
                  <w:pPr>
                    <w:pStyle w:val="Compact"/>
                    <w:jc w:val="center"/>
                  </w:pPr>
                  <w:r>
                    <w:t xml:space="preserve">BSV</w:t>
                  </w:r>
                </w:p>
              </w:tc>
              <w:tc>
                <w:tcPr/>
                <w:p>
                  <w:pPr>
                    <w:pStyle w:val="Compact"/>
                    <w:jc w:val="center"/>
                  </w:pPr>
                  <m:oMath>
                    <m:sSub>
                      <m:e>
                        <m:r>
                          <m:t>ω</m:t>
                        </m:r>
                      </m:e>
                      <m:sub>
                        <m:r>
                          <m:t>V</m:t>
                        </m:r>
                      </m:sub>
                    </m:sSub>
                  </m:oMath>
                </w:p>
              </w:tc>
              <w:tc>
                <w:tcPr/>
                <w:p>
                  <w:pPr>
                    <w:pStyle w:val="Compact"/>
                    <w:jc w:val="center"/>
                  </w:pPr>
                  <w:r>
                    <w:t xml:space="preserve">-47.4 (42)</w:t>
                  </w:r>
                </w:p>
              </w:tc>
              <w:tc>
                <w:tcPr/>
                <w:p>
                  <w:pPr>
                    <w:pStyle w:val="Compact"/>
                    <w:jc w:val="center"/>
                  </w:pPr>
                  <w:r>
                    <w:t xml:space="preserve">-16.4 (13.6)</w:t>
                  </w:r>
                </w:p>
              </w:tc>
              <w:tc>
                <w:tcPr/>
                <w:p>
                  <w:pPr>
                    <w:pStyle w:val="Compact"/>
                    <w:jc w:val="center"/>
                  </w:pPr>
                  <w:r>
                    <w:t xml:space="preserve">-9 (12.2)</w:t>
                  </w:r>
                </w:p>
              </w:tc>
            </w:tr>
            <w:tr>
              <w:tc>
                <w:tcPr/>
                <w:p>
                  <w:pPr>
                    <w:pStyle w:val="Compact"/>
                    <w:jc w:val="center"/>
                  </w:pPr>
                  <w:r>
                    <w:t xml:space="preserve">free</w:t>
                  </w:r>
                </w:p>
              </w:tc>
              <w:tc>
                <w:tcPr/>
                <w:p>
                  <w:pPr>
                    <w:pStyle w:val="Compact"/>
                    <w:jc w:val="center"/>
                  </w:pPr>
                  <w:r>
                    <w:t xml:space="preserve">BSV</w:t>
                  </w:r>
                </w:p>
              </w:tc>
              <w:tc>
                <w:tcPr/>
                <w:p>
                  <w:pPr>
                    <w:pStyle w:val="Compact"/>
                    <w:jc w:val="center"/>
                  </w:pPr>
                  <m:oMath>
                    <m:sSub>
                      <m:e>
                        <m:r>
                          <m:t>ω</m:t>
                        </m:r>
                      </m:e>
                      <m:sub>
                        <m:sSub>
                          <m:e>
                            <m:r>
                              <m:t>k</m:t>
                            </m:r>
                          </m:e>
                          <m:sub>
                            <m:r>
                              <m:t>a</m:t>
                            </m:r>
                          </m:sub>
                        </m:sSub>
                      </m:sub>
                    </m:sSub>
                  </m:oMath>
                </w:p>
              </w:tc>
              <w:tc>
                <w:tcPr/>
                <w:p>
                  <w:pPr>
                    <w:pStyle w:val="Compact"/>
                    <w:jc w:val="center"/>
                  </w:pPr>
                  <w:r>
                    <w:t xml:space="preserve">-8.91 (33.7)</w:t>
                  </w:r>
                </w:p>
              </w:tc>
              <w:tc>
                <w:tcPr/>
                <w:p>
                  <w:pPr>
                    <w:pStyle w:val="Compact"/>
                    <w:jc w:val="center"/>
                  </w:pPr>
                  <w:r>
                    <w:t xml:space="preserve">-6.75 (16.4)</w:t>
                  </w:r>
                </w:p>
              </w:tc>
              <w:tc>
                <w:tcPr/>
                <w:p>
                  <w:pPr>
                    <w:pStyle w:val="Compact"/>
                    <w:jc w:val="center"/>
                  </w:pPr>
                  <w:r>
                    <w:t xml:space="preserve">-2.03 (12.1)</w:t>
                  </w:r>
                </w:p>
              </w:tc>
            </w:tr>
          </w:tbl>
          <w:p>
            <w:pPr>
              <w:jc w:val="center"/>
            </w:pPr>
            <w:pPr>
              <w:jc w:val="left"/>
              <w:spacing w:before="200"/>
              <w:pStyle w:val="ImageCaption"/>
            </w:pPr>
            <w:r>
              <w:t xml:space="preserve">Table S1: Values are mean relative bias (%) with the standard deviation across replicates in parentheses. BSV, between-subject variability; RUV, residual unexplained variability. BSV parameters (</w:t>
            </w:r>
            <m:oMath>
              <m:r>
                <m:t>ω</m:t>
              </m:r>
            </m:oMath>
            <w:r>
              <w:t xml:space="preserve">) are reported as standard deviations.</w:t>
            </w:r>
          </w:p>
          <w:bookmarkEnd w:id="9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0" w:name="supptbl-phase1-dense"/>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Posterior</w:t>
                  </w:r>
                </w:p>
              </w:tc>
              <w:tc>
                <w:tcPr/>
                <w:p>
                  <w:pPr>
                    <w:pStyle w:val="Compact"/>
                    <w:jc w:val="center"/>
                  </w:pPr>
                  <w:r>
                    <w:t xml:space="preserve">Variational family</w:t>
                  </w:r>
                </w:p>
              </w:tc>
              <w:tc>
                <w:tcPr/>
                <w:p>
                  <w:pPr>
                    <w:pStyle w:val="Compact"/>
                    <w:jc w:val="center"/>
                  </w:pPr>
                  <w:r>
                    <w:t xml:space="preserve">Parameter type</w:t>
                  </w:r>
                </w:p>
              </w:tc>
              <w:tc>
                <w:tcPr/>
                <w:p>
                  <w:pPr>
                    <w:pStyle w:val="Compact"/>
                    <w:jc w:val="center"/>
                  </w:pPr>
                  <w:r>
                    <w:t xml:space="preserve">Parameter</w:t>
                  </w:r>
                </w:p>
              </w:tc>
              <w:tc>
                <w:tcPr/>
                <w:p>
                  <w:pPr>
                    <w:pStyle w:val="Compact"/>
                    <w:jc w:val="center"/>
                  </w:pPr>
                  <m:oMath>
                    <m:r>
                      <m:t>K</m:t>
                    </m:r>
                    <m:r>
                      <m:rPr>
                        <m:sty m:val="p"/>
                      </m:rPr>
                      <m:t>=</m:t>
                    </m:r>
                    <m:r>
                      <m:t>1</m:t>
                    </m:r>
                  </m:oMath>
                </w:p>
              </w:tc>
              <w:tc>
                <w:tcPr/>
                <w:p>
                  <w:pPr>
                    <w:pStyle w:val="Compact"/>
                    <w:jc w:val="center"/>
                  </w:pPr>
                  <m:oMath>
                    <m:r>
                      <m:t>K</m:t>
                    </m:r>
                    <m:r>
                      <m:rPr>
                        <m:sty m:val="p"/>
                      </m:rPr>
                      <m:t>=</m:t>
                    </m:r>
                    <m:r>
                      <m:t>8</m:t>
                    </m:r>
                  </m:oMath>
                </w:p>
              </w:tc>
              <w:tc>
                <w:tcPr/>
                <w:p>
                  <w:pPr>
                    <w:pStyle w:val="Compact"/>
                    <w:jc w:val="center"/>
                  </w:pPr>
                  <m:oMath>
                    <m:r>
                      <m:t>K</m:t>
                    </m:r>
                    <m:r>
                      <m:rPr>
                        <m:sty m:val="p"/>
                      </m:rPr>
                      <m:t>=</m:t>
                    </m:r>
                    <m:r>
                      <m:t>64</m:t>
                    </m:r>
                  </m:oMath>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Fixed effect</w:t>
                  </w:r>
                </w:p>
              </w:tc>
              <w:tc>
                <w:tcPr/>
                <w:p>
                  <w:pPr>
                    <w:pStyle w:val="Compact"/>
                    <w:jc w:val="center"/>
                  </w:pPr>
                  <m:oMath>
                    <m:r>
                      <m:t>C</m:t>
                    </m:r>
                    <m:r>
                      <m:t>L</m:t>
                    </m:r>
                  </m:oMath>
                </w:p>
              </w:tc>
              <w:tc>
                <w:tcPr/>
                <w:p>
                  <w:pPr>
                    <w:pStyle w:val="Compact"/>
                    <w:jc w:val="center"/>
                  </w:pPr>
                  <w:r>
                    <w:t xml:space="preserve">0.171 (2.81)</w:t>
                  </w:r>
                </w:p>
              </w:tc>
              <w:tc>
                <w:tcPr/>
                <w:p>
                  <w:pPr>
                    <w:pStyle w:val="Compact"/>
                    <w:jc w:val="center"/>
                  </w:pPr>
                  <w:r>
                    <w:t xml:space="preserve">0.237 (2.52)</w:t>
                  </w:r>
                </w:p>
              </w:tc>
              <w:tc>
                <w:tcPr/>
                <w:p>
                  <w:pPr>
                    <w:pStyle w:val="Compact"/>
                    <w:jc w:val="center"/>
                  </w:pPr>
                  <w:r>
                    <w:t xml:space="preserve">-0.266 (2.55)</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Fixed effect</w:t>
                  </w:r>
                </w:p>
              </w:tc>
              <w:tc>
                <w:tcPr/>
                <w:p>
                  <w:pPr>
                    <w:pStyle w:val="Compact"/>
                    <w:jc w:val="center"/>
                  </w:pPr>
                  <m:oMath>
                    <m:r>
                      <m:t>V</m:t>
                    </m:r>
                  </m:oMath>
                </w:p>
              </w:tc>
              <w:tc>
                <w:tcPr/>
                <w:p>
                  <w:pPr>
                    <w:pStyle w:val="Compact"/>
                    <w:jc w:val="center"/>
                  </w:pPr>
                  <w:r>
                    <w:t xml:space="preserve">0.755 (2.15)</w:t>
                  </w:r>
                </w:p>
              </w:tc>
              <w:tc>
                <w:tcPr/>
                <w:p>
                  <w:pPr>
                    <w:pStyle w:val="Compact"/>
                    <w:jc w:val="center"/>
                  </w:pPr>
                  <w:r>
                    <w:t xml:space="preserve">-0.0364 (2.32)</w:t>
                  </w:r>
                </w:p>
              </w:tc>
              <w:tc>
                <w:tcPr/>
                <w:p>
                  <w:pPr>
                    <w:pStyle w:val="Compact"/>
                    <w:jc w:val="center"/>
                  </w:pPr>
                  <w:r>
                    <w:t xml:space="preserve">-0.111 (2.24)</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Fixed effect</w:t>
                  </w:r>
                </w:p>
              </w:tc>
              <w:tc>
                <w:tcPr/>
                <w:p>
                  <w:pPr>
                    <w:pStyle w:val="Compact"/>
                    <w:jc w:val="center"/>
                  </w:pPr>
                  <m:oMath>
                    <m:sSub>
                      <m:e>
                        <m:r>
                          <m:t>k</m:t>
                        </m:r>
                      </m:e>
                      <m:sub>
                        <m:r>
                          <m:t>a</m:t>
                        </m:r>
                      </m:sub>
                    </m:sSub>
                  </m:oMath>
                </w:p>
              </w:tc>
              <w:tc>
                <w:tcPr/>
                <w:p>
                  <w:pPr>
                    <w:pStyle w:val="Compact"/>
                    <w:jc w:val="center"/>
                  </w:pPr>
                  <w:r>
                    <w:t xml:space="preserve">1.34 (4.65)</w:t>
                  </w:r>
                </w:p>
              </w:tc>
              <w:tc>
                <w:tcPr/>
                <w:p>
                  <w:pPr>
                    <w:pStyle w:val="Compact"/>
                    <w:jc w:val="center"/>
                  </w:pPr>
                  <w:r>
                    <w:t xml:space="preserve">0.34 (4.44)</w:t>
                  </w:r>
                </w:p>
              </w:tc>
              <w:tc>
                <w:tcPr/>
                <w:p>
                  <w:pPr>
                    <w:pStyle w:val="Compact"/>
                    <w:jc w:val="center"/>
                  </w:pPr>
                  <w:r>
                    <w:t xml:space="preserve">0.864 (4.28)</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RUV</w:t>
                  </w:r>
                </w:p>
              </w:tc>
              <w:tc>
                <w:tcPr/>
                <w:p>
                  <w:pPr>
                    <w:pStyle w:val="Compact"/>
                    <w:jc w:val="center"/>
                  </w:pPr>
                  <m:oMath>
                    <m:r>
                      <m:t>σ</m:t>
                    </m:r>
                  </m:oMath>
                </w:p>
              </w:tc>
              <w:tc>
                <w:tcPr/>
                <w:p>
                  <w:pPr>
                    <w:pStyle w:val="Compact"/>
                    <w:jc w:val="center"/>
                  </w:pPr>
                  <w:r>
                    <w:t xml:space="preserve">14.9 (8.2)</w:t>
                  </w:r>
                </w:p>
              </w:tc>
              <w:tc>
                <w:tcPr/>
                <w:p>
                  <w:pPr>
                    <w:pStyle w:val="Compact"/>
                    <w:jc w:val="center"/>
                  </w:pPr>
                  <w:r>
                    <w:t xml:space="preserve">0.789 (3.8)</w:t>
                  </w:r>
                </w:p>
              </w:tc>
              <w:tc>
                <w:tcPr/>
                <w:p>
                  <w:pPr>
                    <w:pStyle w:val="Compact"/>
                    <w:jc w:val="center"/>
                  </w:pPr>
                  <w:r>
                    <w:t xml:space="preserve">-0.32 (3.81)</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BSV</w:t>
                  </w:r>
                </w:p>
              </w:tc>
              <w:tc>
                <w:tcPr/>
                <w:p>
                  <w:pPr>
                    <w:pStyle w:val="Compact"/>
                    <w:jc w:val="center"/>
                  </w:pPr>
                  <m:oMath>
                    <m:sSub>
                      <m:e>
                        <m:r>
                          <m:t>ω</m:t>
                        </m:r>
                      </m:e>
                      <m:sub>
                        <m:r>
                          <m:t>C</m:t>
                        </m:r>
                        <m:r>
                          <m:t>L</m:t>
                        </m:r>
                      </m:sub>
                    </m:sSub>
                  </m:oMath>
                </w:p>
              </w:tc>
              <w:tc>
                <w:tcPr/>
                <w:p>
                  <w:pPr>
                    <w:pStyle w:val="Compact"/>
                    <w:jc w:val="center"/>
                  </w:pPr>
                  <w:r>
                    <w:t xml:space="preserve">-2.14 (7.93)</w:t>
                  </w:r>
                </w:p>
              </w:tc>
              <w:tc>
                <w:tcPr/>
                <w:p>
                  <w:pPr>
                    <w:pStyle w:val="Compact"/>
                    <w:jc w:val="center"/>
                  </w:pPr>
                  <w:r>
                    <w:t xml:space="preserve">-0.303 (6.76)</w:t>
                  </w:r>
                </w:p>
              </w:tc>
              <w:tc>
                <w:tcPr/>
                <w:p>
                  <w:pPr>
                    <w:pStyle w:val="Compact"/>
                    <w:jc w:val="center"/>
                  </w:pPr>
                  <w:r>
                    <w:t xml:space="preserve">-0.102 (7.11)</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BSV</w:t>
                  </w:r>
                </w:p>
              </w:tc>
              <w:tc>
                <w:tcPr/>
                <w:p>
                  <w:pPr>
                    <w:pStyle w:val="Compact"/>
                    <w:jc w:val="center"/>
                  </w:pPr>
                  <m:oMath>
                    <m:sSub>
                      <m:e>
                        <m:r>
                          <m:t>ω</m:t>
                        </m:r>
                      </m:e>
                      <m:sub>
                        <m:r>
                          <m:t>V</m:t>
                        </m:r>
                      </m:sub>
                    </m:sSub>
                  </m:oMath>
                </w:p>
              </w:tc>
              <w:tc>
                <w:tcPr/>
                <w:p>
                  <w:pPr>
                    <w:pStyle w:val="Compact"/>
                    <w:jc w:val="center"/>
                  </w:pPr>
                  <w:r>
                    <w:t xml:space="preserve">-25.6 (29.3)</w:t>
                  </w:r>
                </w:p>
              </w:tc>
              <w:tc>
                <w:tcPr/>
                <w:p>
                  <w:pPr>
                    <w:pStyle w:val="Compact"/>
                    <w:jc w:val="center"/>
                  </w:pPr>
                  <w:r>
                    <w:t xml:space="preserve">-6 (12.1)</w:t>
                  </w:r>
                </w:p>
              </w:tc>
              <w:tc>
                <w:tcPr/>
                <w:p>
                  <w:pPr>
                    <w:pStyle w:val="Compact"/>
                    <w:jc w:val="center"/>
                  </w:pPr>
                  <w:r>
                    <w:t xml:space="preserve">-1.86 (10.4)</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BSV</w:t>
                  </w:r>
                </w:p>
              </w:tc>
              <w:tc>
                <w:tcPr/>
                <w:p>
                  <w:pPr>
                    <w:pStyle w:val="Compact"/>
                    <w:jc w:val="center"/>
                  </w:pPr>
                  <m:oMath>
                    <m:sSub>
                      <m:e>
                        <m:r>
                          <m:t>ω</m:t>
                        </m:r>
                      </m:e>
                      <m:sub>
                        <m:sSub>
                          <m:e>
                            <m:r>
                              <m:t>k</m:t>
                            </m:r>
                          </m:e>
                          <m:sub>
                            <m:r>
                              <m:t>a</m:t>
                            </m:r>
                          </m:sub>
                        </m:sSub>
                      </m:sub>
                    </m:sSub>
                  </m:oMath>
                </w:p>
              </w:tc>
              <w:tc>
                <w:tcPr/>
                <w:p>
                  <w:pPr>
                    <w:pStyle w:val="Compact"/>
                    <w:jc w:val="center"/>
                  </w:pPr>
                  <w:r>
                    <w:t xml:space="preserve">-17.3 (21.7)</w:t>
                  </w:r>
                </w:p>
              </w:tc>
              <w:tc>
                <w:tcPr/>
                <w:p>
                  <w:pPr>
                    <w:pStyle w:val="Compact"/>
                    <w:jc w:val="center"/>
                  </w:pPr>
                  <w:r>
                    <w:t xml:space="preserve">-6.11 (9.63)</w:t>
                  </w:r>
                </w:p>
              </w:tc>
              <w:tc>
                <w:tcPr/>
                <w:p>
                  <w:pPr>
                    <w:pStyle w:val="Compact"/>
                    <w:jc w:val="center"/>
                  </w:pPr>
                  <w:r>
                    <w:t xml:space="preserve">-2 (8.26)</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Fixed effect</w:t>
                  </w:r>
                </w:p>
              </w:tc>
              <w:tc>
                <w:tcPr/>
                <w:p>
                  <w:pPr>
                    <w:pStyle w:val="Compact"/>
                    <w:jc w:val="center"/>
                  </w:pPr>
                  <m:oMath>
                    <m:r>
                      <m:t>C</m:t>
                    </m:r>
                    <m:r>
                      <m:t>L</m:t>
                    </m:r>
                  </m:oMath>
                </w:p>
              </w:tc>
              <w:tc>
                <w:tcPr/>
                <w:p>
                  <w:pPr>
                    <w:pStyle w:val="Compact"/>
                    <w:jc w:val="center"/>
                  </w:pPr>
                  <w:r>
                    <w:t xml:space="preserve">-0.535 (3.04)</w:t>
                  </w:r>
                </w:p>
              </w:tc>
              <w:tc>
                <w:tcPr/>
                <w:p>
                  <w:pPr>
                    <w:pStyle w:val="Compact"/>
                    <w:jc w:val="center"/>
                  </w:pPr>
                  <w:r>
                    <w:t xml:space="preserve">-0.0883 (2.44)</w:t>
                  </w:r>
                </w:p>
              </w:tc>
              <w:tc>
                <w:tcPr/>
                <w:p>
                  <w:pPr>
                    <w:pStyle w:val="Compact"/>
                    <w:jc w:val="center"/>
                  </w:pPr>
                  <w:r>
                    <w:t xml:space="preserve">-0.524 (2.48)</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Fixed effect</w:t>
                  </w:r>
                </w:p>
              </w:tc>
              <w:tc>
                <w:tcPr/>
                <w:p>
                  <w:pPr>
                    <w:pStyle w:val="Compact"/>
                    <w:jc w:val="center"/>
                  </w:pPr>
                  <m:oMath>
                    <m:r>
                      <m:t>V</m:t>
                    </m:r>
                  </m:oMath>
                </w:p>
              </w:tc>
              <w:tc>
                <w:tcPr/>
                <w:p>
                  <w:pPr>
                    <w:pStyle w:val="Compact"/>
                    <w:jc w:val="center"/>
                  </w:pPr>
                  <w:r>
                    <w:t xml:space="preserve">0.311 (2.27)</w:t>
                  </w:r>
                </w:p>
              </w:tc>
              <w:tc>
                <w:tcPr/>
                <w:p>
                  <w:pPr>
                    <w:pStyle w:val="Compact"/>
                    <w:jc w:val="center"/>
                  </w:pPr>
                  <w:r>
                    <w:t xml:space="preserve">0.0194 (2.28)</w:t>
                  </w:r>
                </w:p>
              </w:tc>
              <w:tc>
                <w:tcPr/>
                <w:p>
                  <w:pPr>
                    <w:pStyle w:val="Compact"/>
                    <w:jc w:val="center"/>
                  </w:pPr>
                  <w:r>
                    <w:t xml:space="preserve">-0.201 (2.5)</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Fixed effect</w:t>
                  </w:r>
                </w:p>
              </w:tc>
              <w:tc>
                <w:tcPr/>
                <w:p>
                  <w:pPr>
                    <w:pStyle w:val="Compact"/>
                    <w:jc w:val="center"/>
                  </w:pPr>
                  <m:oMath>
                    <m:sSub>
                      <m:e>
                        <m:r>
                          <m:t>k</m:t>
                        </m:r>
                      </m:e>
                      <m:sub>
                        <m:r>
                          <m:t>a</m:t>
                        </m:r>
                      </m:sub>
                    </m:sSub>
                  </m:oMath>
                </w:p>
              </w:tc>
              <w:tc>
                <w:tcPr/>
                <w:p>
                  <w:pPr>
                    <w:pStyle w:val="Compact"/>
                    <w:jc w:val="center"/>
                  </w:pPr>
                  <w:r>
                    <w:t xml:space="preserve">0.149 (4.16)</w:t>
                  </w:r>
                </w:p>
              </w:tc>
              <w:tc>
                <w:tcPr/>
                <w:p>
                  <w:pPr>
                    <w:pStyle w:val="Compact"/>
                    <w:jc w:val="center"/>
                  </w:pPr>
                  <w:r>
                    <w:t xml:space="preserve">0.101 (4.06)</w:t>
                  </w:r>
                </w:p>
              </w:tc>
              <w:tc>
                <w:tcPr/>
                <w:p>
                  <w:pPr>
                    <w:pStyle w:val="Compact"/>
                    <w:jc w:val="center"/>
                  </w:pPr>
                  <w:r>
                    <w:t xml:space="preserve">0.904 (4.39)</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RUV</w:t>
                  </w:r>
                </w:p>
              </w:tc>
              <w:tc>
                <w:tcPr/>
                <w:p>
                  <w:pPr>
                    <w:pStyle w:val="Compact"/>
                    <w:jc w:val="center"/>
                  </w:pPr>
                  <m:oMath>
                    <m:r>
                      <m:t>σ</m:t>
                    </m:r>
                  </m:oMath>
                </w:p>
              </w:tc>
              <w:tc>
                <w:tcPr/>
                <w:p>
                  <w:pPr>
                    <w:pStyle w:val="Compact"/>
                    <w:jc w:val="center"/>
                  </w:pPr>
                  <w:r>
                    <w:t xml:space="preserve">0.956 (3.31)</w:t>
                  </w:r>
                </w:p>
              </w:tc>
              <w:tc>
                <w:tcPr/>
                <w:p>
                  <w:pPr>
                    <w:pStyle w:val="Compact"/>
                    <w:jc w:val="center"/>
                  </w:pPr>
                  <w:r>
                    <w:t xml:space="preserve">0.114 (4.09)</w:t>
                  </w:r>
                </w:p>
              </w:tc>
              <w:tc>
                <w:tcPr/>
                <w:p>
                  <w:pPr>
                    <w:pStyle w:val="Compact"/>
                    <w:jc w:val="center"/>
                  </w:pPr>
                  <w:r>
                    <w:t xml:space="preserve">-0.282 (3.8)</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BSV</w:t>
                  </w:r>
                </w:p>
              </w:tc>
              <w:tc>
                <w:tcPr/>
                <w:p>
                  <w:pPr>
                    <w:pStyle w:val="Compact"/>
                    <w:jc w:val="center"/>
                  </w:pPr>
                  <m:oMath>
                    <m:sSub>
                      <m:e>
                        <m:r>
                          <m:t>ω</m:t>
                        </m:r>
                      </m:e>
                      <m:sub>
                        <m:r>
                          <m:t>C</m:t>
                        </m:r>
                        <m:r>
                          <m:t>L</m:t>
                        </m:r>
                      </m:sub>
                    </m:sSub>
                  </m:oMath>
                </w:p>
              </w:tc>
              <w:tc>
                <w:tcPr/>
                <w:p>
                  <w:pPr>
                    <w:pStyle w:val="Compact"/>
                    <w:jc w:val="center"/>
                  </w:pPr>
                  <w:r>
                    <w:t xml:space="preserve">-0.0845 (7.15)</w:t>
                  </w:r>
                </w:p>
              </w:tc>
              <w:tc>
                <w:tcPr/>
                <w:p>
                  <w:pPr>
                    <w:pStyle w:val="Compact"/>
                    <w:jc w:val="center"/>
                  </w:pPr>
                  <w:r>
                    <w:t xml:space="preserve">-0.0688 (7.35)</w:t>
                  </w:r>
                </w:p>
              </w:tc>
              <w:tc>
                <w:tcPr/>
                <w:p>
                  <w:pPr>
                    <w:pStyle w:val="Compact"/>
                    <w:jc w:val="center"/>
                  </w:pPr>
                  <w:r>
                    <w:t xml:space="preserve">0.165 (6.99)</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BSV</w:t>
                  </w:r>
                </w:p>
              </w:tc>
              <w:tc>
                <w:tcPr/>
                <w:p>
                  <w:pPr>
                    <w:pStyle w:val="Compact"/>
                    <w:jc w:val="center"/>
                  </w:pPr>
                  <m:oMath>
                    <m:sSub>
                      <m:e>
                        <m:r>
                          <m:t>ω</m:t>
                        </m:r>
                      </m:e>
                      <m:sub>
                        <m:r>
                          <m:t>V</m:t>
                        </m:r>
                      </m:sub>
                    </m:sSub>
                  </m:oMath>
                </w:p>
              </w:tc>
              <w:tc>
                <w:tcPr/>
                <w:p>
                  <w:pPr>
                    <w:pStyle w:val="Compact"/>
                    <w:jc w:val="center"/>
                  </w:pPr>
                  <w:r>
                    <w:t xml:space="preserve">-1.02 (10.1)</w:t>
                  </w:r>
                </w:p>
              </w:tc>
              <w:tc>
                <w:tcPr/>
                <w:p>
                  <w:pPr>
                    <w:pStyle w:val="Compact"/>
                    <w:jc w:val="center"/>
                  </w:pPr>
                  <w:r>
                    <w:t xml:space="preserve">-1.21 (10.3)</w:t>
                  </w:r>
                </w:p>
              </w:tc>
              <w:tc>
                <w:tcPr/>
                <w:p>
                  <w:pPr>
                    <w:pStyle w:val="Compact"/>
                    <w:jc w:val="center"/>
                  </w:pPr>
                  <w:r>
                    <w:t xml:space="preserve">-0.58 (10.6)</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BSV</w:t>
                  </w:r>
                </w:p>
              </w:tc>
              <w:tc>
                <w:tcPr/>
                <w:p>
                  <w:pPr>
                    <w:pStyle w:val="Compact"/>
                    <w:jc w:val="center"/>
                  </w:pPr>
                  <m:oMath>
                    <m:sSub>
                      <m:e>
                        <m:r>
                          <m:t>ω</m:t>
                        </m:r>
                      </m:e>
                      <m:sub>
                        <m:sSub>
                          <m:e>
                            <m:r>
                              <m:t>k</m:t>
                            </m:r>
                          </m:e>
                          <m:sub>
                            <m:r>
                              <m:t>a</m:t>
                            </m:r>
                          </m:sub>
                        </m:sSub>
                      </m:sub>
                    </m:sSub>
                  </m:oMath>
                </w:p>
              </w:tc>
              <w:tc>
                <w:tcPr/>
                <w:p>
                  <w:pPr>
                    <w:pStyle w:val="Compact"/>
                    <w:jc w:val="center"/>
                  </w:pPr>
                  <w:r>
                    <w:t xml:space="preserve">-3 (8.77)</w:t>
                  </w:r>
                </w:p>
              </w:tc>
              <w:tc>
                <w:tcPr/>
                <w:p>
                  <w:pPr>
                    <w:pStyle w:val="Compact"/>
                    <w:jc w:val="center"/>
                  </w:pPr>
                  <w:r>
                    <w:t xml:space="preserve">-1.52 (8.44)</w:t>
                  </w:r>
                </w:p>
              </w:tc>
              <w:tc>
                <w:tcPr/>
                <w:p>
                  <w:pPr>
                    <w:pStyle w:val="Compact"/>
                    <w:jc w:val="center"/>
                  </w:pPr>
                  <w:r>
                    <w:t xml:space="preserve">-0.791 (8.27)</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Fixed effect</w:t>
                  </w:r>
                </w:p>
              </w:tc>
              <w:tc>
                <w:tcPr/>
                <w:p>
                  <w:pPr>
                    <w:pStyle w:val="Compact"/>
                    <w:jc w:val="center"/>
                  </w:pPr>
                  <m:oMath>
                    <m:r>
                      <m:t>C</m:t>
                    </m:r>
                    <m:r>
                      <m:t>L</m:t>
                    </m:r>
                  </m:oMath>
                </w:p>
              </w:tc>
              <w:tc>
                <w:tcPr/>
                <w:p>
                  <w:pPr>
                    <w:pStyle w:val="Compact"/>
                    <w:jc w:val="center"/>
                  </w:pPr>
                  <w:r>
                    <w:t xml:space="preserve">0.133 (2.86)</w:t>
                  </w:r>
                </w:p>
              </w:tc>
              <w:tc>
                <w:tcPr/>
                <w:p>
                  <w:pPr>
                    <w:pStyle w:val="Compact"/>
                    <w:jc w:val="center"/>
                  </w:pPr>
                  <w:r>
                    <w:t xml:space="preserve">0.0176 (3.03)</w:t>
                  </w:r>
                </w:p>
              </w:tc>
              <w:tc>
                <w:tcPr/>
                <w:p>
                  <w:pPr>
                    <w:pStyle w:val="Compact"/>
                    <w:jc w:val="center"/>
                  </w:pPr>
                  <w:r>
                    <w:t xml:space="preserve">-0.328 (2.9)</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Fixed effect</w:t>
                  </w:r>
                </w:p>
              </w:tc>
              <w:tc>
                <w:tcPr/>
                <w:p>
                  <w:pPr>
                    <w:pStyle w:val="Compact"/>
                    <w:jc w:val="center"/>
                  </w:pPr>
                  <m:oMath>
                    <m:r>
                      <m:t>V</m:t>
                    </m:r>
                  </m:oMath>
                </w:p>
              </w:tc>
              <w:tc>
                <w:tcPr/>
                <w:p>
                  <w:pPr>
                    <w:pStyle w:val="Compact"/>
                    <w:jc w:val="center"/>
                  </w:pPr>
                  <w:r>
                    <w:t xml:space="preserve">0.823 (2.28)</w:t>
                  </w:r>
                </w:p>
              </w:tc>
              <w:tc>
                <w:tcPr/>
                <w:p>
                  <w:pPr>
                    <w:pStyle w:val="Compact"/>
                    <w:jc w:val="center"/>
                  </w:pPr>
                  <w:r>
                    <w:t xml:space="preserve">-0.144 (2.35)</w:t>
                  </w:r>
                </w:p>
              </w:tc>
              <w:tc>
                <w:tcPr/>
                <w:p>
                  <w:pPr>
                    <w:pStyle w:val="Compact"/>
                    <w:jc w:val="center"/>
                  </w:pPr>
                  <w:r>
                    <w:t xml:space="preserve">0.209 (2.62)</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Fixed effect</w:t>
                  </w:r>
                </w:p>
              </w:tc>
              <w:tc>
                <w:tcPr/>
                <w:p>
                  <w:pPr>
                    <w:pStyle w:val="Compact"/>
                    <w:jc w:val="center"/>
                  </w:pPr>
                  <m:oMath>
                    <m:sSub>
                      <m:e>
                        <m:r>
                          <m:t>k</m:t>
                        </m:r>
                      </m:e>
                      <m:sub>
                        <m:r>
                          <m:t>a</m:t>
                        </m:r>
                      </m:sub>
                    </m:sSub>
                  </m:oMath>
                </w:p>
              </w:tc>
              <w:tc>
                <w:tcPr/>
                <w:p>
                  <w:pPr>
                    <w:pStyle w:val="Compact"/>
                    <w:jc w:val="center"/>
                  </w:pPr>
                  <w:r>
                    <w:t xml:space="preserve">1.3 (4.63)</w:t>
                  </w:r>
                </w:p>
              </w:tc>
              <w:tc>
                <w:tcPr/>
                <w:p>
                  <w:pPr>
                    <w:pStyle w:val="Compact"/>
                    <w:jc w:val="center"/>
                  </w:pPr>
                  <w:r>
                    <w:t xml:space="preserve">0.0647 (4.59)</w:t>
                  </w:r>
                </w:p>
              </w:tc>
              <w:tc>
                <w:tcPr/>
                <w:p>
                  <w:pPr>
                    <w:pStyle w:val="Compact"/>
                    <w:jc w:val="center"/>
                  </w:pPr>
                  <w:r>
                    <w:t xml:space="preserve">0.243 (4.65)</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RUV</w:t>
                  </w:r>
                </w:p>
              </w:tc>
              <w:tc>
                <w:tcPr/>
                <w:p>
                  <w:pPr>
                    <w:pStyle w:val="Compact"/>
                    <w:jc w:val="center"/>
                  </w:pPr>
                  <m:oMath>
                    <m:r>
                      <m:t>σ</m:t>
                    </m:r>
                  </m:oMath>
                </w:p>
              </w:tc>
              <w:tc>
                <w:tcPr/>
                <w:p>
                  <w:pPr>
                    <w:pStyle w:val="Compact"/>
                    <w:jc w:val="center"/>
                  </w:pPr>
                  <w:r>
                    <w:t xml:space="preserve">8.73 (4.37)</w:t>
                  </w:r>
                </w:p>
              </w:tc>
              <w:tc>
                <w:tcPr/>
                <w:p>
                  <w:pPr>
                    <w:pStyle w:val="Compact"/>
                    <w:jc w:val="center"/>
                  </w:pPr>
                  <w:r>
                    <w:t xml:space="preserve">0.39 (3.83)</w:t>
                  </w:r>
                </w:p>
              </w:tc>
              <w:tc>
                <w:tcPr/>
                <w:p>
                  <w:pPr>
                    <w:pStyle w:val="Compact"/>
                    <w:jc w:val="center"/>
                  </w:pPr>
                  <w:r>
                    <w:t xml:space="preserve">-0.678 (3.64)</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BSV</w:t>
                  </w:r>
                </w:p>
              </w:tc>
              <w:tc>
                <w:tcPr/>
                <w:p>
                  <w:pPr>
                    <w:pStyle w:val="Compact"/>
                    <w:jc w:val="center"/>
                  </w:pPr>
                  <m:oMath>
                    <m:sSub>
                      <m:e>
                        <m:r>
                          <m:t>ω</m:t>
                        </m:r>
                      </m:e>
                      <m:sub>
                        <m:r>
                          <m:t>C</m:t>
                        </m:r>
                        <m:r>
                          <m:t>L</m:t>
                        </m:r>
                      </m:sub>
                    </m:sSub>
                  </m:oMath>
                </w:p>
              </w:tc>
              <w:tc>
                <w:tcPr/>
                <w:p>
                  <w:pPr>
                    <w:pStyle w:val="Compact"/>
                    <w:jc w:val="center"/>
                  </w:pPr>
                  <w:r>
                    <w:t xml:space="preserve">-1.04 (7.19)</w:t>
                  </w:r>
                </w:p>
              </w:tc>
              <w:tc>
                <w:tcPr/>
                <w:p>
                  <w:pPr>
                    <w:pStyle w:val="Compact"/>
                    <w:jc w:val="center"/>
                  </w:pPr>
                  <w:r>
                    <w:t xml:space="preserve">0.0186 (7.07)</w:t>
                  </w:r>
                </w:p>
              </w:tc>
              <w:tc>
                <w:tcPr/>
                <w:p>
                  <w:pPr>
                    <w:pStyle w:val="Compact"/>
                    <w:jc w:val="center"/>
                  </w:pPr>
                  <w:r>
                    <w:t xml:space="preserve">-0.000424 (7.22)</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BSV</w:t>
                  </w:r>
                </w:p>
              </w:tc>
              <w:tc>
                <w:tcPr/>
                <w:p>
                  <w:pPr>
                    <w:pStyle w:val="Compact"/>
                    <w:jc w:val="center"/>
                  </w:pPr>
                  <m:oMath>
                    <m:sSub>
                      <m:e>
                        <m:r>
                          <m:t>ω</m:t>
                        </m:r>
                      </m:e>
                      <m:sub>
                        <m:r>
                          <m:t>V</m:t>
                        </m:r>
                      </m:sub>
                    </m:sSub>
                  </m:oMath>
                </w:p>
              </w:tc>
              <w:tc>
                <w:tcPr/>
                <w:p>
                  <w:pPr>
                    <w:pStyle w:val="Compact"/>
                    <w:jc w:val="center"/>
                  </w:pPr>
                  <w:r>
                    <w:t xml:space="preserve">-19.6 (23.2)</w:t>
                  </w:r>
                </w:p>
              </w:tc>
              <w:tc>
                <w:tcPr/>
                <w:p>
                  <w:pPr>
                    <w:pStyle w:val="Compact"/>
                    <w:jc w:val="center"/>
                  </w:pPr>
                  <w:r>
                    <w:t xml:space="preserve">-5.67 (12)</w:t>
                  </w:r>
                </w:p>
              </w:tc>
              <w:tc>
                <w:tcPr/>
                <w:p>
                  <w:pPr>
                    <w:pStyle w:val="Compact"/>
                    <w:jc w:val="center"/>
                  </w:pPr>
                  <w:r>
                    <w:t xml:space="preserve">-1.73 (11.1)</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BSV</w:t>
                  </w:r>
                </w:p>
              </w:tc>
              <w:tc>
                <w:tcPr/>
                <w:p>
                  <w:pPr>
                    <w:pStyle w:val="Compact"/>
                    <w:jc w:val="center"/>
                  </w:pPr>
                  <m:oMath>
                    <m:sSub>
                      <m:e>
                        <m:r>
                          <m:t>ω</m:t>
                        </m:r>
                      </m:e>
                      <m:sub>
                        <m:sSub>
                          <m:e>
                            <m:r>
                              <m:t>k</m:t>
                            </m:r>
                          </m:e>
                          <m:sub>
                            <m:r>
                              <m:t>a</m:t>
                            </m:r>
                          </m:sub>
                        </m:sSub>
                      </m:sub>
                    </m:sSub>
                  </m:oMath>
                </w:p>
              </w:tc>
              <w:tc>
                <w:tcPr/>
                <w:p>
                  <w:pPr>
                    <w:pStyle w:val="Compact"/>
                    <w:jc w:val="center"/>
                  </w:pPr>
                  <w:r>
                    <w:t xml:space="preserve">-16.9 (18)</w:t>
                  </w:r>
                </w:p>
              </w:tc>
              <w:tc>
                <w:tcPr/>
                <w:p>
                  <w:pPr>
                    <w:pStyle w:val="Compact"/>
                    <w:jc w:val="center"/>
                  </w:pPr>
                  <w:r>
                    <w:t xml:space="preserve">-5.4 (9.62)</w:t>
                  </w:r>
                </w:p>
              </w:tc>
              <w:tc>
                <w:tcPr/>
                <w:p>
                  <w:pPr>
                    <w:pStyle w:val="Compact"/>
                    <w:jc w:val="center"/>
                  </w:pPr>
                  <w:r>
                    <w:t xml:space="preserve">-0.961 (8.06)</w:t>
                  </w:r>
                </w:p>
              </w:tc>
            </w:tr>
          </w:tbl>
          <w:p>
            <w:pPr>
              <w:jc w:val="center"/>
            </w:pPr>
            <w:pPr>
              <w:jc w:val="left"/>
              <w:spacing w:before="200"/>
              <w:pStyle w:val="ImageCaption"/>
            </w:pPr>
            <w:r>
              <w:t xml:space="preserve">Table S2: Values are mean relative bias (%) with the standard deviation across replicates in parentheses. BSV, between-subject variability; RUV, residual unexplained variability. BSV parameters (</w:t>
            </w:r>
            <m:oMath>
              <m:r>
                <m:t>ω</m:t>
              </m:r>
            </m:oMath>
            <w:r>
              <w:t xml:space="preserve">) are reported as standard deviations.</w:t>
            </w:r>
          </w:p>
          <w:bookmarkEnd w:id="10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1" w:name="supptbl-phase1-sparse"/>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Posterior</w:t>
                  </w:r>
                </w:p>
              </w:tc>
              <w:tc>
                <w:tcPr/>
                <w:p>
                  <w:pPr>
                    <w:pStyle w:val="Compact"/>
                    <w:jc w:val="center"/>
                  </w:pPr>
                  <w:r>
                    <w:t xml:space="preserve">Variational family</w:t>
                  </w:r>
                </w:p>
              </w:tc>
              <w:tc>
                <w:tcPr/>
                <w:p>
                  <w:pPr>
                    <w:pStyle w:val="Compact"/>
                    <w:jc w:val="center"/>
                  </w:pPr>
                  <w:r>
                    <w:t xml:space="preserve">Parameter type</w:t>
                  </w:r>
                </w:p>
              </w:tc>
              <w:tc>
                <w:tcPr/>
                <w:p>
                  <w:pPr>
                    <w:pStyle w:val="Compact"/>
                    <w:jc w:val="center"/>
                  </w:pPr>
                  <w:r>
                    <w:t xml:space="preserve">Parameter</w:t>
                  </w:r>
                </w:p>
              </w:tc>
              <w:tc>
                <w:tcPr/>
                <w:p>
                  <w:pPr>
                    <w:pStyle w:val="Compact"/>
                    <w:jc w:val="center"/>
                  </w:pPr>
                  <m:oMath>
                    <m:r>
                      <m:t>K</m:t>
                    </m:r>
                    <m:r>
                      <m:rPr>
                        <m:sty m:val="p"/>
                      </m:rPr>
                      <m:t>=</m:t>
                    </m:r>
                    <m:r>
                      <m:t>1</m:t>
                    </m:r>
                  </m:oMath>
                </w:p>
              </w:tc>
              <w:tc>
                <w:tcPr/>
                <w:p>
                  <w:pPr>
                    <w:pStyle w:val="Compact"/>
                    <w:jc w:val="center"/>
                  </w:pPr>
                  <m:oMath>
                    <m:r>
                      <m:t>K</m:t>
                    </m:r>
                    <m:r>
                      <m:rPr>
                        <m:sty m:val="p"/>
                      </m:rPr>
                      <m:t>=</m:t>
                    </m:r>
                    <m:r>
                      <m:t>8</m:t>
                    </m:r>
                  </m:oMath>
                </w:p>
              </w:tc>
              <w:tc>
                <w:tcPr/>
                <w:p>
                  <w:pPr>
                    <w:pStyle w:val="Compact"/>
                    <w:jc w:val="center"/>
                  </w:pPr>
                  <m:oMath>
                    <m:r>
                      <m:t>K</m:t>
                    </m:r>
                    <m:r>
                      <m:rPr>
                        <m:sty m:val="p"/>
                      </m:rPr>
                      <m:t>=</m:t>
                    </m:r>
                    <m:r>
                      <m:t>64</m:t>
                    </m:r>
                  </m:oMath>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Fixed effect</w:t>
                  </w:r>
                </w:p>
              </w:tc>
              <w:tc>
                <w:tcPr/>
                <w:p>
                  <w:pPr>
                    <w:pStyle w:val="Compact"/>
                    <w:jc w:val="center"/>
                  </w:pPr>
                  <m:oMath>
                    <m:r>
                      <m:t>C</m:t>
                    </m:r>
                    <m:r>
                      <m:t>L</m:t>
                    </m:r>
                  </m:oMath>
                </w:p>
              </w:tc>
              <w:tc>
                <w:tcPr/>
                <w:p>
                  <w:pPr>
                    <w:pStyle w:val="Compact"/>
                    <w:jc w:val="center"/>
                  </w:pPr>
                  <w:r>
                    <w:t xml:space="preserve">1.37 (3.2)</w:t>
                  </w:r>
                </w:p>
              </w:tc>
              <w:tc>
                <w:tcPr/>
                <w:p>
                  <w:pPr>
                    <w:pStyle w:val="Compact"/>
                    <w:jc w:val="center"/>
                  </w:pPr>
                  <w:r>
                    <w:t xml:space="preserve">0.36 (3.16)</w:t>
                  </w:r>
                </w:p>
              </w:tc>
              <w:tc>
                <w:tcPr/>
                <w:p>
                  <w:pPr>
                    <w:pStyle w:val="Compact"/>
                    <w:jc w:val="center"/>
                  </w:pPr>
                  <w:r>
                    <w:t xml:space="preserve">0.145 (3.07)</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Fixed effect</w:t>
                  </w:r>
                </w:p>
              </w:tc>
              <w:tc>
                <w:tcPr/>
                <w:p>
                  <w:pPr>
                    <w:pStyle w:val="Compact"/>
                    <w:jc w:val="center"/>
                  </w:pPr>
                  <m:oMath>
                    <m:r>
                      <m:t>V</m:t>
                    </m:r>
                  </m:oMath>
                </w:p>
              </w:tc>
              <w:tc>
                <w:tcPr/>
                <w:p>
                  <w:pPr>
                    <w:pStyle w:val="Compact"/>
                    <w:jc w:val="center"/>
                  </w:pPr>
                  <w:r>
                    <w:t xml:space="preserve">-0.693 (3.07)</w:t>
                  </w:r>
                </w:p>
              </w:tc>
              <w:tc>
                <w:tcPr/>
                <w:p>
                  <w:pPr>
                    <w:pStyle w:val="Compact"/>
                    <w:jc w:val="center"/>
                  </w:pPr>
                  <w:r>
                    <w:t xml:space="preserve">-0.0815 (3.19)</w:t>
                  </w:r>
                </w:p>
              </w:tc>
              <w:tc>
                <w:tcPr/>
                <w:p>
                  <w:pPr>
                    <w:pStyle w:val="Compact"/>
                    <w:jc w:val="center"/>
                  </w:pPr>
                  <w:r>
                    <w:t xml:space="preserve">-0.128 (3.29)</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Fixed effect</w:t>
                  </w:r>
                </w:p>
              </w:tc>
              <w:tc>
                <w:tcPr/>
                <w:p>
                  <w:pPr>
                    <w:pStyle w:val="Compact"/>
                    <w:jc w:val="center"/>
                  </w:pPr>
                  <m:oMath>
                    <m:sSub>
                      <m:e>
                        <m:r>
                          <m:t>k</m:t>
                        </m:r>
                      </m:e>
                      <m:sub>
                        <m:r>
                          <m:t>a</m:t>
                        </m:r>
                      </m:sub>
                    </m:sSub>
                  </m:oMath>
                </w:p>
              </w:tc>
              <w:tc>
                <w:tcPr/>
                <w:p>
                  <w:pPr>
                    <w:pStyle w:val="Compact"/>
                    <w:jc w:val="center"/>
                  </w:pPr>
                  <w:r>
                    <w:t xml:space="preserve">-2.64 (6.22)</w:t>
                  </w:r>
                </w:p>
              </w:tc>
              <w:tc>
                <w:tcPr/>
                <w:p>
                  <w:pPr>
                    <w:pStyle w:val="Compact"/>
                    <w:jc w:val="center"/>
                  </w:pPr>
                  <w:r>
                    <w:t xml:space="preserve">-0.922 (6.22)</w:t>
                  </w:r>
                </w:p>
              </w:tc>
              <w:tc>
                <w:tcPr/>
                <w:p>
                  <w:pPr>
                    <w:pStyle w:val="Compact"/>
                    <w:jc w:val="center"/>
                  </w:pPr>
                  <w:r>
                    <w:t xml:space="preserve">0.471 (6.57)</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RUV</w:t>
                  </w:r>
                </w:p>
              </w:tc>
              <w:tc>
                <w:tcPr/>
                <w:p>
                  <w:pPr>
                    <w:pStyle w:val="Compact"/>
                    <w:jc w:val="center"/>
                  </w:pPr>
                  <m:oMath>
                    <m:r>
                      <m:t>σ</m:t>
                    </m:r>
                  </m:oMath>
                </w:p>
              </w:tc>
              <w:tc>
                <w:tcPr/>
                <w:p>
                  <w:pPr>
                    <w:pStyle w:val="Compact"/>
                    <w:jc w:val="center"/>
                  </w:pPr>
                  <w:r>
                    <w:t xml:space="preserve">38.1 (9.86)</w:t>
                  </w:r>
                </w:p>
              </w:tc>
              <w:tc>
                <w:tcPr/>
                <w:p>
                  <w:pPr>
                    <w:pStyle w:val="Compact"/>
                    <w:jc w:val="center"/>
                  </w:pPr>
                  <w:r>
                    <w:t xml:space="preserve">12.4 (9.11)</w:t>
                  </w:r>
                </w:p>
              </w:tc>
              <w:tc>
                <w:tcPr/>
                <w:p>
                  <w:pPr>
                    <w:pStyle w:val="Compact"/>
                    <w:jc w:val="center"/>
                  </w:pPr>
                  <w:r>
                    <w:t xml:space="preserve">1.49 (9.08)</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BSV</w:t>
                  </w:r>
                </w:p>
              </w:tc>
              <w:tc>
                <w:tcPr/>
                <w:p>
                  <w:pPr>
                    <w:pStyle w:val="Compact"/>
                    <w:jc w:val="center"/>
                  </w:pPr>
                  <m:oMath>
                    <m:sSub>
                      <m:e>
                        <m:r>
                          <m:t>ω</m:t>
                        </m:r>
                      </m:e>
                      <m:sub>
                        <m:r>
                          <m:t>C</m:t>
                        </m:r>
                        <m:r>
                          <m:t>L</m:t>
                        </m:r>
                      </m:sub>
                    </m:sSub>
                  </m:oMath>
                </w:p>
              </w:tc>
              <w:tc>
                <w:tcPr/>
                <w:p>
                  <w:pPr>
                    <w:pStyle w:val="Compact"/>
                    <w:jc w:val="center"/>
                  </w:pPr>
                  <w:r>
                    <w:t xml:space="preserve">-1.19 (8.63)</w:t>
                  </w:r>
                </w:p>
              </w:tc>
              <w:tc>
                <w:tcPr/>
                <w:p>
                  <w:pPr>
                    <w:pStyle w:val="Compact"/>
                    <w:jc w:val="center"/>
                  </w:pPr>
                  <w:r>
                    <w:t xml:space="preserve">-2.1 (8.15)</w:t>
                  </w:r>
                </w:p>
              </w:tc>
              <w:tc>
                <w:tcPr/>
                <w:p>
                  <w:pPr>
                    <w:pStyle w:val="Compact"/>
                    <w:jc w:val="center"/>
                  </w:pPr>
                  <w:r>
                    <w:t xml:space="preserve">-1.1 (7.57)</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BSV</w:t>
                  </w:r>
                </w:p>
              </w:tc>
              <w:tc>
                <w:tcPr/>
                <w:p>
                  <w:pPr>
                    <w:pStyle w:val="Compact"/>
                    <w:jc w:val="center"/>
                  </w:pPr>
                  <m:oMath>
                    <m:sSub>
                      <m:e>
                        <m:r>
                          <m:t>ω</m:t>
                        </m:r>
                      </m:e>
                      <m:sub>
                        <m:r>
                          <m:t>V</m:t>
                        </m:r>
                      </m:sub>
                    </m:sSub>
                  </m:oMath>
                </w:p>
              </w:tc>
              <w:tc>
                <w:tcPr/>
                <w:p>
                  <w:pPr>
                    <w:pStyle w:val="Compact"/>
                    <w:jc w:val="center"/>
                  </w:pPr>
                  <w:r>
                    <w:t xml:space="preserve">-81.9 (12.8)</w:t>
                  </w:r>
                </w:p>
              </w:tc>
              <w:tc>
                <w:tcPr/>
                <w:p>
                  <w:pPr>
                    <w:pStyle w:val="Compact"/>
                    <w:jc w:val="center"/>
                  </w:pPr>
                  <w:r>
                    <w:t xml:space="preserve">-17.9 (24.7)</w:t>
                  </w:r>
                </w:p>
              </w:tc>
              <w:tc>
                <w:tcPr/>
                <w:p>
                  <w:pPr>
                    <w:pStyle w:val="Compact"/>
                    <w:jc w:val="center"/>
                  </w:pPr>
                  <w:r>
                    <w:t xml:space="preserve">-2.83 (12.4)</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BSV</w:t>
                  </w:r>
                </w:p>
              </w:tc>
              <w:tc>
                <w:tcPr/>
                <w:p>
                  <w:pPr>
                    <w:pStyle w:val="Compact"/>
                    <w:jc w:val="center"/>
                  </w:pPr>
                  <m:oMath>
                    <m:sSub>
                      <m:e>
                        <m:r>
                          <m:t>ω</m:t>
                        </m:r>
                      </m:e>
                      <m:sub>
                        <m:sSub>
                          <m:e>
                            <m:r>
                              <m:t>k</m:t>
                            </m:r>
                          </m:e>
                          <m:sub>
                            <m:r>
                              <m:t>a</m:t>
                            </m:r>
                          </m:sub>
                        </m:sSub>
                      </m:sub>
                    </m:sSub>
                  </m:oMath>
                </w:p>
              </w:tc>
              <w:tc>
                <w:tcPr/>
                <w:p>
                  <w:pPr>
                    <w:pStyle w:val="Compact"/>
                    <w:jc w:val="center"/>
                  </w:pPr>
                  <w:r>
                    <w:t xml:space="preserve">-14.8 (26.9)</w:t>
                  </w:r>
                </w:p>
              </w:tc>
              <w:tc>
                <w:tcPr/>
                <w:p>
                  <w:pPr>
                    <w:pStyle w:val="Compact"/>
                    <w:jc w:val="center"/>
                  </w:pPr>
                  <w:r>
                    <w:t xml:space="preserve">-25.1 (33)</w:t>
                  </w:r>
                </w:p>
              </w:tc>
              <w:tc>
                <w:tcPr/>
                <w:p>
                  <w:pPr>
                    <w:pStyle w:val="Compact"/>
                    <w:jc w:val="center"/>
                  </w:pPr>
                  <w:r>
                    <w:t xml:space="preserve">-5.57 (22)</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Fixed effect</w:t>
                  </w:r>
                </w:p>
              </w:tc>
              <w:tc>
                <w:tcPr/>
                <w:p>
                  <w:pPr>
                    <w:pStyle w:val="Compact"/>
                    <w:jc w:val="center"/>
                  </w:pPr>
                  <m:oMath>
                    <m:r>
                      <m:t>C</m:t>
                    </m:r>
                    <m:r>
                      <m:t>L</m:t>
                    </m:r>
                  </m:oMath>
                </w:p>
              </w:tc>
              <w:tc>
                <w:tcPr/>
                <w:p>
                  <w:pPr>
                    <w:pStyle w:val="Compact"/>
                    <w:jc w:val="center"/>
                  </w:pPr>
                  <w:r>
                    <w:t xml:space="preserve">0.161 (2.76)</w:t>
                  </w:r>
                </w:p>
              </w:tc>
              <w:tc>
                <w:tcPr/>
                <w:p>
                  <w:pPr>
                    <w:pStyle w:val="Compact"/>
                    <w:jc w:val="center"/>
                  </w:pPr>
                  <w:r>
                    <w:t xml:space="preserve">-0.0955 (2.49)</w:t>
                  </w:r>
                </w:p>
              </w:tc>
              <w:tc>
                <w:tcPr/>
                <w:p>
                  <w:pPr>
                    <w:pStyle w:val="Compact"/>
                    <w:jc w:val="center"/>
                  </w:pPr>
                  <w:r>
                    <w:t xml:space="preserve">-0.0965 (2.68)</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Fixed effect</w:t>
                  </w:r>
                </w:p>
              </w:tc>
              <w:tc>
                <w:tcPr/>
                <w:p>
                  <w:pPr>
                    <w:pStyle w:val="Compact"/>
                    <w:jc w:val="center"/>
                  </w:pPr>
                  <m:oMath>
                    <m:r>
                      <m:t>V</m:t>
                    </m:r>
                  </m:oMath>
                </w:p>
              </w:tc>
              <w:tc>
                <w:tcPr/>
                <w:p>
                  <w:pPr>
                    <w:pStyle w:val="Compact"/>
                    <w:jc w:val="center"/>
                  </w:pPr>
                  <w:r>
                    <w:t xml:space="preserve">0.237 (3.06)</w:t>
                  </w:r>
                </w:p>
              </w:tc>
              <w:tc>
                <w:tcPr/>
                <w:p>
                  <w:pPr>
                    <w:pStyle w:val="Compact"/>
                    <w:jc w:val="center"/>
                  </w:pPr>
                  <w:r>
                    <w:t xml:space="preserve">0.294 (2.88)</w:t>
                  </w:r>
                </w:p>
              </w:tc>
              <w:tc>
                <w:tcPr/>
                <w:p>
                  <w:pPr>
                    <w:pStyle w:val="Compact"/>
                    <w:jc w:val="center"/>
                  </w:pPr>
                  <w:r>
                    <w:t xml:space="preserve">0.0393 (3.11)</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Fixed effect</w:t>
                  </w:r>
                </w:p>
              </w:tc>
              <w:tc>
                <w:tcPr/>
                <w:p>
                  <w:pPr>
                    <w:pStyle w:val="Compact"/>
                    <w:jc w:val="center"/>
                  </w:pPr>
                  <m:oMath>
                    <m:sSub>
                      <m:e>
                        <m:r>
                          <m:t>k</m:t>
                        </m:r>
                      </m:e>
                      <m:sub>
                        <m:r>
                          <m:t>a</m:t>
                        </m:r>
                      </m:sub>
                    </m:sSub>
                  </m:oMath>
                </w:p>
              </w:tc>
              <w:tc>
                <w:tcPr/>
                <w:p>
                  <w:pPr>
                    <w:pStyle w:val="Compact"/>
                    <w:jc w:val="center"/>
                  </w:pPr>
                  <w:r>
                    <w:t xml:space="preserve">-0.443 (5.85)</w:t>
                  </w:r>
                </w:p>
              </w:tc>
              <w:tc>
                <w:tcPr/>
                <w:p>
                  <w:pPr>
                    <w:pStyle w:val="Compact"/>
                    <w:jc w:val="center"/>
                  </w:pPr>
                  <w:r>
                    <w:t xml:space="preserve">0.181 (6.36)</w:t>
                  </w:r>
                </w:p>
              </w:tc>
              <w:tc>
                <w:tcPr/>
                <w:p>
                  <w:pPr>
                    <w:pStyle w:val="Compact"/>
                    <w:jc w:val="center"/>
                  </w:pPr>
                  <w:r>
                    <w:t xml:space="preserve">0.684 (6.39)</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RUV</w:t>
                  </w:r>
                </w:p>
              </w:tc>
              <w:tc>
                <w:tcPr/>
                <w:p>
                  <w:pPr>
                    <w:pStyle w:val="Compact"/>
                    <w:jc w:val="center"/>
                  </w:pPr>
                  <m:oMath>
                    <m:r>
                      <m:t>σ</m:t>
                    </m:r>
                  </m:oMath>
                </w:p>
              </w:tc>
              <w:tc>
                <w:tcPr/>
                <w:p>
                  <w:pPr>
                    <w:pStyle w:val="Compact"/>
                    <w:jc w:val="center"/>
                  </w:pPr>
                  <w:r>
                    <w:t xml:space="preserve">6.58 (8.71)</w:t>
                  </w:r>
                </w:p>
              </w:tc>
              <w:tc>
                <w:tcPr/>
                <w:p>
                  <w:pPr>
                    <w:pStyle w:val="Compact"/>
                    <w:jc w:val="center"/>
                  </w:pPr>
                  <w:r>
                    <w:t xml:space="preserve">5.06 (8.67)</w:t>
                  </w:r>
                </w:p>
              </w:tc>
              <w:tc>
                <w:tcPr/>
                <w:p>
                  <w:pPr>
                    <w:pStyle w:val="Compact"/>
                    <w:jc w:val="center"/>
                  </w:pPr>
                  <w:r>
                    <w:t xml:space="preserve">1.45 (8.57)</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BSV</w:t>
                  </w:r>
                </w:p>
              </w:tc>
              <w:tc>
                <w:tcPr/>
                <w:p>
                  <w:pPr>
                    <w:pStyle w:val="Compact"/>
                    <w:jc w:val="center"/>
                  </w:pPr>
                  <m:oMath>
                    <m:sSub>
                      <m:e>
                        <m:r>
                          <m:t>ω</m:t>
                        </m:r>
                      </m:e>
                      <m:sub>
                        <m:r>
                          <m:t>C</m:t>
                        </m:r>
                        <m:r>
                          <m:t>L</m:t>
                        </m:r>
                      </m:sub>
                    </m:sSub>
                  </m:oMath>
                </w:p>
              </w:tc>
              <w:tc>
                <w:tcPr/>
                <w:p>
                  <w:pPr>
                    <w:pStyle w:val="Compact"/>
                    <w:jc w:val="center"/>
                  </w:pPr>
                  <w:r>
                    <w:t xml:space="preserve">-1.16 (7.51)</w:t>
                  </w:r>
                </w:p>
              </w:tc>
              <w:tc>
                <w:tcPr/>
                <w:p>
                  <w:pPr>
                    <w:pStyle w:val="Compact"/>
                    <w:jc w:val="center"/>
                  </w:pPr>
                  <w:r>
                    <w:t xml:space="preserve">-0.899 (7.54)</w:t>
                  </w:r>
                </w:p>
              </w:tc>
              <w:tc>
                <w:tcPr/>
                <w:p>
                  <w:pPr>
                    <w:pStyle w:val="Compact"/>
                    <w:jc w:val="center"/>
                  </w:pPr>
                  <w:r>
                    <w:t xml:space="preserve">-0.671 (7.63)</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BSV</w:t>
                  </w:r>
                </w:p>
              </w:tc>
              <w:tc>
                <w:tcPr/>
                <w:p>
                  <w:pPr>
                    <w:pStyle w:val="Compact"/>
                    <w:jc w:val="center"/>
                  </w:pPr>
                  <m:oMath>
                    <m:sSub>
                      <m:e>
                        <m:r>
                          <m:t>ω</m:t>
                        </m:r>
                      </m:e>
                      <m:sub>
                        <m:r>
                          <m:t>V</m:t>
                        </m:r>
                      </m:sub>
                    </m:sSub>
                  </m:oMath>
                </w:p>
              </w:tc>
              <w:tc>
                <w:tcPr/>
                <w:p>
                  <w:pPr>
                    <w:pStyle w:val="Compact"/>
                    <w:jc w:val="center"/>
                  </w:pPr>
                  <w:r>
                    <w:t xml:space="preserve">-0.926 (11)</w:t>
                  </w:r>
                </w:p>
              </w:tc>
              <w:tc>
                <w:tcPr/>
                <w:p>
                  <w:pPr>
                    <w:pStyle w:val="Compact"/>
                    <w:jc w:val="center"/>
                  </w:pPr>
                  <w:r>
                    <w:t xml:space="preserve">-1.7 (12)</w:t>
                  </w:r>
                </w:p>
              </w:tc>
              <w:tc>
                <w:tcPr/>
                <w:p>
                  <w:pPr>
                    <w:pStyle w:val="Compact"/>
                    <w:jc w:val="center"/>
                  </w:pPr>
                  <w:r>
                    <w:t xml:space="preserve">-0.019 (10.5)</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BSV</w:t>
                  </w:r>
                </w:p>
              </w:tc>
              <w:tc>
                <w:tcPr/>
                <w:p>
                  <w:pPr>
                    <w:pStyle w:val="Compact"/>
                    <w:jc w:val="center"/>
                  </w:pPr>
                  <m:oMath>
                    <m:sSub>
                      <m:e>
                        <m:r>
                          <m:t>ω</m:t>
                        </m:r>
                      </m:e>
                      <m:sub>
                        <m:sSub>
                          <m:e>
                            <m:r>
                              <m:t>k</m:t>
                            </m:r>
                          </m:e>
                          <m:sub>
                            <m:r>
                              <m:t>a</m:t>
                            </m:r>
                          </m:sub>
                        </m:sSub>
                      </m:sub>
                    </m:sSub>
                  </m:oMath>
                </w:p>
              </w:tc>
              <w:tc>
                <w:tcPr/>
                <w:p>
                  <w:pPr>
                    <w:pStyle w:val="Compact"/>
                    <w:jc w:val="center"/>
                  </w:pPr>
                  <w:r>
                    <w:t xml:space="preserve">-19.3 (20)</w:t>
                  </w:r>
                </w:p>
              </w:tc>
              <w:tc>
                <w:tcPr/>
                <w:p>
                  <w:pPr>
                    <w:pStyle w:val="Compact"/>
                    <w:jc w:val="center"/>
                  </w:pPr>
                  <w:r>
                    <w:t xml:space="preserve">-18.1 (26.1)</w:t>
                  </w:r>
                </w:p>
              </w:tc>
              <w:tc>
                <w:tcPr/>
                <w:p>
                  <w:pPr>
                    <w:pStyle w:val="Compact"/>
                    <w:jc w:val="center"/>
                  </w:pPr>
                  <w:r>
                    <w:t xml:space="preserve">-5.21 (20.9)</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Fixed effect</w:t>
                  </w:r>
                </w:p>
              </w:tc>
              <w:tc>
                <w:tcPr/>
                <w:p>
                  <w:pPr>
                    <w:pStyle w:val="Compact"/>
                    <w:jc w:val="center"/>
                  </w:pPr>
                  <m:oMath>
                    <m:r>
                      <m:t>C</m:t>
                    </m:r>
                    <m:r>
                      <m:t>L</m:t>
                    </m:r>
                  </m:oMath>
                </w:p>
              </w:tc>
              <w:tc>
                <w:tcPr/>
                <w:p>
                  <w:pPr>
                    <w:pStyle w:val="Compact"/>
                    <w:jc w:val="center"/>
                  </w:pPr>
                  <w:r>
                    <w:t xml:space="preserve">0.88 (2.68)</w:t>
                  </w:r>
                </w:p>
              </w:tc>
              <w:tc>
                <w:tcPr/>
                <w:p>
                  <w:pPr>
                    <w:pStyle w:val="Compact"/>
                    <w:jc w:val="center"/>
                  </w:pPr>
                  <w:r>
                    <w:t xml:space="preserve">0.735 (2.72)</w:t>
                  </w:r>
                </w:p>
              </w:tc>
              <w:tc>
                <w:tcPr/>
                <w:p>
                  <w:pPr>
                    <w:pStyle w:val="Compact"/>
                    <w:jc w:val="center"/>
                  </w:pPr>
                  <w:r>
                    <w:t xml:space="preserve">-0.16 (2.84)</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Fixed effect</w:t>
                  </w:r>
                </w:p>
              </w:tc>
              <w:tc>
                <w:tcPr/>
                <w:p>
                  <w:pPr>
                    <w:pStyle w:val="Compact"/>
                    <w:jc w:val="center"/>
                  </w:pPr>
                  <m:oMath>
                    <m:r>
                      <m:t>V</m:t>
                    </m:r>
                  </m:oMath>
                </w:p>
              </w:tc>
              <w:tc>
                <w:tcPr/>
                <w:p>
                  <w:pPr>
                    <w:pStyle w:val="Compact"/>
                    <w:jc w:val="center"/>
                  </w:pPr>
                  <w:r>
                    <w:t xml:space="preserve">-1.02 (3.03)</w:t>
                  </w:r>
                </w:p>
              </w:tc>
              <w:tc>
                <w:tcPr/>
                <w:p>
                  <w:pPr>
                    <w:pStyle w:val="Compact"/>
                    <w:jc w:val="center"/>
                  </w:pPr>
                  <w:r>
                    <w:t xml:space="preserve">-0.168 (3.37)</w:t>
                  </w:r>
                </w:p>
              </w:tc>
              <w:tc>
                <w:tcPr/>
                <w:p>
                  <w:pPr>
                    <w:pStyle w:val="Compact"/>
                    <w:jc w:val="center"/>
                  </w:pPr>
                  <w:r>
                    <w:t xml:space="preserve">-0.0371 (3.16)</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Fixed effect</w:t>
                  </w:r>
                </w:p>
              </w:tc>
              <w:tc>
                <w:tcPr/>
                <w:p>
                  <w:pPr>
                    <w:pStyle w:val="Compact"/>
                    <w:jc w:val="center"/>
                  </w:pPr>
                  <m:oMath>
                    <m:sSub>
                      <m:e>
                        <m:r>
                          <m:t>k</m:t>
                        </m:r>
                      </m:e>
                      <m:sub>
                        <m:r>
                          <m:t>a</m:t>
                        </m:r>
                      </m:sub>
                    </m:sSub>
                  </m:oMath>
                </w:p>
              </w:tc>
              <w:tc>
                <w:tcPr/>
                <w:p>
                  <w:pPr>
                    <w:pStyle w:val="Compact"/>
                    <w:jc w:val="center"/>
                  </w:pPr>
                  <w:r>
                    <w:t xml:space="preserve">-2.75 (6.18)</w:t>
                  </w:r>
                </w:p>
              </w:tc>
              <w:tc>
                <w:tcPr/>
                <w:p>
                  <w:pPr>
                    <w:pStyle w:val="Compact"/>
                    <w:jc w:val="center"/>
                  </w:pPr>
                  <w:r>
                    <w:t xml:space="preserve">-0.723 (6.39)</w:t>
                  </w:r>
                </w:p>
              </w:tc>
              <w:tc>
                <w:tcPr/>
                <w:p>
                  <w:pPr>
                    <w:pStyle w:val="Compact"/>
                    <w:jc w:val="center"/>
                  </w:pPr>
                  <w:r>
                    <w:t xml:space="preserve">0.802 (6.44)</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RUV</w:t>
                  </w:r>
                </w:p>
              </w:tc>
              <w:tc>
                <w:tcPr/>
                <w:p>
                  <w:pPr>
                    <w:pStyle w:val="Compact"/>
                    <w:jc w:val="center"/>
                  </w:pPr>
                  <m:oMath>
                    <m:r>
                      <m:t>σ</m:t>
                    </m:r>
                  </m:oMath>
                </w:p>
              </w:tc>
              <w:tc>
                <w:tcPr/>
                <w:p>
                  <w:pPr>
                    <w:pStyle w:val="Compact"/>
                    <w:jc w:val="center"/>
                  </w:pPr>
                  <w:r>
                    <w:t xml:space="preserve">33.3 (9.43)</w:t>
                  </w:r>
                </w:p>
              </w:tc>
              <w:tc>
                <w:tcPr/>
                <w:p>
                  <w:pPr>
                    <w:pStyle w:val="Compact"/>
                    <w:jc w:val="center"/>
                  </w:pPr>
                  <w:r>
                    <w:t xml:space="preserve">11.1 (9.61)</w:t>
                  </w:r>
                </w:p>
              </w:tc>
              <w:tc>
                <w:tcPr/>
                <w:p>
                  <w:pPr>
                    <w:pStyle w:val="Compact"/>
                    <w:jc w:val="center"/>
                  </w:pPr>
                  <w:r>
                    <w:t xml:space="preserve">1.02 (9)</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BSV</w:t>
                  </w:r>
                </w:p>
              </w:tc>
              <w:tc>
                <w:tcPr/>
                <w:p>
                  <w:pPr>
                    <w:pStyle w:val="Compact"/>
                    <w:jc w:val="center"/>
                  </w:pPr>
                  <m:oMath>
                    <m:sSub>
                      <m:e>
                        <m:r>
                          <m:t>ω</m:t>
                        </m:r>
                      </m:e>
                      <m:sub>
                        <m:r>
                          <m:t>C</m:t>
                        </m:r>
                        <m:r>
                          <m:t>L</m:t>
                        </m:r>
                      </m:sub>
                    </m:sSub>
                  </m:oMath>
                </w:p>
              </w:tc>
              <w:tc>
                <w:tcPr/>
                <w:p>
                  <w:pPr>
                    <w:pStyle w:val="Compact"/>
                    <w:jc w:val="center"/>
                  </w:pPr>
                  <w:r>
                    <w:t xml:space="preserve">0.234 (7.83)</w:t>
                  </w:r>
                </w:p>
              </w:tc>
              <w:tc>
                <w:tcPr/>
                <w:p>
                  <w:pPr>
                    <w:pStyle w:val="Compact"/>
                    <w:jc w:val="center"/>
                  </w:pPr>
                  <w:r>
                    <w:t xml:space="preserve">-1.71 (8.32)</w:t>
                  </w:r>
                </w:p>
              </w:tc>
              <w:tc>
                <w:tcPr/>
                <w:p>
                  <w:pPr>
                    <w:pStyle w:val="Compact"/>
                    <w:jc w:val="center"/>
                  </w:pPr>
                  <w:r>
                    <w:t xml:space="preserve">-0.419 (7.39)</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BSV</w:t>
                  </w:r>
                </w:p>
              </w:tc>
              <w:tc>
                <w:tcPr/>
                <w:p>
                  <w:pPr>
                    <w:pStyle w:val="Compact"/>
                    <w:jc w:val="center"/>
                  </w:pPr>
                  <m:oMath>
                    <m:sSub>
                      <m:e>
                        <m:r>
                          <m:t>ω</m:t>
                        </m:r>
                      </m:e>
                      <m:sub>
                        <m:r>
                          <m:t>V</m:t>
                        </m:r>
                      </m:sub>
                    </m:sSub>
                  </m:oMath>
                </w:p>
              </w:tc>
              <w:tc>
                <w:tcPr/>
                <w:p>
                  <w:pPr>
                    <w:pStyle w:val="Compact"/>
                    <w:jc w:val="center"/>
                  </w:pPr>
                  <w:r>
                    <w:t xml:space="preserve">-83 (15.6)</w:t>
                  </w:r>
                </w:p>
              </w:tc>
              <w:tc>
                <w:tcPr/>
                <w:p>
                  <w:pPr>
                    <w:pStyle w:val="Compact"/>
                    <w:jc w:val="center"/>
                  </w:pPr>
                  <w:r>
                    <w:t xml:space="preserve">-17.4 (26.4)</w:t>
                  </w:r>
                </w:p>
              </w:tc>
              <w:tc>
                <w:tcPr/>
                <w:p>
                  <w:pPr>
                    <w:pStyle w:val="Compact"/>
                    <w:jc w:val="center"/>
                  </w:pPr>
                  <w:r>
                    <w:t xml:space="preserve">-2.65 (11.2)</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BSV</w:t>
                  </w:r>
                </w:p>
              </w:tc>
              <w:tc>
                <w:tcPr/>
                <w:p>
                  <w:pPr>
                    <w:pStyle w:val="Compact"/>
                    <w:jc w:val="center"/>
                  </w:pPr>
                  <m:oMath>
                    <m:sSub>
                      <m:e>
                        <m:r>
                          <m:t>ω</m:t>
                        </m:r>
                      </m:e>
                      <m:sub>
                        <m:sSub>
                          <m:e>
                            <m:r>
                              <m:t>k</m:t>
                            </m:r>
                          </m:e>
                          <m:sub>
                            <m:r>
                              <m:t>a</m:t>
                            </m:r>
                          </m:sub>
                        </m:sSub>
                      </m:sub>
                    </m:sSub>
                  </m:oMath>
                </w:p>
              </w:tc>
              <w:tc>
                <w:tcPr/>
                <w:p>
                  <w:pPr>
                    <w:pStyle w:val="Compact"/>
                    <w:jc w:val="center"/>
                  </w:pPr>
                  <w:r>
                    <w:t xml:space="preserve">-5.38 (26.7)</w:t>
                  </w:r>
                </w:p>
              </w:tc>
              <w:tc>
                <w:tcPr/>
                <w:p>
                  <w:pPr>
                    <w:pStyle w:val="Compact"/>
                    <w:jc w:val="center"/>
                  </w:pPr>
                  <w:r>
                    <w:t xml:space="preserve">-24.3 (33.2)</w:t>
                  </w:r>
                </w:p>
              </w:tc>
              <w:tc>
                <w:tcPr/>
                <w:p>
                  <w:pPr>
                    <w:pStyle w:val="Compact"/>
                    <w:jc w:val="center"/>
                  </w:pPr>
                  <w:r>
                    <w:t xml:space="preserve">-5.12 (21.3)</w:t>
                  </w:r>
                </w:p>
              </w:tc>
            </w:tr>
          </w:tbl>
          <w:p>
            <w:pPr>
              <w:jc w:val="center"/>
            </w:pPr>
            <w:pPr>
              <w:jc w:val="left"/>
              <w:spacing w:before="200"/>
              <w:pStyle w:val="ImageCaption"/>
            </w:pPr>
            <w:r>
              <w:t xml:space="preserve">Table S3: Values are mean relative bias (%) with the standard deviation across replicates in parentheses. BSV, between-subject variability; RUV, residual unexplained variability. BSV parameters (</w:t>
            </w:r>
            <m:oMath>
              <m:r>
                <m:t>ω</m:t>
              </m:r>
            </m:oMath>
            <w:r>
              <w:t xml:space="preserve">) are reported as standard deviations.</w:t>
            </w:r>
          </w:p>
          <w:bookmarkEnd w:id="10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2" w:name="supptbl-phase1-q3-nonlinear"/>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Parameter</w:t>
                  </w:r>
                </w:p>
              </w:tc>
              <w:tc>
                <w:tcPr/>
                <w:p>
                  <w:pPr>
                    <w:pStyle w:val="Compact"/>
                    <w:jc w:val="center"/>
                  </w:pPr>
                  <w:r>
                    <w:t xml:space="preserve">Truth</w:t>
                  </w:r>
                </w:p>
              </w:tc>
              <w:tc>
                <w:tcPr/>
                <w:p>
                  <w:pPr>
                    <w:pStyle w:val="Compact"/>
                    <w:jc w:val="center"/>
                  </w:pPr>
                  <m:oMath>
                    <m:r>
                      <m:t>K</m:t>
                    </m:r>
                    <m:r>
                      <m:rPr>
                        <m:sty m:val="p"/>
                      </m:rPr>
                      <m:t>=</m:t>
                    </m:r>
                    <m:r>
                      <m:t>1</m:t>
                    </m:r>
                  </m:oMath>
                </w:p>
              </w:tc>
              <w:tc>
                <w:tcPr/>
                <w:p>
                  <w:pPr>
                    <w:pStyle w:val="Compact"/>
                    <w:jc w:val="center"/>
                  </w:pPr>
                  <m:oMath>
                    <m:r>
                      <m:t>K</m:t>
                    </m:r>
                    <m:r>
                      <m:rPr>
                        <m:sty m:val="p"/>
                      </m:rPr>
                      <m:t>=</m:t>
                    </m:r>
                    <m:r>
                      <m:t>8</m:t>
                    </m:r>
                  </m:oMath>
                </w:p>
              </w:tc>
              <w:tc>
                <w:tcPr/>
                <w:p>
                  <w:pPr>
                    <w:pStyle w:val="Compact"/>
                    <w:jc w:val="center"/>
                  </w:pPr>
                  <m:oMath>
                    <m:r>
                      <m:t>K</m:t>
                    </m:r>
                    <m:r>
                      <m:rPr>
                        <m:sty m:val="p"/>
                      </m:rPr>
                      <m:t>=</m:t>
                    </m:r>
                    <m:r>
                      <m:t>64</m:t>
                    </m:r>
                  </m:oMath>
                </w:p>
              </w:tc>
            </w:tr>
            <w:tr>
              <w:tc>
                <w:tcPr/>
                <w:p>
                  <w:pPr>
                    <w:pStyle w:val="Compact"/>
                    <w:jc w:val="center"/>
                  </w:pPr>
                  <m:oMath>
                    <m:sSub>
                      <m:e>
                        <m:r>
                          <m:t>K</m:t>
                        </m:r>
                      </m:e>
                      <m:sub>
                        <m:r>
                          <m:t>m</m:t>
                        </m:r>
                      </m:sub>
                    </m:sSub>
                  </m:oMath>
                </w:p>
              </w:tc>
              <w:tc>
                <w:tcPr/>
                <w:p>
                  <w:pPr>
                    <w:pStyle w:val="Compact"/>
                    <w:jc w:val="center"/>
                  </w:pPr>
                  <w:r>
                    <w:t xml:space="preserve">2</w:t>
                  </w:r>
                </w:p>
              </w:tc>
              <w:tc>
                <w:tcPr/>
                <w:p>
                  <w:pPr>
                    <w:pStyle w:val="Compact"/>
                    <w:jc w:val="center"/>
                  </w:pPr>
                  <w:r>
                    <w:t xml:space="preserve">1.96 (-1.98%)</w:t>
                  </w:r>
                </w:p>
              </w:tc>
              <w:tc>
                <w:tcPr/>
                <w:p>
                  <w:pPr>
                    <w:pStyle w:val="Compact"/>
                    <w:jc w:val="center"/>
                  </w:pPr>
                  <w:r>
                    <w:t xml:space="preserve">1.98 (-1.2%)</w:t>
                  </w:r>
                </w:p>
              </w:tc>
              <w:tc>
                <w:tcPr/>
                <w:p>
                  <w:pPr>
                    <w:pStyle w:val="Compact"/>
                    <w:jc w:val="center"/>
                  </w:pPr>
                  <w:r>
                    <w:t xml:space="preserve">1.98 (-0.867%)</w:t>
                  </w:r>
                </w:p>
              </w:tc>
            </w:tr>
            <w:tr>
              <w:tc>
                <w:tcPr/>
                <w:p>
                  <w:pPr>
                    <w:pStyle w:val="Compact"/>
                    <w:jc w:val="center"/>
                  </w:pPr>
                  <m:oMath>
                    <m:r>
                      <m:t>V</m:t>
                    </m:r>
                  </m:oMath>
                </w:p>
              </w:tc>
              <w:tc>
                <w:tcPr/>
                <w:p>
                  <w:pPr>
                    <w:pStyle w:val="Compact"/>
                    <w:jc w:val="center"/>
                  </w:pPr>
                  <w:r>
                    <w:t xml:space="preserve">30</w:t>
                  </w:r>
                </w:p>
              </w:tc>
              <w:tc>
                <w:tcPr/>
                <w:p>
                  <w:pPr>
                    <w:pStyle w:val="Compact"/>
                    <w:jc w:val="center"/>
                  </w:pPr>
                  <w:r>
                    <w:t xml:space="preserve">30.1 (0.483%)</w:t>
                  </w:r>
                </w:p>
              </w:tc>
              <w:tc>
                <w:tcPr/>
                <w:p>
                  <w:pPr>
                    <w:pStyle w:val="Compact"/>
                    <w:jc w:val="center"/>
                  </w:pPr>
                  <w:r>
                    <w:t xml:space="preserve">30.1 (0.376%)</w:t>
                  </w:r>
                </w:p>
              </w:tc>
              <w:tc>
                <w:tcPr/>
                <w:p>
                  <w:pPr>
                    <w:pStyle w:val="Compact"/>
                    <w:jc w:val="center"/>
                  </w:pPr>
                  <w:r>
                    <w:t xml:space="preserve">30.3 (0.996%)</w:t>
                  </w:r>
                </w:p>
              </w:tc>
            </w:tr>
            <w:tr>
              <w:tc>
                <w:tcPr/>
                <w:p>
                  <w:pPr>
                    <w:pStyle w:val="Compact"/>
                    <w:jc w:val="center"/>
                  </w:pPr>
                  <m:oMath>
                    <m:sSub>
                      <m:e>
                        <m:r>
                          <m:t>V</m:t>
                        </m:r>
                      </m:e>
                      <m:sub>
                        <m:r>
                          <m:rPr>
                            <m:sty m:val="p"/>
                          </m:rPr>
                          <m:t>max</m:t>
                        </m:r>
                      </m:sub>
                    </m:sSub>
                  </m:oMath>
                </w:p>
              </w:tc>
              <w:tc>
                <w:tcPr/>
                <w:p>
                  <w:pPr>
                    <w:pStyle w:val="Compact"/>
                    <w:jc w:val="center"/>
                  </w:pPr>
                  <w:r>
                    <w:t xml:space="preserve">8</w:t>
                  </w:r>
                </w:p>
              </w:tc>
              <w:tc>
                <w:tcPr/>
                <w:p>
                  <w:pPr>
                    <w:pStyle w:val="Compact"/>
                    <w:jc w:val="center"/>
                  </w:pPr>
                  <w:r>
                    <w:t xml:space="preserve">8.01 (0.134%)</w:t>
                  </w:r>
                </w:p>
              </w:tc>
              <w:tc>
                <w:tcPr/>
                <w:p>
                  <w:pPr>
                    <w:pStyle w:val="Compact"/>
                    <w:jc w:val="center"/>
                  </w:pPr>
                  <w:r>
                    <w:t xml:space="preserve">7.9 (-1.28%)</w:t>
                  </w:r>
                </w:p>
              </w:tc>
              <w:tc>
                <w:tcPr/>
                <w:p>
                  <w:pPr>
                    <w:pStyle w:val="Compact"/>
                    <w:jc w:val="center"/>
                  </w:pPr>
                  <w:r>
                    <w:t xml:space="preserve">7.89 (-1.42%)</w:t>
                  </w:r>
                </w:p>
              </w:tc>
            </w:tr>
            <w:tr>
              <w:tc>
                <w:tcPr/>
                <w:p>
                  <w:pPr>
                    <w:pStyle w:val="Compact"/>
                    <w:jc w:val="center"/>
                  </w:pPr>
                  <m:oMath>
                    <m:sSub>
                      <m:e>
                        <m:r>
                          <m:t>ω</m:t>
                        </m:r>
                      </m:e>
                      <m:sub>
                        <m:r>
                          <m:t>V</m:t>
                        </m:r>
                      </m:sub>
                    </m:sSub>
                  </m:oMath>
                </w:p>
              </w:tc>
              <w:tc>
                <w:tcPr/>
                <w:p>
                  <w:pPr>
                    <w:pStyle w:val="Compact"/>
                    <w:jc w:val="center"/>
                  </w:pPr>
                  <w:r>
                    <w:t xml:space="preserve">0.2</w:t>
                  </w:r>
                </w:p>
              </w:tc>
              <w:tc>
                <w:tcPr/>
                <w:p>
                  <w:pPr>
                    <w:pStyle w:val="Compact"/>
                    <w:jc w:val="center"/>
                  </w:pPr>
                  <w:r>
                    <w:t xml:space="preserve">0.192 (-3.93%)</w:t>
                  </w:r>
                </w:p>
              </w:tc>
              <w:tc>
                <w:tcPr/>
                <w:p>
                  <w:pPr>
                    <w:pStyle w:val="Compact"/>
                    <w:jc w:val="center"/>
                  </w:pPr>
                  <w:r>
                    <w:t xml:space="preserve">0.198 (-1.07%)</w:t>
                  </w:r>
                </w:p>
              </w:tc>
              <w:tc>
                <w:tcPr/>
                <w:p>
                  <w:pPr>
                    <w:pStyle w:val="Compact"/>
                    <w:jc w:val="center"/>
                  </w:pPr>
                  <w:r>
                    <w:t xml:space="preserve">0.2 (0.137%)</w:t>
                  </w:r>
                </w:p>
              </w:tc>
            </w:tr>
            <w:tr>
              <w:tc>
                <w:tcPr/>
                <w:p>
                  <w:pPr>
                    <w:pStyle w:val="Compact"/>
                    <w:jc w:val="center"/>
                  </w:pPr>
                  <m:oMath>
                    <m:sSub>
                      <m:e>
                        <m:r>
                          <m:t>ω</m:t>
                        </m:r>
                      </m:e>
                      <m:sub>
                        <m:sSub>
                          <m:e>
                            <m:r>
                              <m:t>V</m:t>
                            </m:r>
                          </m:e>
                          <m:sub>
                            <m:r>
                              <m:rPr>
                                <m:sty m:val="p"/>
                              </m:rPr>
                              <m:t>max</m:t>
                            </m:r>
                          </m:sub>
                        </m:sSub>
                      </m:sub>
                    </m:sSub>
                  </m:oMath>
                </w:p>
              </w:tc>
              <w:tc>
                <w:tcPr/>
                <w:p>
                  <w:pPr>
                    <w:pStyle w:val="Compact"/>
                    <w:jc w:val="center"/>
                  </w:pPr>
                  <w:r>
                    <w:t xml:space="preserve">0.3</w:t>
                  </w:r>
                </w:p>
              </w:tc>
              <w:tc>
                <w:tcPr/>
                <w:p>
                  <w:pPr>
                    <w:pStyle w:val="Compact"/>
                    <w:jc w:val="center"/>
                  </w:pPr>
                  <w:r>
                    <w:t xml:space="preserve">0.301 (0.352%)</w:t>
                  </w:r>
                </w:p>
              </w:tc>
              <w:tc>
                <w:tcPr/>
                <w:p>
                  <w:pPr>
                    <w:pStyle w:val="Compact"/>
                    <w:jc w:val="center"/>
                  </w:pPr>
                  <w:r>
                    <w:t xml:space="preserve">0.3 (0.129%)</w:t>
                  </w:r>
                </w:p>
              </w:tc>
              <w:tc>
                <w:tcPr/>
                <w:p>
                  <w:pPr>
                    <w:pStyle w:val="Compact"/>
                    <w:jc w:val="center"/>
                  </w:pPr>
                  <w:r>
                    <w:t xml:space="preserve">0.299 (-0.207%)</w:t>
                  </w:r>
                </w:p>
              </w:tc>
            </w:tr>
            <w:tr>
              <w:tc>
                <w:tcPr/>
                <w:p>
                  <w:pPr>
                    <w:pStyle w:val="Compact"/>
                    <w:jc w:val="center"/>
                  </w:pPr>
                  <m:oMath>
                    <m:r>
                      <m:t>σ</m:t>
                    </m:r>
                  </m:oMath>
                </w:p>
              </w:tc>
              <w:tc>
                <w:tcPr/>
                <w:p>
                  <w:pPr>
                    <w:pStyle w:val="Compact"/>
                    <w:jc w:val="center"/>
                  </w:pPr>
                  <w:r>
                    <w:t xml:space="preserve">0.2</w:t>
                  </w:r>
                </w:p>
              </w:tc>
              <w:tc>
                <w:tcPr/>
                <w:p>
                  <w:pPr>
                    <w:pStyle w:val="Compact"/>
                    <w:jc w:val="center"/>
                  </w:pPr>
                  <w:r>
                    <w:t xml:space="preserve">0.201 (0.719%)</w:t>
                  </w:r>
                </w:p>
              </w:tc>
              <w:tc>
                <w:tcPr/>
                <w:p>
                  <w:pPr>
                    <w:pStyle w:val="Compact"/>
                    <w:jc w:val="center"/>
                  </w:pPr>
                  <w:r>
                    <w:t xml:space="preserve">0.198 (-1.06%)</w:t>
                  </w:r>
                </w:p>
              </w:tc>
              <w:tc>
                <w:tcPr/>
                <w:p>
                  <w:pPr>
                    <w:pStyle w:val="Compact"/>
                    <w:jc w:val="center"/>
                  </w:pPr>
                  <w:r>
                    <w:t xml:space="preserve">0.196 (-2.04%)</w:t>
                  </w:r>
                </w:p>
              </w:tc>
            </w:tr>
          </w:tbl>
          <w:p>
            <w:pPr>
              <w:jc w:val="center"/>
            </w:pPr>
            <w:pPr>
              <w:jc w:val="left"/>
              <w:spacing w:before="200"/>
              <w:pStyle w:val="ImageCaption"/>
            </w:pPr>
            <w:r>
              <w:t xml:space="preserve">Table S4: Mean parameter estimates for the Michaelis-Menten elimination model at each</w:t>
            </w:r>
            <w:r>
              <w:t xml:space="preserve"> </w:t>
            </w:r>
            <m:oMath>
              <m:r>
                <m:t>K</m:t>
              </m:r>
            </m:oMath>
            <w:r>
              <w:t xml:space="preserve">. Relative bias (%) is shown in parentheses; ground-truth values are provided for reference.</w:t>
            </w:r>
          </w:p>
          <w:bookmarkEnd w:id="10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3" w:name="supptbl-realdata-k1-vs-khigh"/>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Dataset</w:t>
                  </w:r>
                </w:p>
              </w:tc>
              <w:tc>
                <w:tcPr/>
                <w:p>
                  <w:pPr>
                    <w:pStyle w:val="Compact"/>
                    <w:jc w:val="center"/>
                  </w:pPr>
                  <w:r>
                    <w:t xml:space="preserve">Parameter</w:t>
                  </w:r>
                </w:p>
              </w:tc>
              <w:tc>
                <w:tcPr/>
                <w:p>
                  <w:pPr>
                    <w:pStyle w:val="Compact"/>
                    <w:jc w:val="center"/>
                  </w:pPr>
                  <m:oMath>
                    <m:r>
                      <m:t>K</m:t>
                    </m:r>
                    <m:r>
                      <m:rPr>
                        <m:sty m:val="p"/>
                      </m:rPr>
                      <m:t>=</m:t>
                    </m:r>
                    <m:r>
                      <m:t>1</m:t>
                    </m:r>
                  </m:oMath>
                </w:p>
              </w:tc>
              <w:tc>
                <w:tcPr/>
                <w:p>
                  <w:pPr>
                    <w:pStyle w:val="Compact"/>
                    <w:jc w:val="center"/>
                  </w:pPr>
                  <m:oMath>
                    <m:r>
                      <m:t>K</m:t>
                    </m:r>
                    <m:r>
                      <m:rPr>
                        <m:sty m:val="p"/>
                      </m:rPr>
                      <m:t>=</m:t>
                    </m:r>
                    <m:r>
                      <m:t>64</m:t>
                    </m:r>
                  </m:oMath>
                </w:p>
              </w:tc>
              <w:tc>
                <w:tcPr/>
                <w:p>
                  <w:pPr>
                    <w:pStyle w:val="Compact"/>
                    <w:jc w:val="center"/>
                  </w:pPr>
                  <w:r>
                    <w:t xml:space="preserve">Difference (%)</w:t>
                  </w:r>
                </w:p>
              </w:tc>
            </w:tr>
            <w:tr>
              <w:tc>
                <w:tcPr/>
                <w:p>
                  <w:pPr>
                    <w:pStyle w:val="Compact"/>
                    <w:jc w:val="center"/>
                  </w:pPr>
                  <w:r>
                    <w:t xml:space="preserve">theophylline</w:t>
                  </w:r>
                </w:p>
              </w:tc>
              <w:tc>
                <w:tcPr/>
                <w:p>
                  <w:pPr>
                    <w:pStyle w:val="Compact"/>
                    <w:jc w:val="center"/>
                  </w:pPr>
                  <m:oMath>
                    <m:r>
                      <m:t>C</m:t>
                    </m:r>
                    <m:r>
                      <m:t>L</m:t>
                    </m:r>
                  </m:oMath>
                </w:p>
              </w:tc>
              <w:tc>
                <w:tcPr/>
                <w:p>
                  <w:pPr>
                    <w:pStyle w:val="Compact"/>
                    <w:jc w:val="center"/>
                  </w:pPr>
                  <w:r>
                    <w:t xml:space="preserve">0.04</w:t>
                  </w:r>
                </w:p>
              </w:tc>
              <w:tc>
                <w:tcPr/>
                <w:p>
                  <w:pPr>
                    <w:pStyle w:val="Compact"/>
                    <w:jc w:val="center"/>
                  </w:pPr>
                  <w:r>
                    <w:t xml:space="preserve">0.0403</w:t>
                  </w:r>
                </w:p>
              </w:tc>
              <w:tc>
                <w:tcPr/>
                <w:p>
                  <w:pPr>
                    <w:pStyle w:val="Compact"/>
                    <w:jc w:val="center"/>
                  </w:pPr>
                  <w:r>
                    <w:t xml:space="preserve">-0.882</w:t>
                  </w:r>
                </w:p>
              </w:tc>
            </w:tr>
            <w:tr>
              <w:tc>
                <w:tcPr/>
                <w:p>
                  <w:pPr>
                    <w:pStyle w:val="Compact"/>
                    <w:jc w:val="center"/>
                  </w:pPr>
                  <w:r>
                    <w:t xml:space="preserve">theophylline</w:t>
                  </w:r>
                </w:p>
              </w:tc>
              <w:tc>
                <w:tcPr/>
                <w:p>
                  <w:pPr>
                    <w:pStyle w:val="Compact"/>
                    <w:jc w:val="center"/>
                  </w:pPr>
                  <m:oMath>
                    <m:r>
                      <m:t>V</m:t>
                    </m:r>
                  </m:oMath>
                </w:p>
              </w:tc>
              <w:tc>
                <w:tcPr/>
                <w:p>
                  <w:pPr>
                    <w:pStyle w:val="Compact"/>
                    <w:jc w:val="center"/>
                  </w:pPr>
                  <w:r>
                    <w:t xml:space="preserve">0.462</w:t>
                  </w:r>
                </w:p>
              </w:tc>
              <w:tc>
                <w:tcPr/>
                <w:p>
                  <w:pPr>
                    <w:pStyle w:val="Compact"/>
                    <w:jc w:val="center"/>
                  </w:pPr>
                  <w:r>
                    <w:t xml:space="preserve">0.452</w:t>
                  </w:r>
                </w:p>
              </w:tc>
              <w:tc>
                <w:tcPr/>
                <w:p>
                  <w:pPr>
                    <w:pStyle w:val="Compact"/>
                    <w:jc w:val="center"/>
                  </w:pPr>
                  <w:r>
                    <w:t xml:space="preserve">2.35</w:t>
                  </w:r>
                </w:p>
              </w:tc>
            </w:tr>
            <w:tr>
              <w:tc>
                <w:tcPr/>
                <w:p>
                  <w:pPr>
                    <w:pStyle w:val="Compact"/>
                    <w:jc w:val="center"/>
                  </w:pPr>
                  <w:r>
                    <w:t xml:space="preserve">theophylline</w:t>
                  </w:r>
                </w:p>
              </w:tc>
              <w:tc>
                <w:tcPr/>
                <w:p>
                  <w:pPr>
                    <w:pStyle w:val="Compact"/>
                    <w:jc w:val="center"/>
                  </w:pPr>
                  <m:oMath>
                    <m:sSub>
                      <m:e>
                        <m:r>
                          <m:t>k</m:t>
                        </m:r>
                      </m:e>
                      <m:sub>
                        <m:r>
                          <m:t>a</m:t>
                        </m:r>
                      </m:sub>
                    </m:sSub>
                  </m:oMath>
                </w:p>
              </w:tc>
              <w:tc>
                <w:tcPr/>
                <w:p>
                  <w:pPr>
                    <w:pStyle w:val="Compact"/>
                    <w:jc w:val="center"/>
                  </w:pPr>
                  <w:r>
                    <w:t xml:space="preserve">1.29</w:t>
                  </w:r>
                </w:p>
              </w:tc>
              <w:tc>
                <w:tcPr/>
                <w:p>
                  <w:pPr>
                    <w:pStyle w:val="Compact"/>
                    <w:jc w:val="center"/>
                  </w:pPr>
                  <w:r>
                    <w:t xml:space="preserve">1.34</w:t>
                  </w:r>
                </w:p>
              </w:tc>
              <w:tc>
                <w:tcPr/>
                <w:p>
                  <w:pPr>
                    <w:pStyle w:val="Compact"/>
                    <w:jc w:val="center"/>
                  </w:pPr>
                  <w:r>
                    <w:t xml:space="preserve">-4.27</w:t>
                  </w:r>
                </w:p>
              </w:tc>
            </w:tr>
            <w:tr>
              <w:tc>
                <w:tcPr/>
                <w:p>
                  <w:pPr>
                    <w:pStyle w:val="Compact"/>
                    <w:jc w:val="center"/>
                  </w:pPr>
                  <w:r>
                    <w:t xml:space="preserve">theophylline</w:t>
                  </w:r>
                </w:p>
              </w:tc>
              <w:tc>
                <w:tcPr/>
                <w:p>
                  <w:pPr>
                    <w:pStyle w:val="Compact"/>
                    <w:jc w:val="center"/>
                  </w:pPr>
                  <m:oMath>
                    <m:sSub>
                      <m:e>
                        <m:r>
                          <m:t>ω</m:t>
                        </m:r>
                      </m:e>
                      <m:sub>
                        <m:r>
                          <m:t>C</m:t>
                        </m:r>
                        <m:r>
                          <m:t>L</m:t>
                        </m:r>
                      </m:sub>
                    </m:sSub>
                  </m:oMath>
                </w:p>
              </w:tc>
              <w:tc>
                <w:tcPr/>
                <w:p>
                  <w:pPr>
                    <w:pStyle w:val="Compact"/>
                    <w:jc w:val="center"/>
                  </w:pPr>
                  <w:r>
                    <w:t xml:space="preserve">0.245</w:t>
                  </w:r>
                </w:p>
              </w:tc>
              <w:tc>
                <w:tcPr/>
                <w:p>
                  <w:pPr>
                    <w:pStyle w:val="Compact"/>
                    <w:jc w:val="center"/>
                  </w:pPr>
                  <w:r>
                    <w:t xml:space="preserve">0.255</w:t>
                  </w:r>
                </w:p>
              </w:tc>
              <w:tc>
                <w:tcPr/>
                <w:p>
                  <w:pPr>
                    <w:pStyle w:val="Compact"/>
                    <w:jc w:val="center"/>
                  </w:pPr>
                  <w:r>
                    <w:t xml:space="preserve">-3.81</w:t>
                  </w:r>
                </w:p>
              </w:tc>
            </w:tr>
            <w:tr>
              <w:tc>
                <w:tcPr/>
                <w:p>
                  <w:pPr>
                    <w:pStyle w:val="Compact"/>
                    <w:jc w:val="center"/>
                  </w:pPr>
                  <w:r>
                    <w:t xml:space="preserve">theophylline</w:t>
                  </w:r>
                </w:p>
              </w:tc>
              <w:tc>
                <w:tcPr/>
                <w:p>
                  <w:pPr>
                    <w:pStyle w:val="Compact"/>
                    <w:jc w:val="center"/>
                  </w:pPr>
                  <m:oMath>
                    <m:sSub>
                      <m:e>
                        <m:r>
                          <m:t>ω</m:t>
                        </m:r>
                      </m:e>
                      <m:sub>
                        <m:r>
                          <m:t>V</m:t>
                        </m:r>
                      </m:sub>
                    </m:sSub>
                  </m:oMath>
                </w:p>
              </w:tc>
              <w:tc>
                <w:tcPr/>
                <w:p>
                  <w:pPr>
                    <w:pStyle w:val="Compact"/>
                    <w:jc w:val="center"/>
                  </w:pPr>
                  <w:r>
                    <w:t xml:space="preserve">0.0921</w:t>
                  </w:r>
                </w:p>
              </w:tc>
              <w:tc>
                <w:tcPr/>
                <w:p>
                  <w:pPr>
                    <w:pStyle w:val="Compact"/>
                    <w:jc w:val="center"/>
                  </w:pPr>
                  <w:r>
                    <w:t xml:space="preserve">0.113</w:t>
                  </w:r>
                </w:p>
              </w:tc>
              <w:tc>
                <w:tcPr/>
                <w:p>
                  <w:pPr>
                    <w:pStyle w:val="Compact"/>
                    <w:jc w:val="center"/>
                  </w:pPr>
                  <w:r>
                    <w:t xml:space="preserve">-18.2</w:t>
                  </w:r>
                </w:p>
              </w:tc>
            </w:tr>
            <w:tr>
              <w:tc>
                <w:tcPr/>
                <w:p>
                  <w:pPr>
                    <w:pStyle w:val="Compact"/>
                    <w:jc w:val="center"/>
                  </w:pPr>
                  <w:r>
                    <w:t xml:space="preserve">theophylline</w:t>
                  </w:r>
                </w:p>
              </w:tc>
              <w:tc>
                <w:tcPr/>
                <w:p>
                  <w:pPr>
                    <w:pStyle w:val="Compact"/>
                    <w:jc w:val="center"/>
                  </w:pPr>
                  <m:oMath>
                    <m:sSub>
                      <m:e>
                        <m:r>
                          <m:t>ω</m:t>
                        </m:r>
                      </m:e>
                      <m:sub>
                        <m:sSub>
                          <m:e>
                            <m:r>
                              <m:t>k</m:t>
                            </m:r>
                          </m:e>
                          <m:sub>
                            <m:r>
                              <m:t>a</m:t>
                            </m:r>
                          </m:sub>
                        </m:sSub>
                      </m:sub>
                    </m:sSub>
                  </m:oMath>
                </w:p>
              </w:tc>
              <w:tc>
                <w:tcPr/>
                <w:p>
                  <w:pPr>
                    <w:pStyle w:val="Compact"/>
                    <w:jc w:val="center"/>
                  </w:pPr>
                  <w:r>
                    <w:t xml:space="preserve">0.646</w:t>
                  </w:r>
                </w:p>
              </w:tc>
              <w:tc>
                <w:tcPr/>
                <w:p>
                  <w:pPr>
                    <w:pStyle w:val="Compact"/>
                    <w:jc w:val="center"/>
                  </w:pPr>
                  <w:r>
                    <w:t xml:space="preserve">0.682</w:t>
                  </w:r>
                </w:p>
              </w:tc>
              <w:tc>
                <w:tcPr/>
                <w:p>
                  <w:pPr>
                    <w:pStyle w:val="Compact"/>
                    <w:jc w:val="center"/>
                  </w:pPr>
                  <w:r>
                    <w:t xml:space="preserve">-5.22</w:t>
                  </w:r>
                </w:p>
              </w:tc>
            </w:tr>
            <w:tr>
              <w:tc>
                <w:tcPr/>
                <w:p>
                  <w:pPr>
                    <w:pStyle w:val="Compact"/>
                    <w:jc w:val="center"/>
                  </w:pPr>
                  <w:r>
                    <w:t xml:space="preserve">theophylline</w:t>
                  </w:r>
                </w:p>
              </w:tc>
              <w:tc>
                <w:tcPr/>
                <w:p>
                  <w:pPr>
                    <w:pStyle w:val="Compact"/>
                    <w:jc w:val="center"/>
                  </w:pPr>
                  <m:oMath>
                    <m:r>
                      <m:t>σ</m:t>
                    </m:r>
                  </m:oMath>
                </w:p>
              </w:tc>
              <w:tc>
                <w:tcPr/>
                <w:p>
                  <w:pPr>
                    <w:pStyle w:val="Compact"/>
                    <w:jc w:val="center"/>
                  </w:pPr>
                  <w:r>
                    <w:t xml:space="preserve">0.18</w:t>
                  </w:r>
                </w:p>
              </w:tc>
              <w:tc>
                <w:tcPr/>
                <w:p>
                  <w:pPr>
                    <w:pStyle w:val="Compact"/>
                    <w:jc w:val="center"/>
                  </w:pPr>
                  <w:r>
                    <w:t xml:space="preserve">0.172</w:t>
                  </w:r>
                </w:p>
              </w:tc>
              <w:tc>
                <w:tcPr/>
                <w:p>
                  <w:pPr>
                    <w:pStyle w:val="Compact"/>
                    <w:jc w:val="center"/>
                  </w:pPr>
                  <w:r>
                    <w:t xml:space="preserve">4.82</w:t>
                  </w:r>
                </w:p>
              </w:tc>
            </w:tr>
            <w:tr>
              <w:tc>
                <w:tcPr/>
                <w:p>
                  <w:pPr>
                    <w:pStyle w:val="Compact"/>
                    <w:jc w:val="center"/>
                  </w:pPr>
                  <w:r>
                    <w:t xml:space="preserve">warfarin</w:t>
                  </w:r>
                </w:p>
              </w:tc>
              <w:tc>
                <w:tcPr/>
                <w:p>
                  <w:pPr>
                    <w:pStyle w:val="Compact"/>
                    <w:jc w:val="center"/>
                  </w:pPr>
                  <m:oMath>
                    <m:r>
                      <m:t>C</m:t>
                    </m:r>
                    <m:r>
                      <m:t>L</m:t>
                    </m:r>
                  </m:oMath>
                </w:p>
              </w:tc>
              <w:tc>
                <w:tcPr/>
                <w:p>
                  <w:pPr>
                    <w:pStyle w:val="Compact"/>
                    <w:jc w:val="center"/>
                  </w:pPr>
                  <w:r>
                    <w:t xml:space="preserve">0.132</w:t>
                  </w:r>
                </w:p>
              </w:tc>
              <w:tc>
                <w:tcPr/>
                <w:p>
                  <w:pPr>
                    <w:pStyle w:val="Compact"/>
                    <w:jc w:val="center"/>
                  </w:pPr>
                  <w:r>
                    <w:t xml:space="preserve">0.13</w:t>
                  </w:r>
                </w:p>
              </w:tc>
              <w:tc>
                <w:tcPr/>
                <w:p>
                  <w:pPr>
                    <w:pStyle w:val="Compact"/>
                    <w:jc w:val="center"/>
                  </w:pPr>
                  <w:r>
                    <w:t xml:space="preserve">2.3</w:t>
                  </w:r>
                </w:p>
              </w:tc>
            </w:tr>
            <w:tr>
              <w:tc>
                <w:tcPr/>
                <w:p>
                  <w:pPr>
                    <w:pStyle w:val="Compact"/>
                    <w:jc w:val="center"/>
                  </w:pPr>
                  <w:r>
                    <w:t xml:space="preserve">warfarin</w:t>
                  </w:r>
                </w:p>
              </w:tc>
              <w:tc>
                <w:tcPr/>
                <w:p>
                  <w:pPr>
                    <w:pStyle w:val="Compact"/>
                    <w:jc w:val="center"/>
                  </w:pPr>
                  <m:oMath>
                    <m:r>
                      <m:t>V</m:t>
                    </m:r>
                  </m:oMath>
                </w:p>
              </w:tc>
              <w:tc>
                <w:tcPr/>
                <w:p>
                  <w:pPr>
                    <w:pStyle w:val="Compact"/>
                    <w:jc w:val="center"/>
                  </w:pPr>
                  <w:r>
                    <w:t xml:space="preserve">7.94</w:t>
                  </w:r>
                </w:p>
              </w:tc>
              <w:tc>
                <w:tcPr/>
                <w:p>
                  <w:pPr>
                    <w:pStyle w:val="Compact"/>
                    <w:jc w:val="center"/>
                  </w:pPr>
                  <w:r>
                    <w:t xml:space="preserve">8.02</w:t>
                  </w:r>
                </w:p>
              </w:tc>
              <w:tc>
                <w:tcPr/>
                <w:p>
                  <w:pPr>
                    <w:pStyle w:val="Compact"/>
                    <w:jc w:val="center"/>
                  </w:pPr>
                  <w:r>
                    <w:t xml:space="preserve">-1.01</w:t>
                  </w:r>
                </w:p>
              </w:tc>
            </w:tr>
            <w:tr>
              <w:tc>
                <w:tcPr/>
                <w:p>
                  <w:pPr>
                    <w:pStyle w:val="Compact"/>
                    <w:jc w:val="center"/>
                  </w:pPr>
                  <w:r>
                    <w:t xml:space="preserve">warfarin</w:t>
                  </w:r>
                </w:p>
              </w:tc>
              <w:tc>
                <w:tcPr/>
                <w:p>
                  <w:pPr>
                    <w:pStyle w:val="Compact"/>
                    <w:jc w:val="center"/>
                  </w:pPr>
                  <m:oMath>
                    <m:sSub>
                      <m:e>
                        <m:r>
                          <m:t>k</m:t>
                        </m:r>
                      </m:e>
                      <m:sub>
                        <m:r>
                          <m:t>a</m:t>
                        </m:r>
                      </m:sub>
                    </m:sSub>
                  </m:oMath>
                </w:p>
              </w:tc>
              <w:tc>
                <w:tcPr/>
                <w:p>
                  <w:pPr>
                    <w:pStyle w:val="Compact"/>
                    <w:jc w:val="center"/>
                  </w:pPr>
                  <w:r>
                    <w:t xml:space="preserve">0.617</w:t>
                  </w:r>
                </w:p>
              </w:tc>
              <w:tc>
                <w:tcPr/>
                <w:p>
                  <w:pPr>
                    <w:pStyle w:val="Compact"/>
                    <w:jc w:val="center"/>
                  </w:pPr>
                  <w:r>
                    <w:t xml:space="preserve">0.637</w:t>
                  </w:r>
                </w:p>
              </w:tc>
              <w:tc>
                <w:tcPr/>
                <w:p>
                  <w:pPr>
                    <w:pStyle w:val="Compact"/>
                    <w:jc w:val="center"/>
                  </w:pPr>
                  <w:r>
                    <w:t xml:space="preserve">-3.1</w:t>
                  </w:r>
                </w:p>
              </w:tc>
            </w:tr>
            <w:tr>
              <w:tc>
                <w:tcPr/>
                <w:p>
                  <w:pPr>
                    <w:pStyle w:val="Compact"/>
                    <w:jc w:val="center"/>
                  </w:pPr>
                  <w:r>
                    <w:t xml:space="preserve">warfarin</w:t>
                  </w:r>
                </w:p>
              </w:tc>
              <w:tc>
                <w:tcPr/>
                <w:p>
                  <w:pPr>
                    <w:pStyle w:val="Compact"/>
                    <w:jc w:val="center"/>
                  </w:pPr>
                  <m:oMath>
                    <m:sSub>
                      <m:e>
                        <m:r>
                          <m:t>ω</m:t>
                        </m:r>
                      </m:e>
                      <m:sub>
                        <m:r>
                          <m:t>C</m:t>
                        </m:r>
                        <m:r>
                          <m:t>L</m:t>
                        </m:r>
                      </m:sub>
                    </m:sSub>
                  </m:oMath>
                </w:p>
              </w:tc>
              <w:tc>
                <w:tcPr/>
                <w:p>
                  <w:pPr>
                    <w:pStyle w:val="Compact"/>
                    <w:jc w:val="center"/>
                  </w:pPr>
                  <w:r>
                    <w:t xml:space="preserve">0.278</w:t>
                  </w:r>
                </w:p>
              </w:tc>
              <w:tc>
                <w:tcPr/>
                <w:p>
                  <w:pPr>
                    <w:pStyle w:val="Compact"/>
                    <w:jc w:val="center"/>
                  </w:pPr>
                  <w:r>
                    <w:t xml:space="preserve">0.276</w:t>
                  </w:r>
                </w:p>
              </w:tc>
              <w:tc>
                <w:tcPr/>
                <w:p>
                  <w:pPr>
                    <w:pStyle w:val="Compact"/>
                    <w:jc w:val="center"/>
                  </w:pPr>
                  <w:r>
                    <w:t xml:space="preserve">0.772</w:t>
                  </w:r>
                </w:p>
              </w:tc>
            </w:tr>
            <w:tr>
              <w:tc>
                <w:tcPr/>
                <w:p>
                  <w:pPr>
                    <w:pStyle w:val="Compact"/>
                    <w:jc w:val="center"/>
                  </w:pPr>
                  <w:r>
                    <w:t xml:space="preserve">warfarin</w:t>
                  </w:r>
                </w:p>
              </w:tc>
              <w:tc>
                <w:tcPr/>
                <w:p>
                  <w:pPr>
                    <w:pStyle w:val="Compact"/>
                    <w:jc w:val="center"/>
                  </w:pPr>
                  <m:oMath>
                    <m:sSub>
                      <m:e>
                        <m:r>
                          <m:t>ω</m:t>
                        </m:r>
                      </m:e>
                      <m:sub>
                        <m:r>
                          <m:t>V</m:t>
                        </m:r>
                      </m:sub>
                    </m:sSub>
                  </m:oMath>
                </w:p>
              </w:tc>
              <w:tc>
                <w:tcPr/>
                <w:p>
                  <w:pPr>
                    <w:pStyle w:val="Compact"/>
                    <w:jc w:val="center"/>
                  </w:pPr>
                  <w:r>
                    <w:t xml:space="preserve">0.19</w:t>
                  </w:r>
                </w:p>
              </w:tc>
              <w:tc>
                <w:tcPr/>
                <w:p>
                  <w:pPr>
                    <w:pStyle w:val="Compact"/>
                    <w:jc w:val="center"/>
                  </w:pPr>
                  <w:r>
                    <w:t xml:space="preserve">0.207</w:t>
                  </w:r>
                </w:p>
              </w:tc>
              <w:tc>
                <w:tcPr/>
                <w:p>
                  <w:pPr>
                    <w:pStyle w:val="Compact"/>
                    <w:jc w:val="center"/>
                  </w:pPr>
                  <w:r>
                    <w:t xml:space="preserve">-8.6</w:t>
                  </w:r>
                </w:p>
              </w:tc>
            </w:tr>
            <w:tr>
              <w:tc>
                <w:tcPr/>
                <w:p>
                  <w:pPr>
                    <w:pStyle w:val="Compact"/>
                    <w:jc w:val="center"/>
                  </w:pPr>
                  <w:r>
                    <w:t xml:space="preserve">warfarin</w:t>
                  </w:r>
                </w:p>
              </w:tc>
              <w:tc>
                <w:tcPr/>
                <w:p>
                  <w:pPr>
                    <w:pStyle w:val="Compact"/>
                    <w:jc w:val="center"/>
                  </w:pPr>
                  <m:oMath>
                    <m:sSub>
                      <m:e>
                        <m:r>
                          <m:t>ω</m:t>
                        </m:r>
                      </m:e>
                      <m:sub>
                        <m:sSub>
                          <m:e>
                            <m:r>
                              <m:t>k</m:t>
                            </m:r>
                          </m:e>
                          <m:sub>
                            <m:r>
                              <m:t>a</m:t>
                            </m:r>
                          </m:sub>
                        </m:sSub>
                      </m:sub>
                    </m:sSub>
                  </m:oMath>
                </w:p>
              </w:tc>
              <w:tc>
                <w:tcPr/>
                <w:p>
                  <w:pPr>
                    <w:pStyle w:val="Compact"/>
                    <w:jc w:val="center"/>
                  </w:pPr>
                  <w:r>
                    <w:t xml:space="preserve">0.811</w:t>
                  </w:r>
                </w:p>
              </w:tc>
              <w:tc>
                <w:tcPr/>
                <w:p>
                  <w:pPr>
                    <w:pStyle w:val="Compact"/>
                    <w:jc w:val="center"/>
                  </w:pPr>
                  <w:r>
                    <w:t xml:space="preserve">0.978</w:t>
                  </w:r>
                </w:p>
              </w:tc>
              <w:tc>
                <w:tcPr/>
                <w:p>
                  <w:pPr>
                    <w:pStyle w:val="Compact"/>
                    <w:jc w:val="center"/>
                  </w:pPr>
                  <w:r>
                    <w:t xml:space="preserve">-17</w:t>
                  </w:r>
                </w:p>
              </w:tc>
            </w:tr>
            <w:tr>
              <w:tc>
                <w:tcPr/>
                <w:p>
                  <w:pPr>
                    <w:pStyle w:val="Compact"/>
                    <w:jc w:val="center"/>
                  </w:pPr>
                  <w:r>
                    <w:t xml:space="preserve">warfarin</w:t>
                  </w:r>
                </w:p>
              </w:tc>
              <w:tc>
                <w:tcPr/>
                <w:p>
                  <w:pPr>
                    <w:pStyle w:val="Compact"/>
                    <w:jc w:val="center"/>
                  </w:pPr>
                  <m:oMath>
                    <m:r>
                      <m:t>σ</m:t>
                    </m:r>
                  </m:oMath>
                </w:p>
              </w:tc>
              <w:tc>
                <w:tcPr/>
                <w:p>
                  <w:pPr>
                    <w:pStyle w:val="Compact"/>
                    <w:jc w:val="center"/>
                  </w:pPr>
                  <w:r>
                    <w:t xml:space="preserve">0.207</w:t>
                  </w:r>
                </w:p>
              </w:tc>
              <w:tc>
                <w:tcPr/>
                <w:p>
                  <w:pPr>
                    <w:pStyle w:val="Compact"/>
                    <w:jc w:val="center"/>
                  </w:pPr>
                  <w:r>
                    <w:t xml:space="preserve">0.203</w:t>
                  </w:r>
                </w:p>
              </w:tc>
              <w:tc>
                <w:tcPr/>
                <w:p>
                  <w:pPr>
                    <w:pStyle w:val="Compact"/>
                    <w:jc w:val="center"/>
                  </w:pPr>
                  <w:r>
                    <w:t xml:space="preserve">2.11</w:t>
                  </w:r>
                </w:p>
              </w:tc>
            </w:tr>
          </w:tbl>
          <w:p>
            <w:pPr>
              <w:jc w:val="center"/>
            </w:pPr>
            <w:pPr>
              <w:jc w:val="left"/>
              <w:spacing w:before="200"/>
              <w:pStyle w:val="ImageCaption"/>
            </w:pPr>
            <w:r>
              <w:t xml:space="preserve">Table S5: Parameter estimates at</w:t>
            </w:r>
            <w:r>
              <w:t xml:space="preserve"> </w:t>
            </w:r>
            <m:oMath>
              <m:r>
                <m:t>K</m:t>
              </m:r>
              <m:r>
                <m:rPr>
                  <m:sty m:val="p"/>
                </m:rPr>
                <m:t>=</m:t>
              </m:r>
              <m:r>
                <m:t>1</m:t>
              </m:r>
            </m:oMath>
            <w:r>
              <w:t xml:space="preserve"> </w:t>
            </w:r>
            <w:r>
              <w:t xml:space="preserve">versus</w:t>
            </w:r>
            <w:r>
              <w:t xml:space="preserve"> </w:t>
            </w:r>
            <m:oMath>
              <m:r>
                <m:t>K</m:t>
              </m:r>
              <m:r>
                <m:rPr>
                  <m:sty m:val="p"/>
                </m:rPr>
                <m:t>=</m:t>
              </m:r>
              <m:r>
                <m:t>64</m:t>
              </m:r>
            </m:oMath>
            <w:r>
              <w:t xml:space="preserve"> </w:t>
            </w:r>
            <w:r>
              <w:t xml:space="preserve">for the theophylline and warfarin datasets, with percent difference between the two estimates.</w:t>
            </w:r>
          </w:p>
          <w:bookmarkEnd w:id="10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4" w:name="supptbl-psis-ess"/>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Fit-quality arm</w:t>
                  </w:r>
                </w:p>
              </w:tc>
              <w:tc>
                <w:tcPr/>
                <w:p>
                  <w:pPr>
                    <w:pStyle w:val="Compact"/>
                    <w:jc w:val="center"/>
                  </w:pPr>
                  <w:r>
                    <w:t xml:space="preserve">Mean</w:t>
                  </w:r>
                </w:p>
              </w:tc>
              <w:tc>
                <w:tcPr/>
                <w:p>
                  <w:pPr>
                    <w:pStyle w:val="Compact"/>
                    <w:jc w:val="center"/>
                  </w:pPr>
                  <w:r>
                    <w:t xml:space="preserve">Median</w:t>
                  </w:r>
                </w:p>
              </w:tc>
              <w:tc>
                <w:tcPr/>
                <w:p>
                  <w:pPr>
                    <w:pStyle w:val="Compact"/>
                    <w:jc w:val="center"/>
                  </w:pPr>
                  <w:r>
                    <w:t xml:space="preserve">Minimum</w:t>
                  </w:r>
                </w:p>
              </w:tc>
              <w:tc>
                <w:tcPr/>
                <w:p>
                  <w:pPr>
                    <w:pStyle w:val="Compact"/>
                    <w:jc w:val="center"/>
                  </w:pPr>
                  <w:r>
                    <w:t xml:space="preserve">Maximum</w:t>
                  </w:r>
                </w:p>
              </w:tc>
            </w:tr>
            <w:tr>
              <w:tc>
                <w:tcPr/>
                <w:p>
                  <w:pPr>
                    <w:pStyle w:val="Compact"/>
                    <w:jc w:val="center"/>
                  </w:pPr>
                  <w:r>
                    <w:t xml:space="preserve">bad</w:t>
                  </w:r>
                </w:p>
              </w:tc>
              <w:tc>
                <w:tcPr/>
                <w:p>
                  <w:pPr>
                    <w:pStyle w:val="Compact"/>
                    <w:jc w:val="center"/>
                  </w:pPr>
                  <w:r>
                    <w:t xml:space="preserve">1200</w:t>
                  </w:r>
                </w:p>
              </w:tc>
              <w:tc>
                <w:tcPr/>
                <w:p>
                  <w:pPr>
                    <w:pStyle w:val="Compact"/>
                    <w:jc w:val="center"/>
                  </w:pPr>
                  <w:r>
                    <w:t xml:space="preserve">1180</w:t>
                  </w:r>
                </w:p>
              </w:tc>
              <w:tc>
                <w:tcPr/>
                <w:p>
                  <w:pPr>
                    <w:pStyle w:val="Compact"/>
                    <w:jc w:val="center"/>
                  </w:pPr>
                  <w:r>
                    <w:t xml:space="preserve">175</w:t>
                  </w:r>
                </w:p>
              </w:tc>
              <w:tc>
                <w:tcPr/>
                <w:p>
                  <w:pPr>
                    <w:pStyle w:val="Compact"/>
                    <w:jc w:val="center"/>
                  </w:pPr>
                  <w:r>
                    <w:t xml:space="preserve">2850</w:t>
                  </w:r>
                </w:p>
              </w:tc>
            </w:tr>
            <w:tr>
              <w:tc>
                <w:tcPr/>
                <w:p>
                  <w:pPr>
                    <w:pStyle w:val="Compact"/>
                    <w:jc w:val="center"/>
                  </w:pPr>
                  <w:r>
                    <w:t xml:space="preserve">good</w:t>
                  </w:r>
                </w:p>
              </w:tc>
              <w:tc>
                <w:tcPr/>
                <w:p>
                  <w:pPr>
                    <w:pStyle w:val="Compact"/>
                    <w:jc w:val="center"/>
                  </w:pPr>
                  <w:r>
                    <w:t xml:space="preserve">1790</w:t>
                  </w:r>
                </w:p>
              </w:tc>
              <w:tc>
                <w:tcPr/>
                <w:p>
                  <w:pPr>
                    <w:pStyle w:val="Compact"/>
                    <w:jc w:val="center"/>
                  </w:pPr>
                  <w:r>
                    <w:t xml:space="preserve">1790</w:t>
                  </w:r>
                </w:p>
              </w:tc>
              <w:tc>
                <w:tcPr/>
                <w:p>
                  <w:pPr>
                    <w:pStyle w:val="Compact"/>
                    <w:jc w:val="center"/>
                  </w:pPr>
                  <w:r>
                    <w:t xml:space="preserve">10.7</w:t>
                  </w:r>
                </w:p>
              </w:tc>
              <w:tc>
                <w:tcPr/>
                <w:p>
                  <w:pPr>
                    <w:pStyle w:val="Compact"/>
                    <w:jc w:val="center"/>
                  </w:pPr>
                  <w:r>
                    <w:t xml:space="preserve">3220</w:t>
                  </w:r>
                </w:p>
              </w:tc>
            </w:tr>
          </w:tbl>
          <w:p>
            <w:pPr>
              <w:jc w:val="center"/>
            </w:pPr>
            <w:pPr>
              <w:jc w:val="left"/>
              <w:spacing w:before="200"/>
              <w:pStyle w:val="ImageCaption"/>
            </w:pPr>
            <w:r>
              <w:t xml:space="preserve">Table S6: Aggregate importance-sampling effective sample size by fit-quality arm.</w:t>
            </w:r>
          </w:p>
          <w:bookmarkEnd w:id="10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5" w:name="supptbl-deltaofv-calibration"/>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Condition</w:t>
                  </w:r>
                </w:p>
              </w:tc>
              <w:tc>
                <w:tcPr/>
                <w:p>
                  <w:pPr>
                    <w:pStyle w:val="Compact"/>
                    <w:jc w:val="center"/>
                  </w:pPr>
                  <w:r>
                    <w:t xml:space="preserve">Replicates</w:t>
                  </w:r>
                </w:p>
              </w:tc>
              <w:tc>
                <w:tcPr/>
                <w:p>
                  <w:pPr>
                    <w:pStyle w:val="Compact"/>
                    <w:jc w:val="center"/>
                  </w:pPr>
                  <w:r>
                    <w:t xml:space="preserve">Boundary fraction (%)</w:t>
                  </w:r>
                </w:p>
              </w:tc>
              <w:tc>
                <w:tcPr/>
                <w:p>
                  <w:pPr>
                    <w:pStyle w:val="Compact"/>
                    <w:jc w:val="center"/>
                  </w:pPr>
                  <w:r>
                    <w:t xml:space="preserve">Negative</w:t>
                  </w:r>
                  <w:r>
                    <w:t xml:space="preserve"> </w:t>
                  </w:r>
                  <m:oMath>
                    <m:r>
                      <m:t>Δ</m:t>
                    </m:r>
                  </m:oMath>
                  <w:r>
                    <w:t xml:space="preserve">OFV</w:t>
                  </w:r>
                </w:p>
              </w:tc>
              <w:tc>
                <w:tcPr/>
                <w:p>
                  <w:pPr>
                    <w:pStyle w:val="Compact"/>
                    <w:jc w:val="center"/>
                  </w:pPr>
                  <w:r>
                    <w:t xml:space="preserve">KS statistic</w:t>
                  </w:r>
                </w:p>
              </w:tc>
              <w:tc>
                <w:tcPr/>
                <w:p>
                  <w:pPr>
                    <w:pStyle w:val="Compact"/>
                    <w:jc w:val="center"/>
                  </w:pPr>
                  <w:r>
                    <w:t xml:space="preserve">KS p-value</w:t>
                  </w:r>
                </w:p>
              </w:tc>
              <w:tc>
                <w:tcPr/>
                <w:p>
                  <w:pPr>
                    <w:pStyle w:val="Compact"/>
                    <w:jc w:val="center"/>
                  </w:pPr>
                  <w:r>
                    <w:t xml:space="preserve">Type-I error (%)</w:t>
                  </w:r>
                </w:p>
              </w:tc>
            </w:tr>
            <w:tr>
              <w:tc>
                <w:tcPr/>
                <w:p>
                  <w:pPr>
                    <w:pStyle w:val="Compact"/>
                    <w:jc w:val="center"/>
                  </w:pPr>
                  <w:r>
                    <w:t xml:space="preserve">free</w:t>
                  </w:r>
                </w:p>
              </w:tc>
              <w:tc>
                <w:tcPr/>
                <w:p>
                  <w:pPr>
                    <w:pStyle w:val="Compact"/>
                    <w:jc w:val="center"/>
                  </w:pPr>
                  <w:r>
                    <w:t xml:space="preserve">100</w:t>
                  </w:r>
                </w:p>
              </w:tc>
              <w:tc>
                <w:tcPr/>
                <w:p>
                  <w:pPr>
                    <w:pStyle w:val="Compact"/>
                    <w:jc w:val="center"/>
                  </w:pPr>
                  <w:r>
                    <w:t xml:space="preserve">25</w:t>
                  </w:r>
                </w:p>
              </w:tc>
              <w:tc>
                <w:tcPr/>
                <w:p>
                  <w:pPr>
                    <w:pStyle w:val="Compact"/>
                    <w:jc w:val="center"/>
                  </w:pPr>
                  <w:r>
                    <w:t xml:space="preserve">22</w:t>
                  </w:r>
                </w:p>
              </w:tc>
              <w:tc>
                <w:tcPr/>
                <w:p>
                  <w:pPr>
                    <w:pStyle w:val="Compact"/>
                    <w:jc w:val="center"/>
                  </w:pPr>
                  <w:r>
                    <w:t xml:space="preserve">0.2922</w:t>
                  </w:r>
                </w:p>
              </w:tc>
              <w:tc>
                <w:tcPr/>
                <w:p>
                  <w:pPr>
                    <w:pStyle w:val="Compact"/>
                    <w:jc w:val="center"/>
                  </w:pPr>
                  <w:r>
                    <w:t xml:space="preserve">&lt;0.0001</w:t>
                  </w:r>
                </w:p>
              </w:tc>
              <w:tc>
                <w:tcPr/>
                <w:p>
                  <w:pPr>
                    <w:pStyle w:val="Compact"/>
                    <w:jc w:val="center"/>
                  </w:pPr>
                  <w:r>
                    <w:t xml:space="preserve">6</w:t>
                  </w:r>
                </w:p>
              </w:tc>
            </w:tr>
          </w:tbl>
          <w:p>
            <w:pPr>
              <w:jc w:val="center"/>
            </w:pPr>
            <w:pPr>
              <w:jc w:val="left"/>
              <w:spacing w:before="200"/>
              <w:pStyle w:val="ImageCaption"/>
            </w:pPr>
            <w:r>
              <w:t xml:space="preserve">Table S7:</w:t>
            </w:r>
            <w:r>
              <w:t xml:space="preserve"> </w:t>
            </w:r>
            <m:oMath>
              <m:r>
                <m:t>Δ</m:t>
              </m:r>
              <m:r>
                <m:rPr>
                  <m:sty m:val="p"/>
                </m:rPr>
                <m:t>O</m:t>
              </m:r>
              <m:r>
                <m:rPr>
                  <m:sty m:val="p"/>
                </m:rPr>
                <m:t>F</m:t>
              </m:r>
              <m:r>
                <m:rPr>
                  <m:sty m:val="p"/>
                </m:rPr>
                <m:t>V</m:t>
              </m:r>
            </m:oMath>
            <w:r>
              <w:t xml:space="preserve"> </w:t>
            </w:r>
            <w:r>
              <w:t xml:space="preserve">calibration summary: boundary fraction, number of negative</w:t>
            </w:r>
            <w:r>
              <w:t xml:space="preserve"> </w:t>
            </w:r>
            <m:oMath>
              <m:r>
                <m:t>Δ</m:t>
              </m:r>
              <m:r>
                <m:rPr>
                  <m:sty m:val="p"/>
                </m:rPr>
                <m:t>O</m:t>
              </m:r>
              <m:r>
                <m:rPr>
                  <m:sty m:val="p"/>
                </m:rPr>
                <m:t>F</m:t>
              </m:r>
              <m:r>
                <m:rPr>
                  <m:sty m:val="p"/>
                </m:rPr>
                <m:t>V</m:t>
              </m:r>
            </m:oMath>
            <w:r>
              <w:t xml:space="preserve"> </w:t>
            </w:r>
            <w:r>
              <w:t xml:space="preserve">values, Kolmogorov-Smirnov statistic and p-value against</w:t>
            </w:r>
            <w:r>
              <w:t xml:space="preserve"> </w:t>
            </w:r>
            <m:oMath>
              <m:sSubSup>
                <m:e>
                  <m:r>
                    <m:t>χ</m:t>
                  </m:r>
                </m:e>
                <m:sub>
                  <m:r>
                    <m:t>1</m:t>
                  </m:r>
                </m:sub>
                <m:sup>
                  <m:r>
                    <m:t>2</m:t>
                  </m:r>
                </m:sup>
              </m:sSubSup>
            </m:oMath>
            <w:r>
              <w:t xml:space="preserve"> </w:t>
            </w:r>
            <w:r>
              <w:t xml:space="preserve">for the strictly positive replicates, and empirical type-I error using the correct Self-Liang boundary-mixture cutoff.</w:t>
            </w:r>
          </w:p>
          <w:bookmarkEnd w:id="105"/>
        </w:tc>
      </w:tr>
    </w:tbl>
    <w:bookmarkEnd w:id="106"/>
    <w:bookmarkStart w:id="115" w:name="supplementary-figures"/>
    <w:p>
      <w:pPr>
        <w:pStyle w:val="Heading3"/>
      </w:pPr>
      <w:r>
        <w:t xml:space="preserve">Supplementary Figures</w:t>
      </w:r>
    </w:p>
    <w:tbl>
      <w:tblPr>
        <w:tblStyle w:val="Table"/>
        <w:tblW w:type="pct" w:w="5000"/>
        <w:tblLayout w:type="fixed"/>
        <w:tblLook w:firstRow="0" w:lastRow="0" w:firstColumn="0" w:lastColumn="0" w:noHBand="0" w:noVBand="0" w:val="0000"/>
      </w:tblPr>
      <w:tblGrid>
        <w:gridCol w:w="7920"/>
      </w:tblGrid>
      <w:tr>
        <w:tc>
          <w:tcPr/>
          <w:bookmarkStart w:id="110" w:name="suppfig-phase0-fixed-effects"/>
          <w:p>
            <w:pPr>
              <w:pStyle w:val="Compact"/>
              <w:jc w:val="center"/>
            </w:pPr>
            <w:r>
              <w:drawing>
                <wp:inline>
                  <wp:extent cx="5334000" cy="2438400"/>
                  <wp:effectExtent b="0" l="0" r="0" t="0"/>
                  <wp:docPr descr="" title="" id="108" name="Picture"/>
                  <a:graphic>
                    <a:graphicData uri="http://schemas.openxmlformats.org/drawingml/2006/picture">
                      <pic:pic>
                        <pic:nvPicPr>
                          <pic:cNvPr descr="publication/figures/fig_phase0_fixed_effects.png" id="109" name="Picture"/>
                          <pic:cNvPicPr>
                            <a:picLocks noChangeArrowheads="1" noChangeAspect="1"/>
                          </pic:cNvPicPr>
                        </pic:nvPicPr>
                        <pic:blipFill>
                          <a:blip r:embed="rId107"/>
                          <a:stretch>
                            <a:fillRect/>
                          </a:stretch>
                        </pic:blipFill>
                        <pic:spPr bwMode="auto">
                          <a:xfrm>
                            <a:off x="0" y="0"/>
                            <a:ext cx="5334000" cy="2438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S1: Structural fixed-effect and residual-error bias by</w:t>
            </w:r>
            <w:r>
              <w:t xml:space="preserve"> </w:t>
            </w:r>
            <m:oMath>
              <m:r>
                <m:t>K</m:t>
              </m:r>
            </m:oMath>
            <w:r>
              <w:t xml:space="preserve">, shown separately for free and amortized posteriors in the Phase 0 Gaussian analysis. The dashed line marks zero bias; error bars show the standard error across replicates.</w:t>
            </w:r>
          </w:p>
          <w:bookmarkEnd w:id="11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14" w:name="suppfig-phase1-fixed-effects"/>
          <w:p>
            <w:pPr>
              <w:pStyle w:val="Compact"/>
              <w:jc w:val="center"/>
            </w:pPr>
            <w:r>
              <w:drawing>
                <wp:inline>
                  <wp:extent cx="5334000" cy="2963333"/>
                  <wp:effectExtent b="0" l="0" r="0" t="0"/>
                  <wp:docPr descr="" title="" id="112" name="Picture"/>
                  <a:graphic>
                    <a:graphicData uri="http://schemas.openxmlformats.org/drawingml/2006/picture">
                      <pic:pic>
                        <pic:nvPicPr>
                          <pic:cNvPr descr="publication/figures/fig_phase1_grid_fixed_effects.png" id="113" name="Picture"/>
                          <pic:cNvPicPr>
                            <a:picLocks noChangeArrowheads="1" noChangeAspect="1"/>
                          </pic:cNvPicPr>
                        </pic:nvPicPr>
                        <pic:blipFill>
                          <a:blip r:embed="rId111"/>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S2: Structural fixed-effect and residual-error bias by</w:t>
            </w:r>
            <w:r>
              <w:t xml:space="preserve"> </w:t>
            </w:r>
            <m:oMath>
              <m:r>
                <m:t>K</m:t>
              </m:r>
            </m:oMath>
            <w:r>
              <w:t xml:space="preserve"> </w:t>
            </w:r>
            <w:r>
              <w:t xml:space="preserve">across the Phase 1 dense/sparse sampling designs and variational families. The figure complements the primary random-effect SD analysis by showing parameter-specific sensitivity to</w:t>
            </w:r>
            <w:r>
              <w:t xml:space="preserve"> </w:t>
            </w:r>
            <m:oMath>
              <m:r>
                <m:t>K</m:t>
              </m:r>
            </m:oMath>
            <w:r>
              <w:t xml:space="preserve">.</w:t>
            </w:r>
          </w:p>
          <w:bookmarkEnd w:id="114"/>
        </w:tc>
      </w:tr>
    </w:tbl>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 Target="media/rId67.png" /><Relationship Type="http://schemas.openxmlformats.org/officeDocument/2006/relationships/image" Id="rId107" Target="media/rId107.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111" Target="media/rId111.png" /><Relationship Type="http://schemas.openxmlformats.org/officeDocument/2006/relationships/image" Id="rId52" Target="media/rId52.png" /><Relationship Type="http://schemas.openxmlformats.org/officeDocument/2006/relationships/image" Id="rId62" Target="media/rId62.png" /><Relationship Type="http://schemas.openxmlformats.org/officeDocument/2006/relationships/image" Id="rId57" Target="media/rId57.png" /><Relationship Type="http://schemas.openxmlformats.org/officeDocument/2006/relationships/hyperlink" Id="rId78" Target="https://doi.org/10.1002/psp4.70280" TargetMode="External" /></Relationships>
</file>

<file path=word/_rels/footnotes.xml.rels><?xml version="1.0" encoding="UTF-8"?><Relationships xmlns="http://schemas.openxmlformats.org/package/2006/relationships"><Relationship Type="http://schemas.openxmlformats.org/officeDocument/2006/relationships/hyperlink" Id="rId78" Target="https://doi.org/10.1002/psp4.7028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Importance-Weighted Variational Inference for Nonlinear Mixed-Effects Models: Characterizing and Correcting Bias in Between-Subject Variability</dc:title>
  <dc:creator/>
  <cp:keywords/>
  <dcterms:created xsi:type="dcterms:W3CDTF">2026-08-18T05:16:24Z</dcterms:created>
  <dcterms:modified xsi:type="dcterms:W3CDTF">2026-08-18T05:16:24Z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