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 –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 –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The correction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</w:t>
      </w:r>
      <w:r>
        <w:t xml:space="preserve"> </w:t>
      </w:r>
      <w:r>
        <w:t xml:space="preserve">structural, cross-method identifiability limitation specific to</w:t>
      </w:r>
      <w:r>
        <w:t xml:space="preserve"> </w:t>
      </w:r>
      <w:r>
        <w:t xml:space="preserve">estimating variability on both Michaelis-Menten parameters</w:t>
      </w:r>
      <w:r>
        <w:t xml:space="preserve"> </w:t>
      </w:r>
      <w:r>
        <w:t xml:space="preserve">simultaneously. We further show that likelihood-ratio tests built on the</w:t>
      </w:r>
      <w:r>
        <w:t xml:space="preserve"> </w:t>
      </w:r>
      <w:r>
        <w:t xml:space="preserve">variational 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 – fixed effects and the distribution of between-subject random</w:t>
      </w:r>
      <w:r>
        <w:t xml:space="preserve"> </w:t>
      </w:r>
      <w:r>
        <w:t xml:space="preserve">effects – gives rise to individual-level observations, and they remain</w:t>
      </w:r>
      <w:r>
        <w:t xml:space="preserve"> </w:t>
      </w:r>
      <w:r>
        <w:t xml:space="preserve">the 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 –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Afonso; Li et al.; Baaz et al.)</w:t>
      </w:r>
      <w:r>
        <w:t xml:space="preserve">. In the</w:t>
      </w:r>
      <w:r>
        <w:t xml:space="preserve"> </w:t>
      </w:r>
      <w:r>
        <w:t xml:space="preserve">NLME setting specifically, this translates into underestimated</w:t>
      </w:r>
      <w:r>
        <w:t xml:space="preserve"> </w:t>
      </w:r>
      <w:r>
        <w:t xml:space="preserve">between-subject variance components (commonly denoted Omega, or written</w:t>
      </w:r>
      <w:r>
        <w:t xml:space="preserve"> </w:t>
      </w:r>
      <w:r>
        <w:t xml:space="preserve">as the diagonal of a covariance matrix</w:t>
      </w:r>
      <w:r>
        <w:t xml:space="preserve"> </w:t>
      </w:r>
      <m:oMath>
        <m:r>
          <m:t>Ω</m:t>
        </m:r>
      </m:oMath>
      <w:r>
        <w:t xml:space="preserve">) – precisely the</w:t>
      </w:r>
      <w:r>
        <w:t xml:space="preserve"> </w:t>
      </w:r>
      <w:r>
        <w:t xml:space="preserve">quantity that most directly answers scientific questions about population</w:t>
      </w:r>
      <w:r>
        <w:t xml:space="preserve"> </w:t>
      </w:r>
      <w:r>
        <w:t xml:space="preserve">heterogeneity, and the quantity on which decisions such as covariate</w:t>
      </w:r>
      <w:r>
        <w:t xml:space="preserve"> </w:t>
      </w:r>
      <w:r>
        <w:t xml:space="preserve">inclusion are frequently based. While this failure mode has been noted in</w:t>
      </w:r>
      <w:r>
        <w:t xml:space="preserve"> </w:t>
      </w:r>
      <w:r>
        <w:t xml:space="preserve">passing in several places in the recent literature applying VI to NLME</w:t>
      </w:r>
      <w:r>
        <w:t xml:space="preserve"> </w:t>
      </w:r>
      <w:r>
        <w:t xml:space="preserve">models, it has not, to our knowledge, been systematically characterized:</w:t>
      </w:r>
      <w:r>
        <w:t xml:space="preserve"> </w:t>
      </w:r>
      <w:r>
        <w:t xml:space="preserve">under what conditions it arises, whether it can be corrected, and whether</w:t>
      </w:r>
      <w:r>
        <w:t xml:space="preserve"> </w:t>
      </w:r>
      <w:r>
        <w:t xml:space="preserve">correcting 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</w:t>
      </w:r>
      <w:r>
        <w:t xml:space="preserve"> </w:t>
      </w:r>
      <w:r>
        <w:t xml:space="preserve">resulting fit trustworthy for the full range of downstream uses an NLME</w:t>
      </w:r>
      <w:r>
        <w:t xml:space="preserve"> </w:t>
      </w:r>
      <w:r>
        <w:t xml:space="preserve">model is put to – in particular,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on two independent real pharmacokinetic</w:t>
      </w:r>
      <w:r>
        <w:t xml:space="preserve"> </w:t>
      </w:r>
      <w:r>
        <w:t xml:space="preserve">datasets, including an external benchmark comparison in which our</w:t>
      </w:r>
      <w:r>
        <w:t xml:space="preserve"> </w:t>
      </w:r>
      <w:r>
        <w:t xml:space="preserve">fixed-effect estimates agree with an independently published FOCEI fit</w:t>
      </w:r>
      <w:r>
        <w:t xml:space="preserve"> </w:t>
      </w:r>
      <w:r>
        <w:t xml:space="preserve">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 – consistent with standard</w:t>
      </w:r>
      <w:r>
        <w:t xml:space="preserve"> </w:t>
      </w:r>
      <w:r>
        <w:t xml:space="preserve">pharmacometric practice, not a VI-specific artifact –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 –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–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p>
      <w:pPr>
        <w:pStyle w:val="FirstParagraph"/>
      </w:pPr>
      <w:r>
        <w:t xml:space="preserve">[PLACEHOLDER: nlmixr2/NONMEM – once the FOCEI/SAEM baseline comparison</w:t>
      </w:r>
      <w:r>
        <w:t xml:space="preserve"> </w:t>
      </w:r>
      <w:r>
        <w:t xml:space="preserve">is available, add a paragraph here (or fold into contribution 2 above)</w:t>
      </w:r>
      <w:r>
        <w:t xml:space="preserve"> </w:t>
      </w:r>
      <w:r>
        <w:t xml:space="preserve">stating the runtime/accuracy comparison explicitly.]</w:t>
      </w:r>
    </w:p>
    <w:bookmarkEnd w:id="21"/>
    <w:bookmarkStart w:id="31" w:name="methods"/>
    <w:p>
      <w:pPr>
        <w:pStyle w:val="Heading2"/>
      </w:pPr>
      <w:r>
        <w:t xml:space="preserve">Methods</w:t>
      </w:r>
    </w:p>
    <w:bookmarkStart w:id="22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2"/>
    <w:bookmarkStart w:id="23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 –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</w:t>
      </w:r>
      <w:r>
        <w:t xml:space="preserve"> </w:t>
      </w:r>
      <w:r>
        <w:t xml:space="preserve">(amortized + flow) is unstable and excluded from headline results.</w:t>
      </w:r>
    </w:p>
    <w:bookmarkEnd w:id="23"/>
    <w:bookmarkStart w:id="24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24"/>
    <w:bookmarkStart w:id="25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 – both because placing independent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 is a recognized cross-method identifiability difficulty in</w:t>
      </w:r>
      <w:r>
        <w:t xml:space="preserve"> </w:t>
      </w:r>
      <w:r>
        <w:t xml:space="preserve">nonlinear mixed-effects modeling of saturable kinetics, not specific to</w:t>
      </w:r>
      <w:r>
        <w:t xml:space="preserve"> </w:t>
      </w:r>
      <w:r>
        <w:t xml:space="preserve">variational inference, and because this was directly confirmed</w:t>
      </w:r>
      <w:r>
        <w:t xml:space="preserve"> </w:t>
      </w:r>
      <w:r>
        <w:t xml:space="preserve">empirically in preliminary analyses (see Results). The dosing and</w:t>
      </w:r>
      <w:r>
        <w:t xml:space="preserve"> </w:t>
      </w:r>
      <w:r>
        <w:t xml:space="preserve">sampling design (dose and an observation window spanning approximately</w:t>
      </w:r>
      <w:r>
        <w:t xml:space="preserve"> </w:t>
      </w:r>
      <w:r>
        <w:t xml:space="preserve">60 hours) was chosen specifically to ensure the simulated concentration</w:t>
      </w:r>
      <w:r>
        <w:t xml:space="preserve"> </w:t>
      </w:r>
      <w:r>
        <w:t xml:space="preserve">trajectory crosses from the fully saturated regime into the first-order</w:t>
      </w:r>
      <w:r>
        <w:t xml:space="preserve"> </w:t>
      </w:r>
      <w:r>
        <w:t xml:space="preserve">elimination regime within the observation window; simulation confirmed</w:t>
      </w:r>
      <w:r>
        <w:t xml:space="preserve"> </w:t>
      </w:r>
      <w:r>
        <w:t xml:space="preserve">that a substantially shorter window remains entirely within the</w:t>
      </w:r>
      <w:r>
        <w:t xml:space="preserve"> </w:t>
      </w:r>
      <w:r>
        <w:t xml:space="preserve">saturated regime, in which the Michaelis-Menten equation is structurally</w:t>
      </w:r>
      <w:r>
        <w:t xml:space="preserve"> </w:t>
      </w:r>
      <w:r>
        <w:t xml:space="preserve">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 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</w:t>
      </w:r>
      <w:r>
        <w:t xml:space="preserve"> </w:t>
      </w:r>
      <w:r>
        <w:t xml:space="preserve">population value at all, independent of any variational-inference</w:t>
      </w:r>
      <w:r>
        <w:t xml:space="preserve"> </w:t>
      </w:r>
      <w:r>
        <w:t xml:space="preserve">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25"/>
    <w:bookmarkStart w:id="26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 – unlike simulation – no ground truth is available and the</w:t>
      </w:r>
      <w:r>
        <w:t xml:space="preserve"> </w:t>
      </w:r>
      <w:r>
        <w:t xml:space="preserve">signature 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</w:t>
      </w:r>
      <w:r>
        <w:t xml:space="preserve"> </w:t>
      </w:r>
      <w:r>
        <w:t xml:space="preserve">whether 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26"/>
    <w:bookmarkStart w:id="27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</w:t>
      </w:r>
      <w:r>
        <w:t xml:space="preserve"> </w:t>
      </w:r>
      <w:r>
        <w:t xml:space="preserve">deliberately under-trained fits on identical simulated data and testing</w:t>
      </w:r>
      <w:r>
        <w:t xml:space="preserve"> </w:t>
      </w:r>
      <w:r>
        <w:t xml:space="preserve">whether ESS separates the two groups.</w:t>
      </w:r>
    </w:p>
    <w:bookmarkEnd w:id="27"/>
    <w:bookmarkStart w:id="2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</m:oMath>
      </m:oMathPara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8"/>
    <w:bookmarkStart w:id="2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[PLACEHOLDER: nlmixr2/NONMEM – this subsection will describe the FOCEI</w:t>
      </w:r>
      <w:r>
        <w:t xml:space="preserve"> </w:t>
      </w:r>
      <w:r>
        <w:t xml:space="preserve">and SAEM baseline fits used for direct runtime and accuracy comparison,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and/or NONMEM</w:t>
      </w:r>
      <w:r>
        <w:t xml:space="preserve"> </w:t>
      </w:r>
      <w:r>
        <w:t xml:space="preserve">(Beal and Sheiner 1980; Wang 2008)</w:t>
      </w:r>
      <w:r>
        <w:t xml:space="preserve">, once the R-based baseline</w:t>
      </w:r>
      <w:r>
        <w:t xml:space="preserve"> </w:t>
      </w:r>
      <w:r>
        <w:t xml:space="preserve">pipeline is complete. Include: model specification matched to the</w:t>
      </w:r>
      <w:r>
        <w:t xml:space="preserve"> </w:t>
      </w:r>
      <w:r>
        <w:t xml:space="preserve">variational-inference structural model and residual error model,</w:t>
      </w:r>
      <w:r>
        <w:t xml:space="preserve"> </w:t>
      </w:r>
      <w:r>
        <w:t xml:space="preserve">number of repeated optimization starts, and the runtime measurement</w:t>
      </w:r>
      <w:r>
        <w:t xml:space="preserve"> </w:t>
      </w:r>
      <w:r>
        <w:t xml:space="preserve">methodology (process CPU time, not wall-clock).]</w:t>
      </w:r>
    </w:p>
    <w:bookmarkEnd w:id="29"/>
    <w:bookmarkStart w:id="3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[PLACEHOLDER: nlmixr2/NONMEM software versions,</w:t>
      </w:r>
      <w:r>
        <w:t xml:space="preserve"> </w:t>
      </w:r>
      <w:r>
        <w:t xml:space="preserve">once finalized.]</w:t>
      </w:r>
    </w:p>
    <w:bookmarkEnd w:id="30"/>
    <w:bookmarkEnd w:id="31"/>
    <w:bookmarkStart w:id="57" w:name="results"/>
    <w:p>
      <w:pPr>
        <w:pStyle w:val="Heading2"/>
      </w:pPr>
      <w:r>
        <w:t xml:space="preserve">Results</w:t>
      </w:r>
    </w:p>
    <w:bookmarkStart w:id="35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</w:t>
      </w:r>
      <w:r>
        <w:t xml:space="preserve"> </w:t>
      </w:r>
      <w:r>
        <w:t xml:space="preserve">a general estimation problem with the variational approach.</w:t>
      </w:r>
    </w:p>
    <w:p>
      <w:pPr>
        <w:pStyle w:val="BodyText"/>
      </w:pPr>
      <w:r>
        <w:drawing>
          <wp:inline>
            <wp:extent cx="5334000" cy="203661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ublication/figures/fig_phase0_omega_bia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bias by</w:t>
      </w:r>
      <w:r>
        <w:t xml:space="preserve"> </w:t>
      </w:r>
      <m:oMath>
        <m:r>
          <m:t>K</m:t>
        </m:r>
      </m:oMath>
      <w:r>
        <w:t xml:space="preserve">, shown separately for free and amortized posteriors</w:t>
      </w:r>
      <w:r>
        <w:t xml:space="preserve"> </w:t>
      </w:r>
      <w:r>
        <w:t xml:space="preserve">under the Gaussian variational family. The dashed line marks zero bias.</w:t>
      </w:r>
      <w:r>
        <w:t xml:space="preserve"> </w:t>
      </w:r>
      <w:r>
        <w:t xml:space="preserve">Error bars show the standard error across replicates.</w:t>
      </w:r>
    </w:p>
    <w:p>
      <w:pPr>
        <w:pStyle w:val="TableCaption"/>
      </w:pPr>
      <w:r>
        <w:t xml:space="preserve">Mean relative bias (%) in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by posterior architecture and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relative bias (%) in \Omega by posterior architecture and K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-20.67</w:t>
            </w:r>
          </w:p>
        </w:tc>
        <w:tc>
          <w:tcPr/>
          <w:p>
            <w:pPr>
              <w:pStyle w:val="Compact"/>
            </w:pPr>
            <w:r>
              <w:t xml:space="preserve">35.92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-7.38</w:t>
            </w:r>
          </w:p>
        </w:tc>
        <w:tc>
          <w:tcPr/>
          <w:p>
            <w:pPr>
              <w:pStyle w:val="Compact"/>
            </w:pPr>
            <w:r>
              <w:t xml:space="preserve">14.63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-4.2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-19.34</w:t>
            </w:r>
          </w:p>
        </w:tc>
        <w:tc>
          <w:tcPr/>
          <w:p>
            <w:pPr>
              <w:pStyle w:val="Compact"/>
            </w:pPr>
            <w:r>
              <w:t xml:space="preserve">36.29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-7.63</w:t>
            </w:r>
          </w:p>
        </w:tc>
        <w:tc>
          <w:tcPr/>
          <w:p>
            <w:pPr>
              <w:pStyle w:val="Compact"/>
            </w:pPr>
            <w:r>
              <w:t xml:space="preserve">14.28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-3.54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Mean relative bias (%) in fixed effects and residual error, by</w:t>
      </w:r>
      <w:r>
        <w:t xml:space="preserve"> </w:t>
      </w:r>
      <w:r>
        <w:t xml:space="preserve">posterior architecture and</w:t>
      </w:r>
      <w:r>
        <w:t xml:space="preserve"> </w:t>
      </w:r>
      <m:oMath>
        <m:r>
          <m:t>K</m:t>
        </m:r>
      </m:oMath>
      <w:r>
        <w:t xml:space="preserve">, as a validation check against the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table above: fixed effects are expected to remain near zero</w:t>
      </w:r>
      <w:r>
        <w:t xml:space="preserve"> </w:t>
      </w:r>
      <w:r>
        <w:t xml:space="preserve">bias at every</w:t>
      </w:r>
      <w:r>
        <w:t xml:space="preserve"> </w:t>
      </w:r>
      <m:oMath>
        <m:r>
          <m:t>K</m:t>
        </m:r>
      </m:oMath>
      <w:r>
        <w:t xml:space="preserve">, unlike</w:t>
      </w:r>
      <w:r>
        <w:t xml:space="preserve"> </w:t>
      </w:r>
      <m:oMath>
        <m:r>
          <m:t>Ω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fixed effects and residual error, by posterior architecture and K, as a validation check against the \Omega table above: fixed effects are expected to remain near zero bias at every K, unlike \Omega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-3.94</w:t>
            </w:r>
          </w:p>
        </w:tc>
        <w:tc>
          <w:tcPr/>
          <w:p>
            <w:pPr>
              <w:pStyle w:val="Compact"/>
            </w:pPr>
            <w:r>
              <w:t xml:space="preserve">4.48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15.34</w:t>
            </w:r>
          </w:p>
        </w:tc>
        <w:tc>
          <w:tcPr/>
          <w:p>
            <w:pPr>
              <w:pStyle w:val="Compact"/>
            </w:pPr>
            <w:r>
              <w:t xml:space="preserve">6.29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4.16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-0.41</w:t>
            </w:r>
          </w:p>
        </w:tc>
        <w:tc>
          <w:tcPr/>
          <w:p>
            <w:pPr>
              <w:pStyle w:val="Compact"/>
            </w:pPr>
            <w:r>
              <w:t xml:space="preserve">2.99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-4.07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-0.32</w:t>
            </w:r>
          </w:p>
        </w:tc>
        <w:tc>
          <w:tcPr/>
          <w:p>
            <w:pPr>
              <w:pStyle w:val="Compact"/>
            </w:pPr>
            <w:r>
              <w:t xml:space="preserve">3.49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-2.92</w:t>
            </w:r>
          </w:p>
        </w:tc>
        <w:tc>
          <w:tcPr/>
          <w:p>
            <w:pPr>
              <w:pStyle w:val="Compact"/>
            </w:pPr>
            <w:r>
              <w:t xml:space="preserve">3.89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-1.21</w:t>
            </w:r>
          </w:p>
        </w:tc>
        <w:tc>
          <w:tcPr/>
          <w:p>
            <w:pPr>
              <w:pStyle w:val="Compact"/>
            </w:pPr>
            <w:r>
              <w:t xml:space="preserve">3.72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3.69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-4.03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9.92</w:t>
            </w:r>
          </w:p>
        </w:tc>
        <w:tc>
          <w:tcPr/>
          <w:p>
            <w:pPr>
              <w:pStyle w:val="Compact"/>
            </w:pPr>
            <w:r>
              <w:t xml:space="preserve">3.71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-3.2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3.44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-0.27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3.15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-1.15</w:t>
            </w:r>
          </w:p>
        </w:tc>
        <w:tc>
          <w:tcPr/>
          <w:p>
            <w:pPr>
              <w:pStyle w:val="Compact"/>
            </w:pPr>
            <w:r>
              <w:t xml:space="preserve">3.49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35"/>
    <w:bookmarkStart w:id="39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ublication/figures/fig_phase1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bias by</w:t>
      </w:r>
      <w:r>
        <w:t xml:space="preserve"> </w:t>
      </w:r>
      <m:oMath>
        <m:r>
          <m:t>K</m:t>
        </m:r>
      </m:oMath>
      <w:r>
        <w:t xml:space="preserve">, faceted by sampling design (rows) and variational</w:t>
      </w:r>
      <w:r>
        <w:t xml:space="preserve"> </w:t>
      </w:r>
      <w:r>
        <w:t xml:space="preserve">family (columns), with one line per posterior architecture in each</w:t>
      </w:r>
      <w:r>
        <w:t xml:space="preserve"> </w:t>
      </w:r>
      <w:r>
        <w:t xml:space="preserve">panel.</w:t>
      </w:r>
    </w:p>
    <w:p>
      <w:pPr>
        <w:pStyle w:val="TableCaption"/>
      </w:pPr>
      <w:r>
        <w:t xml:space="preserve">Mean relative bias (%) in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by sampling design, posterior</w:t>
      </w:r>
      <w:r>
        <w:t xml:space="preserve"> </w:t>
      </w:r>
      <w:r>
        <w:t xml:space="preserve">architecture, variational family, and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\Omega by sampling design, posterior architecture, variational family, and K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-15.02</w:t>
            </w:r>
          </w:p>
        </w:tc>
        <w:tc>
          <w:tcPr/>
          <w:p>
            <w:pPr>
              <w:pStyle w:val="Compact"/>
            </w:pPr>
            <w:r>
              <w:t xml:space="preserve">23.46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-1.32</w:t>
            </w:r>
          </w:p>
        </w:tc>
        <w:tc>
          <w:tcPr/>
          <w:p>
            <w:pPr>
              <w:pStyle w:val="Compact"/>
            </w:pPr>
            <w:r>
              <w:t xml:space="preserve">8.66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-1.37</w:t>
            </w:r>
          </w:p>
        </w:tc>
        <w:tc>
          <w:tcPr/>
          <w:p>
            <w:pPr>
              <w:pStyle w:val="Compact"/>
            </w:pPr>
            <w:r>
              <w:t xml:space="preserve">8.75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-0.93</w:t>
            </w:r>
          </w:p>
        </w:tc>
        <w:tc>
          <w:tcPr/>
          <w:p>
            <w:pPr>
              <w:pStyle w:val="Compact"/>
            </w:pPr>
            <w:r>
              <w:t xml:space="preserve">8.72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8.64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-12.52</w:t>
            </w:r>
          </w:p>
        </w:tc>
        <w:tc>
          <w:tcPr/>
          <w:p>
            <w:pPr>
              <w:pStyle w:val="Compact"/>
            </w:pPr>
            <w:r>
              <w:t xml:space="preserve">19.11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-3.68</w:t>
            </w:r>
          </w:p>
        </w:tc>
        <w:tc>
          <w:tcPr/>
          <w:p>
            <w:pPr>
              <w:pStyle w:val="Compact"/>
            </w:pPr>
            <w:r>
              <w:t xml:space="preserve">10.01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-0.9</w:t>
            </w:r>
          </w:p>
        </w:tc>
        <w:tc>
          <w:tcPr/>
          <w:p>
            <w:pPr>
              <w:pStyle w:val="Compact"/>
            </w:pPr>
            <w:r>
              <w:t xml:space="preserve">8.86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-32.62</w:t>
            </w:r>
          </w:p>
        </w:tc>
        <w:tc>
          <w:tcPr/>
          <w:p>
            <w:pPr>
              <w:pStyle w:val="Compact"/>
            </w:pPr>
            <w:r>
              <w:t xml:space="preserve">39.62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-15.05</w:t>
            </w:r>
          </w:p>
        </w:tc>
        <w:tc>
          <w:tcPr/>
          <w:p>
            <w:pPr>
              <w:pStyle w:val="Compact"/>
            </w:pPr>
            <w:r>
              <w:t xml:space="preserve">25.89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-3.17</w:t>
            </w:r>
          </w:p>
        </w:tc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-7.12</w:t>
            </w:r>
          </w:p>
        </w:tc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-6.89</w:t>
            </w:r>
          </w:p>
        </w:tc>
        <w:tc>
          <w:tcPr/>
          <w:p>
            <w:pPr>
              <w:pStyle w:val="Compact"/>
            </w:pPr>
            <w:r>
              <w:t xml:space="preserve">18.72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-1.97</w:t>
            </w:r>
          </w:p>
        </w:tc>
        <w:tc>
          <w:tcPr/>
          <w:p>
            <w:pPr>
              <w:pStyle w:val="Compact"/>
            </w:pPr>
            <w:r>
              <w:t xml:space="preserve">14.25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-29.4</w:t>
            </w:r>
          </w:p>
        </w:tc>
        <w:tc>
          <w:tcPr/>
          <w:p>
            <w:pPr>
              <w:pStyle w:val="Compact"/>
            </w:pPr>
            <w:r>
              <w:t xml:space="preserve">42.33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-14.47</w:t>
            </w:r>
          </w:p>
        </w:tc>
        <w:tc>
          <w:tcPr/>
          <w:p>
            <w:pPr>
              <w:pStyle w:val="Compact"/>
            </w:pPr>
            <w:r>
              <w:t xml:space="preserve">26.45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-2.73</w:t>
            </w:r>
          </w:p>
        </w:tc>
        <w:tc>
          <w:tcPr/>
          <w:p>
            <w:pPr>
              <w:pStyle w:val="Compact"/>
            </w:pPr>
            <w:r>
              <w:t xml:space="preserve">14.51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Mean relative bias (%) in fixed effects and residual error, same</w:t>
      </w:r>
      <w:r>
        <w:t xml:space="preserve"> </w:t>
      </w:r>
      <w:r>
        <w:t xml:space="preserve">grouping as above, as a validation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fixed effects and residual error, same grouping as above, as a validation check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2.81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14.93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-0.27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4.28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-0.32</w:t>
            </w:r>
          </w:p>
        </w:tc>
        <w:tc>
          <w:tcPr/>
          <w:p>
            <w:pPr>
              <w:pStyle w:val="Compact"/>
            </w:pPr>
            <w:r>
              <w:t xml:space="preserve">3.81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-0.54</w:t>
            </w:r>
          </w:p>
        </w:tc>
        <w:tc>
          <w:tcPr/>
          <w:p>
            <w:pPr>
              <w:pStyle w:val="Compact"/>
            </w:pPr>
            <w:r>
              <w:t xml:space="preserve">3.04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4.16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3.31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4.06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4.09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-0.52</w:t>
            </w:r>
          </w:p>
        </w:tc>
        <w:tc>
          <w:tcPr/>
          <w:p>
            <w:pPr>
              <w:pStyle w:val="Compact"/>
            </w:pPr>
            <w:r>
              <w:t xml:space="preserve">2.48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4.39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  <w:tc>
          <w:tcPr/>
          <w:p>
            <w:pPr>
              <w:pStyle w:val="Compact"/>
            </w:pPr>
            <w:r>
              <w:t xml:space="preserve">4.37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-0.14</w:t>
            </w:r>
          </w:p>
        </w:tc>
        <w:tc>
          <w:tcPr/>
          <w:p>
            <w:pPr>
              <w:pStyle w:val="Compact"/>
            </w:pPr>
            <w:r>
              <w:t xml:space="preserve">2.35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3.83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-0.68</w:t>
            </w:r>
          </w:p>
        </w:tc>
        <w:tc>
          <w:tcPr/>
          <w:p>
            <w:pPr>
              <w:pStyle w:val="Compact"/>
            </w:pPr>
            <w:r>
              <w:t xml:space="preserve">3.64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-2.64</w:t>
            </w:r>
          </w:p>
        </w:tc>
        <w:tc>
          <w:tcPr/>
          <w:p>
            <w:pPr>
              <w:pStyle w:val="Compact"/>
            </w:pPr>
            <w:r>
              <w:t xml:space="preserve">6.22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38.12</w:t>
            </w:r>
          </w:p>
        </w:tc>
        <w:tc>
          <w:tcPr/>
          <w:p>
            <w:pPr>
              <w:pStyle w:val="Compact"/>
            </w:pPr>
            <w:r>
              <w:t xml:space="preserve">9.86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-0.92</w:t>
            </w:r>
          </w:p>
        </w:tc>
        <w:tc>
          <w:tcPr/>
          <w:p>
            <w:pPr>
              <w:pStyle w:val="Compact"/>
            </w:pPr>
            <w:r>
              <w:t xml:space="preserve">6.22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12.41</w:t>
            </w:r>
          </w:p>
        </w:tc>
        <w:tc>
          <w:tcPr/>
          <w:p>
            <w:pPr>
              <w:pStyle w:val="Compact"/>
            </w:pPr>
            <w:r>
              <w:t xml:space="preserve">9.11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-0.13</w:t>
            </w:r>
          </w:p>
        </w:tc>
        <w:tc>
          <w:tcPr/>
          <w:p>
            <w:pPr>
              <w:pStyle w:val="Compact"/>
            </w:pPr>
            <w:r>
              <w:t xml:space="preserve">3.29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6.57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2.76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3.06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5.85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6.58</w:t>
            </w:r>
          </w:p>
        </w:tc>
        <w:tc>
          <w:tcPr/>
          <w:p>
            <w:pPr>
              <w:pStyle w:val="Compact"/>
            </w:pPr>
            <w:r>
              <w:t xml:space="preserve">8.71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2.49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2.88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6.36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5.06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6.39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8.57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-2.75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33.35</w:t>
            </w:r>
          </w:p>
        </w:tc>
        <w:tc>
          <w:tcPr/>
          <w:p>
            <w:pPr>
              <w:pStyle w:val="Compact"/>
            </w:pPr>
            <w:r>
              <w:t xml:space="preserve">9.43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-0.17</w:t>
            </w:r>
          </w:p>
        </w:tc>
        <w:tc>
          <w:tcPr/>
          <w:p>
            <w:pPr>
              <w:pStyle w:val="Compact"/>
            </w:pPr>
            <w:r>
              <w:t xml:space="preserve">3.37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  <w:tc>
          <w:tcPr/>
          <w:p>
            <w:pPr>
              <w:pStyle w:val="Compact"/>
            </w:pPr>
            <w:r>
              <w:t xml:space="preserve">6.39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11.08</w:t>
            </w:r>
          </w:p>
        </w:tc>
        <w:tc>
          <w:tcPr/>
          <w:p>
            <w:pPr>
              <w:pStyle w:val="Compact"/>
            </w:pPr>
            <w:r>
              <w:t xml:space="preserve">9.61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2.84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One posterior configuration – amortized posterior combined with the</w:t>
      </w:r>
      <w:r>
        <w:t xml:space="preserve"> </w:t>
      </w:r>
      <w:r>
        <w:t xml:space="preserve">normalizing-flow family –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</w:t>
      </w:r>
      <w:r>
        <w:t xml:space="preserve"> </w:t>
      </w:r>
      <w:r>
        <w:t xml:space="preserve">problem, this combination shows a comparable rate of flagged,</w:t>
      </w:r>
      <w:r>
        <w:t xml:space="preserve"> </w:t>
      </w:r>
      <w:r>
        <w:t xml:space="preserve">substantially 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 character of the failure (from occasional gross</w:t>
      </w:r>
      <w:r>
        <w:t xml:space="preserve"> </w:t>
      </w:r>
      <w:r>
        <w:t xml:space="preserve">divergence to more consistent convergence onto a stable but incorrect</w:t>
      </w:r>
      <w:r>
        <w:t xml:space="preserve"> </w:t>
      </w:r>
      <w:r>
        <w:t xml:space="preserve">estimate) without reducing its frequency. We attribute this to the</w:t>
      </w:r>
      <w:r>
        <w:t xml:space="preserve"> </w:t>
      </w:r>
      <w:r>
        <w:t xml:space="preserve">amortized encoder’s output serving a double role under this</w:t>
      </w:r>
      <w:r>
        <w:t xml:space="preserve"> </w:t>
      </w:r>
      <w:r>
        <w:t xml:space="preserve">configuration – simultaneously defining the flow’s base distribution and</w:t>
      </w:r>
      <w:r>
        <w:t xml:space="preserve"> </w:t>
      </w:r>
      <w:r>
        <w:t xml:space="preserve">its conditioning input – creating a moving optimization target not</w:t>
      </w:r>
      <w:r>
        <w:t xml:space="preserve"> </w:t>
      </w:r>
      <w:r>
        <w:t xml:space="preserve">present when either the posterior is not amortized or the family is not</w:t>
      </w:r>
      <w:r>
        <w:t xml:space="preserve"> </w:t>
      </w:r>
      <w:r>
        <w:t xml:space="preserve">a flow.</w:t>
      </w:r>
      <w:r>
        <w:t xml:space="preserve"> </w:t>
      </w:r>
      <w:r>
        <w:t xml:space="preserve">(PLACEHOLDER: a preliminary architectural variant decoupling</w:t>
      </w:r>
      <w:r>
        <w:t xml:space="preserve"> </w:t>
      </w:r>
      <w:r>
        <w:t xml:space="preserve">these two roles, following the design used by Arruda et al. 2024, is</w:t>
      </w:r>
      <w:r>
        <w:t xml:space="preserve"> </w:t>
      </w:r>
      <w:r>
        <w:t xml:space="preserve">discussed as future work below.)</w:t>
      </w:r>
    </w:p>
    <w:bookmarkEnd w:id="39"/>
    <w:bookmarkStart w:id="43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 –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ublication/figures/fig_phase1_nonlinea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bias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Michaelis-Menten elimination model, free</w:t>
      </w:r>
      <w:r>
        <w:t xml:space="preserve"> </w:t>
      </w:r>
      <w:r>
        <w:t xml:space="preserve">posterior, Gaussian family, restricted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random</w:t>
      </w:r>
      <w:r>
        <w:t xml:space="preserve"> </w:t>
      </w:r>
      <w:r>
        <w:t xml:space="preserve">effects.</w:t>
      </w:r>
    </w:p>
    <w:p>
      <w:pPr>
        <w:pStyle w:val="TableCaption"/>
      </w:pPr>
      <w:r>
        <w:t xml:space="preserve">Mean parameter estimates, ground-truth values, relative bias (%), and</w:t>
      </w:r>
      <w:r>
        <w:t xml:space="preserve"> </w:t>
      </w:r>
      <w:r>
        <w:t xml:space="preserve">converged fraction for the Michaelis-Menten elimination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parameter estimates, ground-truth values, relative bias (%), and converged fraction for the Michaelis-Menten elimination model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mean_estimate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frac_converged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Km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-1.984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30.145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Vmax</w:t>
            </w:r>
          </w:p>
        </w:tc>
        <w:tc>
          <w:tcPr/>
          <w:p>
            <w:pPr>
              <w:pStyle w:val="Compact"/>
            </w:pPr>
            <w:r>
              <w:t xml:space="preserve">8.011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-3.929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om_Vmax</w:t>
            </w:r>
          </w:p>
        </w:tc>
        <w:tc>
          <w:tcPr/>
          <w:p>
            <w:pPr>
              <w:pStyle w:val="Compact"/>
            </w:pPr>
            <w:r>
              <w:t xml:space="preserve">0.301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Km</w:t>
            </w:r>
          </w:p>
        </w:tc>
        <w:tc>
          <w:tcPr/>
          <w:p>
            <w:pPr>
              <w:pStyle w:val="Compact"/>
            </w:pPr>
            <w:r>
              <w:t xml:space="preserve">1.976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-1.196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30.113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Vmax</w:t>
            </w:r>
          </w:p>
        </w:tc>
        <w:tc>
          <w:tcPr/>
          <w:p>
            <w:pPr>
              <w:pStyle w:val="Compact"/>
            </w:pPr>
            <w:r>
              <w:t xml:space="preserve">7.898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-1.279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-1.066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om_Vmax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-1.062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Km</w:t>
            </w:r>
          </w:p>
        </w:tc>
        <w:tc>
          <w:tcPr/>
          <w:p>
            <w:pPr>
              <w:pStyle w:val="Compact"/>
            </w:pPr>
            <w:r>
              <w:t xml:space="preserve">1.983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-0.867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30.299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Vmax</w:t>
            </w:r>
          </w:p>
        </w:tc>
        <w:tc>
          <w:tcPr/>
          <w:p>
            <w:pPr>
              <w:pStyle w:val="Compact"/>
            </w:pPr>
            <w:r>
              <w:t xml:space="preserve">7.886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-1.421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om_Vmax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-2.043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 – not the</w:t>
      </w:r>
      <w:r>
        <w:t xml:space="preserve"> </w:t>
      </w:r>
      <w:r>
        <w:t xml:space="preserve">amortized-flow instability described above, since no flow is involved –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[PLACEHOLDER: this result is discussed further, with a working</w:t>
      </w:r>
      <w:r>
        <w:t xml:space="preserve"> </w:t>
      </w:r>
      <w:r>
        <w:t xml:space="preserve">hypothesis, in the Discussion below; results using the amortized</w:t>
      </w:r>
      <w:r>
        <w:t xml:space="preserve"> </w:t>
      </w:r>
      <w:r>
        <w:t xml:space="preserve">posterior on this model are excluded from the table and figure above.]</w:t>
      </w:r>
    </w:p>
    <w:bookmarkEnd w:id="43"/>
    <w:bookmarkStart w:id="4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</w:t>
      </w:r>
      <w:r>
        <w:t xml:space="preserve"> </w:t>
      </w:r>
      <w:r>
        <w:t xml:space="preserve">showing the least shrinkage of the three, consistent with clearance</w:t>
      </w:r>
      <w:r>
        <w:t xml:space="preserve"> </w:t>
      </w:r>
      <w:r>
        <w:t xml:space="preserve">being the most robustly identified parameter throughout the simulated</w:t>
      </w:r>
      <w:r>
        <w:t xml:space="preserve"> </w:t>
      </w:r>
      <w:r>
        <w:t xml:space="preserve">results above. On warfarin, fixed-effect estimates for clearance and</w:t>
      </w:r>
      <w:r>
        <w:t xml:space="preserve"> </w:t>
      </w:r>
      <w:r>
        <w:t xml:space="preserve">volume of distribution fall inside the published 95% confidence</w:t>
      </w:r>
      <w:r>
        <w:t xml:space="preserve"> </w:t>
      </w:r>
      <w:r>
        <w:t xml:space="preserve">intervals of an independently fitted 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 simpler one-compartment,</w:t>
      </w:r>
      <w:r>
        <w:t xml:space="preserve"> </w:t>
      </w:r>
      <w:r>
        <w:t xml:space="preserve">single-step absorption structure versus the published model’s two-step</w:t>
      </w:r>
      <w:r>
        <w:t xml:space="preserve"> </w:t>
      </w:r>
      <w:r>
        <w:t xml:space="preserve">transit-compartment absorption – a real, external agreement on the</w:t>
      </w:r>
      <w:r>
        <w:t xml:space="preserve"> </w:t>
      </w:r>
      <w:r>
        <w:t xml:space="preserve">parameters that should agree given the shared elimination structure,</w:t>
      </w:r>
      <w:r>
        <w:t xml:space="preserve"> </w:t>
      </w:r>
      <w:r>
        <w:t xml:space="preserve">not merely a directional match.</w:t>
      </w:r>
    </w:p>
    <w:p>
      <w:pPr>
        <w:pStyle w:val="BodyText"/>
      </w:pPr>
      <w:r>
        <w:drawing>
          <wp:inline>
            <wp:extent cx="5334000" cy="224027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ublication/figures/fig_realdata_k1_vs_khigh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estimates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each dataset, by parameter.</w:t>
      </w:r>
    </w:p>
    <w:p>
      <w:pPr>
        <w:pStyle w:val="TableCaption"/>
      </w:pPr>
      <w:r>
        <w:t xml:space="preserve">Parameter estimates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both real datasets, and</w:t>
      </w:r>
      <w:r>
        <w:t xml:space="preserve"> </w:t>
      </w:r>
      <w:r>
        <w:t xml:space="preserve">their percent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ameter estimates at K=1 versus K=64 for both real datasets, and their percent differenc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K_low</w:t>
            </w:r>
          </w:p>
        </w:tc>
        <w:tc>
          <w:tcPr/>
          <w:p>
            <w:pPr>
              <w:pStyle w:val="Compact"/>
            </w:pPr>
            <w:r>
              <w:t xml:space="preserve">estimate_K_low</w:t>
            </w:r>
          </w:p>
        </w:tc>
        <w:tc>
          <w:tcPr/>
          <w:p>
            <w:pPr>
              <w:pStyle w:val="Compact"/>
            </w:pPr>
            <w:r>
              <w:t xml:space="preserve">K_high</w:t>
            </w:r>
          </w:p>
        </w:tc>
        <w:tc>
          <w:tcPr/>
          <w:p>
            <w:pPr>
              <w:pStyle w:val="Compact"/>
            </w:pPr>
            <w:r>
              <w:t xml:space="preserve">estimate_K_high</w:t>
            </w:r>
          </w:p>
        </w:tc>
        <w:tc>
          <w:tcPr/>
          <w:p>
            <w:pPr>
              <w:pStyle w:val="Compact"/>
            </w:pPr>
            <w:r>
              <w:t xml:space="preserve">pct_diff_low_vs_high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0.0399780823466852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0.0403340132607083</w:t>
            </w:r>
          </w:p>
        </w:tc>
        <w:tc>
          <w:tcPr/>
          <w:p>
            <w:pPr>
              <w:pStyle w:val="Compact"/>
            </w:pPr>
            <w:r>
              <w:t xml:space="preserve">-0.88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0.4624260144796536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0.4517957541038435</w:t>
            </w:r>
          </w:p>
        </w:tc>
        <w:tc>
          <w:tcPr/>
          <w:p>
            <w:pPr>
              <w:pStyle w:val="Compac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1.285871545824862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1.3432511476026092</w:t>
            </w:r>
          </w:p>
        </w:tc>
        <w:tc>
          <w:tcPr/>
          <w:p>
            <w:pPr>
              <w:pStyle w:val="Compact"/>
            </w:pPr>
            <w:r>
              <w:t xml:space="preserve">-4.27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0.2449826753381065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0.25468847097044</w:t>
            </w:r>
          </w:p>
        </w:tc>
        <w:tc>
          <w:tcPr/>
          <w:p>
            <w:pPr>
              <w:pStyle w:val="Compact"/>
            </w:pPr>
            <w:r>
              <w:t xml:space="preserve">-3.81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0.0921426595674207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0.1127060108431509</w:t>
            </w:r>
          </w:p>
        </w:tc>
        <w:tc>
          <w:tcPr/>
          <w:p>
            <w:pPr>
              <w:pStyle w:val="Compact"/>
            </w:pPr>
            <w:r>
              <w:t xml:space="preserve">-18.25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0.6463371431773433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0.6819586125133786</w:t>
            </w:r>
          </w:p>
        </w:tc>
        <w:tc>
          <w:tcPr/>
          <w:p>
            <w:pPr>
              <w:pStyle w:val="Compact"/>
            </w:pPr>
            <w:r>
              <w:t xml:space="preserve">-5.22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0.1801019692209916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0.1718191712865529</w:t>
            </w:r>
          </w:p>
        </w:tc>
        <w:tc>
          <w:tcPr/>
          <w:p>
            <w:pPr>
              <w:pStyle w:val="Compact"/>
            </w:pPr>
            <w:r>
              <w:t xml:space="preserve">4.82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0.1324849190874699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0.1295015835469587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7.938745771567575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8.019921779494958</w:t>
            </w:r>
          </w:p>
        </w:tc>
        <w:tc>
          <w:tcPr/>
          <w:p>
            <w:pPr>
              <w:pStyle w:val="Compact"/>
            </w:pPr>
            <w:r>
              <w:t xml:space="preserve">-1.01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0.6168926858265219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0.6366073514523212</w:t>
            </w:r>
          </w:p>
        </w:tc>
        <w:tc>
          <w:tcPr/>
          <w:p>
            <w:pPr>
              <w:pStyle w:val="Compact"/>
            </w:pPr>
            <w:r>
              <w:t xml:space="preserve">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0.2783230432587028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0.276191849365181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0.1895398792983538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0.2073812546980456</w:t>
            </w:r>
          </w:p>
        </w:tc>
        <w:tc>
          <w:tcPr/>
          <w:p>
            <w:pPr>
              <w:pStyle w:val="Compact"/>
            </w:pPr>
            <w:r>
              <w:t xml:space="preserve">-8.6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0.811148050786541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0.9777563030380608</w:t>
            </w:r>
          </w:p>
        </w:tc>
        <w:tc>
          <w:tcPr/>
          <w:p>
            <w:pPr>
              <w:pStyle w:val="Compact"/>
            </w:pPr>
            <w:r>
              <w:t xml:space="preserve">-17.04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0.2072281419688492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0.2029462916515008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</w:tr>
    </w:tbl>
    <w:bookmarkEnd w:id="47"/>
    <w:bookmarkStart w:id="51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data, supporting its use as a practical diagnostic on real data</w:t>
      </w:r>
      <w:r>
        <w:t xml:space="preserve"> </w:t>
      </w:r>
      <w:r>
        <w:t xml:space="preserve">where no ground truth is available to check convergence directly. A</w:t>
      </w:r>
      <w:r>
        <w:t xml:space="preserve"> </w:t>
      </w:r>
      <w:r>
        <w:t xml:space="preserve">fixed per-subject tail-count threshold does not separate the two groups</w:t>
      </w:r>
      <w:r>
        <w:t xml:space="preserve"> </w:t>
      </w:r>
      <w:r>
        <w:t xml:space="preserve">as cleanly, reflecting genuine subject-to-subject variation in fit</w:t>
      </w:r>
      <w:r>
        <w:t xml:space="preserve"> </w:t>
      </w:r>
      <w:r>
        <w:t xml:space="preserve">difficulty independent of overall training adequacy; we therefore</w:t>
      </w:r>
      <w:r>
        <w:t xml:space="preserve"> </w:t>
      </w:r>
      <w:r>
        <w:t xml:space="preserve">recommend the aggregate (mean or median) ESS as the primary diagnostic,</w:t>
      </w:r>
      <w:r>
        <w:t xml:space="preserve"> </w:t>
      </w:r>
      <w:r>
        <w:t xml:space="preserve">not a fixed per-subject threshold.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ublication/figures/fig_psis_es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Per-subject effective sample size distribution, well-converged versus</w:t>
      </w:r>
      <w:r>
        <w:t xml:space="preserve"> </w:t>
      </w:r>
      <w:r>
        <w:t xml:space="preserve">deliberately under-trained fits on identical data.</w:t>
      </w:r>
    </w:p>
    <w:p>
      <w:pPr>
        <w:pStyle w:val="TableCaption"/>
      </w:pPr>
      <w:r>
        <w:t xml:space="preserve">Aggregate effective sample size by fit-quality arm.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ggregate effective sample size by fit-quality arm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1204.2</w:t>
            </w:r>
          </w:p>
        </w:tc>
        <w:tc>
          <w:tcPr/>
          <w:p>
            <w:pPr>
              <w:pStyle w:val="Compact"/>
            </w:pPr>
            <w:r>
              <w:t xml:space="preserve">1175.7</w:t>
            </w:r>
          </w:p>
        </w:tc>
        <w:tc>
          <w:tcPr/>
          <w:p>
            <w:pPr>
              <w:pStyle w:val="Compact"/>
            </w:pPr>
            <w:r>
              <w:t xml:space="preserve">174.7</w:t>
            </w:r>
          </w:p>
        </w:tc>
        <w:tc>
          <w:tcPr/>
          <w:p>
            <w:pPr>
              <w:pStyle w:val="Compact"/>
            </w:pPr>
            <w:r>
              <w:t xml:space="preserve">2846.5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1788.7</w:t>
            </w:r>
          </w:p>
        </w:tc>
        <w:tc>
          <w:tcPr/>
          <w:p>
            <w:pPr>
              <w:pStyle w:val="Compact"/>
            </w:pPr>
            <w:r>
              <w:t xml:space="preserve">1790.8</w:t>
            </w:r>
          </w:p>
        </w:tc>
        <w:tc>
          <w:tcPr/>
          <w:p>
            <w:pPr>
              <w:pStyle w:val="Compact"/>
            </w:pPr>
            <w:r>
              <w:t xml:space="preserve">10.7</w:t>
            </w:r>
          </w:p>
        </w:tc>
        <w:tc>
          <w:tcPr/>
          <w:p>
            <w:pPr>
              <w:pStyle w:val="Compact"/>
            </w:pPr>
            <w:r>
              <w:t xml:space="preserve">3217.0</w:t>
            </w:r>
          </w:p>
        </w:tc>
      </w:tr>
    </w:tbl>
    <w:bookmarkEnd w:id="51"/>
    <w:bookmarkStart w:id="55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 –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ublication/figures/fig_deltaofv_calibra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Empirical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distribution under the null hypothesis,</w:t>
      </w:r>
      <w:r>
        <w:t xml:space="preserve"> </w:t>
      </w:r>
      <w:r>
        <w:t xml:space="preserve">free versus amortized posterior, against the theoretical Self-Liang</w:t>
      </w:r>
      <w:r>
        <w:t xml:space="preserve"> </w:t>
      </w:r>
      <w:r>
        <w:t xml:space="preserve">mixture reference density.</w:t>
      </w:r>
    </w:p>
    <w:p>
      <w:pPr>
        <w:pStyle w:val="TableCaption"/>
      </w:pP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calibration summary: boundary fraction,</w:t>
      </w:r>
      <w:r>
        <w:t xml:space="preserve"> </w:t>
      </w:r>
      <w:r>
        <w:t xml:space="preserve">Kolmogorov-Smirnov statistic and p-value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the</w:t>
      </w:r>
      <w:r>
        <w:t xml:space="preserve"> </w:t>
      </w:r>
      <w:r>
        <w:t xml:space="preserve">strictly-positive replicates, and empirical type-I error of the correct</w:t>
      </w:r>
      <w:r>
        <w:t xml:space="preserve"> </w:t>
      </w:r>
      <w:r>
        <w:t xml:space="preserve">boundary-mixture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\Delta\mathrm{OFV} calibration summary: boundary fraction, Kolmogorov-Smirnov statistic and p-value against \chi^2_1 for the strictly-positive replicates, and empirical type-I error of the correct boundary-mixture test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n_reps</w:t>
            </w:r>
          </w:p>
        </w:tc>
        <w:tc>
          <w:tcPr/>
          <w:p>
            <w:pPr>
              <w:pStyle w:val="Compact"/>
            </w:pPr>
            <w:r>
              <w:t xml:space="preserve">boundary_fraction_pct</w:t>
            </w:r>
          </w:p>
        </w:tc>
        <w:tc>
          <w:tcPr/>
          <w:p>
            <w:pPr>
              <w:pStyle w:val="Compact"/>
            </w:pPr>
            <w:r>
              <w:t xml:space="preserve">n_negative_dofv</w:t>
            </w:r>
          </w:p>
        </w:tc>
        <w:tc>
          <w:tcPr/>
          <w:p>
            <w:pPr>
              <w:pStyle w:val="Compact"/>
            </w:pPr>
            <w:r>
              <w:t xml:space="preserve">ks_stat</w:t>
            </w:r>
          </w:p>
        </w:tc>
        <w:tc>
          <w:tcPr/>
          <w:p>
            <w:pPr>
              <w:pStyle w:val="Compact"/>
            </w:pPr>
            <w:r>
              <w:t xml:space="preserve">ks_p</w:t>
            </w:r>
          </w:p>
        </w:tc>
        <w:tc>
          <w:tcPr/>
          <w:p>
            <w:pPr>
              <w:pStyle w:val="Compact"/>
            </w:pPr>
            <w:r>
              <w:t xml:space="preserve">type1_error_correct_test_pct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0.2922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55"/>
    <w:bookmarkStart w:id="56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[PLACEHOLDER: nlmixr2/NONMEM – this subsection will report the direct</w:t>
      </w:r>
      <w:r>
        <w:t xml:space="preserve"> </w:t>
      </w:r>
      <w:r>
        <w:t xml:space="preserve">FOCEI/SAEM runtime and parameter-recovery comparison, including</w:t>
      </w:r>
      <w:r>
        <w:t xml:space="preserve"> </w:t>
      </w:r>
      <w:r>
        <w:rPr>
          <w:rStyle w:val="VerbatimChar"/>
        </w:rPr>
        <w:t xml:space="preserve">{{&lt; include publication/tables/table_baseline_comparison.md &gt;}}</w:t>
      </w:r>
      <w:r>
        <w:t xml:space="preserve"> </w:t>
      </w:r>
      <w:r>
        <w:t xml:space="preserve">once</w:t>
      </w:r>
      <w:r>
        <w:t xml:space="preserve"> </w:t>
      </w:r>
      <w:r>
        <w:t xml:space="preserve">that table exists, once the R-based baseline pipeline is unblocked.]</w:t>
      </w:r>
    </w:p>
    <w:bookmarkEnd w:id="56"/>
    <w:bookmarkEnd w:id="57"/>
    <w:bookmarkStart w:id="58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variational inference systematically underestimates between-subject</w:t>
      </w:r>
      <w:r>
        <w:t xml:space="preserve"> </w:t>
      </w:r>
      <w:r>
        <w:t xml:space="preserve">variance components, this bias is substantially correctable by</w:t>
      </w:r>
      <w:r>
        <w:t xml:space="preserve"> </w:t>
      </w:r>
      <w:r>
        <w:t xml:space="preserve">importance-weighting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</w:t>
      </w:r>
      <w:r>
        <w:t xml:space="preserve"> </w:t>
      </w:r>
      <w:r>
        <w:t xml:space="preserve">variational family (normalizing flows), and the correction reproduces on</w:t>
      </w:r>
      <w:r>
        <w:t xml:space="preserve"> </w:t>
      </w:r>
      <w:r>
        <w:t xml:space="preserve">real pharmacokinetic data with external validation against an</w:t>
      </w:r>
      <w:r>
        <w:t xml:space="preserve"> </w:t>
      </w:r>
      <w:r>
        <w:t xml:space="preserve">independently published fit. This supports the practical use of</w:t>
      </w:r>
      <w:r>
        <w:t xml:space="preserve"> </w:t>
      </w:r>
      <w:r>
        <w:t xml:space="preserve">corrected variational inference as a faster alternative to FOCEI/SAEM for</w:t>
      </w:r>
      <w:r>
        <w:t xml:space="preserve"> </w:t>
      </w:r>
      <w:r>
        <w:t xml:space="preserve">NLME model fitting, with two important caveats developed below: not every</w:t>
      </w:r>
      <w:r>
        <w:t xml:space="preserve"> </w:t>
      </w:r>
      <w:r>
        <w:t xml:space="preserve">posterior architecture is safe to use for every purpose, and the</w:t>
      </w:r>
      <w:r>
        <w:t xml:space="preserve"> </w:t>
      </w:r>
      <w:r>
        <w:t xml:space="preserve">correction of point estimates does not automatically extend to every</w:t>
      </w:r>
      <w:r>
        <w:t xml:space="preserve"> </w:t>
      </w:r>
      <w:r>
        <w:t xml:space="preserve">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</w:t>
      </w:r>
      <w:r>
        <w:t xml:space="preserve"> </w:t>
      </w:r>
      <w:r>
        <w:t xml:space="preserve">investigation of this failure mode. Third, likelihood-ratio tests</w:t>
      </w:r>
      <w:r>
        <w:t xml:space="preserve"> </w:t>
      </w:r>
      <w:r>
        <w:t xml:space="preserve">comparing models that differ in random-effect structure should use an</w:t>
      </w:r>
      <w:r>
        <w:t xml:space="preserve"> </w:t>
      </w:r>
      <w:r>
        <w:t xml:space="preserve">amortized rather than free posterior, given the effective-degrees-of-</w:t>
      </w:r>
      <w:r>
        <w:t xml:space="preserve"> </w:t>
      </w:r>
      <w:r>
        <w:t xml:space="preserve">freedom mismatch 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 estimates themselves remain valid, only their use for</w:t>
      </w:r>
      <w:r>
        <w:t xml:space="preserve"> </w:t>
      </w:r>
      <w:r>
        <w:t xml:space="preserve">nested-model 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 –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 – is itself supporting evidence for</w:t>
      </w:r>
      <w:r>
        <w:t xml:space="preserve"> </w:t>
      </w:r>
      <w:r>
        <w:t xml:space="preserve">this interpretation, though a direct comparison against FOCEI/SAEM on the</w:t>
      </w:r>
      <w:r>
        <w:t xml:space="preserve"> </w:t>
      </w:r>
      <w:r>
        <w:t xml:space="preserve">same restricted model specification (see the placeholder Results</w:t>
      </w:r>
      <w:r>
        <w:t xml:space="preserve"> </w:t>
      </w:r>
      <w:r>
        <w:t xml:space="preserve">subsection above) would strengthen it further.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 – the same phenomenon that</w:t>
      </w:r>
      <w:r>
        <w:t xml:space="preserve"> </w:t>
      </w:r>
      <w:r>
        <w:t xml:space="preserve">motivates REML-type corrections in linear mixed models –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[PLACEHOLDER: expand this paragraph once/if the</w:t>
      </w:r>
      <w:r>
        <w:t xml:space="preserve"> </w:t>
      </w:r>
      <w:r>
        <w:t xml:space="preserve">architectural variant described below is validated.] The amortized+flow</w:t>
      </w:r>
      <w:r>
        <w:t xml:space="preserve"> </w:t>
      </w:r>
      <w:r>
        <w:t xml:space="preserve">instability is plausibly explained by the amortized encoder’s output</w:t>
      </w:r>
      <w:r>
        <w:t xml:space="preserve"> </w:t>
      </w:r>
      <w:r>
        <w:t xml:space="preserve">serving a double role – both defining the flow’s base distribution and</w:t>
      </w:r>
      <w:r>
        <w:t xml:space="preserve"> </w:t>
      </w:r>
      <w:r>
        <w:t xml:space="preserve">its conditioning input – under this specific configuration. Notably,</w:t>
      </w:r>
      <w:r>
        <w:t xml:space="preserve"> </w:t>
      </w:r>
      <w:r>
        <w:t xml:space="preserve">Arruda et al. (2024)</w:t>
      </w:r>
      <w:r>
        <w:t xml:space="preserve">’s independent amortized-flow architecture for NLME</w:t>
      </w:r>
      <w:r>
        <w:t xml:space="preserve"> </w:t>
      </w:r>
      <w:r>
        <w:t xml:space="preserve">models does not share this coupling: their conditional normalizing</w:t>
      </w:r>
      <w:r>
        <w:t xml:space="preserve"> </w:t>
      </w:r>
      <w:r>
        <w:t xml:space="preserve">flow’s base distribution is a fixed standard normal, with the amortized</w:t>
      </w:r>
      <w:r>
        <w:t xml:space="preserve"> </w:t>
      </w:r>
      <w:r>
        <w:t xml:space="preserve">encoder’s (LSTM-based) summary statistics used solely as the flow’s</w:t>
      </w:r>
      <w:r>
        <w:t xml:space="preserve"> </w:t>
      </w:r>
      <w:r>
        <w:t xml:space="preserve">conditioning input, never as the base distribution’s own parameters. A</w:t>
      </w:r>
      <w:r>
        <w:t xml:space="preserve"> </w:t>
      </w:r>
      <w:r>
        <w:t xml:space="preserve">preliminary, architecturally decoupled variant following this design was</w:t>
      </w:r>
      <w:r>
        <w:t xml:space="preserve"> </w:t>
      </w:r>
      <w:r>
        <w:t xml:space="preserve">implemented and smoke-tested in the course of this work, producing</w:t>
      </w:r>
      <w:r>
        <w:t xml:space="preserve"> </w:t>
      </w:r>
      <w:r>
        <w:t xml:space="preserve">plausible (non-divergent) parameter estimates on a small-scale test, but</w:t>
      </w:r>
      <w:r>
        <w:t xml:space="preserve"> </w:t>
      </w:r>
      <w:r>
        <w:t xml:space="preserve">has not been validated at the scale needed to report as a result; we</w:t>
      </w:r>
      <w:r>
        <w:t xml:space="preserve"> </w:t>
      </w:r>
      <w:r>
        <w:t xml:space="preserve">flag it as a concrete, motivated direction for resolving this</w:t>
      </w:r>
      <w:r>
        <w:t xml:space="preserve"> </w:t>
      </w:r>
      <w:r>
        <w:t xml:space="preserve">instability rather than treating it as an unexplained dead end. The</w:t>
      </w:r>
      <w:r>
        <w:t xml:space="preserve"> </w:t>
      </w:r>
      <w:r>
        <w:t xml:space="preserve">amortized-nonlinear-model instability observed independently on the</w:t>
      </w:r>
      <w:r>
        <w:t xml:space="preserve"> </w:t>
      </w:r>
      <w:r>
        <w:t xml:space="preserve">Michaelis-Menten tier does not involve a flow at all and is therefore a</w:t>
      </w:r>
      <w:r>
        <w:t xml:space="preserve"> </w:t>
      </w:r>
      <w:r>
        <w:t xml:space="preserve">distinct problem; we speculate that it may reflect the greater difficulty</w:t>
      </w:r>
      <w:r>
        <w:t xml:space="preserve"> </w:t>
      </w:r>
      <w:r>
        <w:t xml:space="preserve">of learning one shared encoder mapping across subjects whose trajectory</w:t>
      </w:r>
      <w:r>
        <w:t xml:space="preserve"> </w:t>
      </w:r>
      <w:r>
        <w:t xml:space="preserve">shapes vary substantially more (spanning saturated, transitional, and</w:t>
      </w:r>
      <w:r>
        <w:t xml:space="preserve"> </w:t>
      </w:r>
      <w:r>
        <w:t xml:space="preserve">first-order elimination regimes) than the comparatively uniform</w:t>
      </w:r>
      <w:r>
        <w:t xml:space="preserve"> </w:t>
      </w:r>
      <w:r>
        <w:t xml:space="preserve">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[PLACEHOLDER: nlmixr2/NONMEM – the most significant</w:t>
      </w:r>
      <w:r>
        <w:t xml:space="preserve"> </w:t>
      </w:r>
      <w:r>
        <w:t xml:space="preserve">current limitation is the absence of a direct runtime and accuracy</w:t>
      </w:r>
      <w:r>
        <w:t xml:space="preserve"> </w:t>
      </w:r>
      <w:r>
        <w:t xml:space="preserve">comparison against FOCEI and SAEM, which would allow the practical</w:t>
      </w:r>
      <w:r>
        <w:t xml:space="preserve"> </w:t>
      </w:r>
      <w:r>
        <w:t xml:space="preserve">“is this actually faster and as accurate”</w:t>
      </w:r>
      <w:r>
        <w:t xml:space="preserve"> </w:t>
      </w:r>
      <w:r>
        <w:t xml:space="preserve">question motivating this work</w:t>
      </w:r>
      <w:r>
        <w:t xml:space="preserve"> </w:t>
      </w:r>
      <w:r>
        <w:t xml:space="preserve">to be answered quantitatively rather than by comparison to the general</w:t>
      </w:r>
      <w:r>
        <w:t xml:space="preserve"> </w:t>
      </w:r>
      <w:r>
        <w:t xml:space="preserve">literature’s reported comparisons for other models</w:t>
      </w:r>
      <w:r>
        <w:t xml:space="preserve"> </w:t>
      </w:r>
      <w:r>
        <w:t xml:space="preserve">(e.g.</w:t>
      </w:r>
      <w:r>
        <w:t xml:space="preserve"> </w:t>
      </w:r>
      <w:r>
        <w:t xml:space="preserve">Arruda et al. (2024)</w:t>
      </w:r>
      <w:r>
        <w:t xml:space="preserve">’s reported roughly two-orders-of-magnitude</w:t>
      </w:r>
      <w:r>
        <w:t xml:space="preserve"> </w:t>
      </w:r>
      <w:r>
        <w:t xml:space="preserve">speedup on their tested models). This is expected to be added once the</w:t>
      </w:r>
      <w:r>
        <w:t xml:space="preserve"> </w:t>
      </w:r>
      <w:r>
        <w:t xml:space="preserve">R-based baseline pipeline is complete.] Beyond the baseline comparison,</w:t>
      </w:r>
      <w:r>
        <w:t xml:space="preserve"> </w:t>
      </w:r>
      <w:r>
        <w:t xml:space="preserve">this work tests a single linear structural model class and a single</w:t>
      </w:r>
      <w:r>
        <w:t xml:space="preserve"> </w:t>
      </w:r>
      <w:r>
        <w:t xml:space="preserve">nonlinear structural model class; whether the identified biases and</w:t>
      </w:r>
      <w:r>
        <w:t xml:space="preserve"> </w:t>
      </w:r>
      <w:r>
        <w:t xml:space="preserve">corrections generalize to structurally more complex models (multiple</w:t>
      </w:r>
      <w:r>
        <w:t xml:space="preserve"> </w:t>
      </w:r>
      <w:r>
        <w:t xml:space="preserve">compartments, covariate effects, time-varying dosing) is not directly</w:t>
      </w:r>
      <w:r>
        <w:t xml:space="preserve"> </w:t>
      </w:r>
      <w:r>
        <w:t xml:space="preserve">tested here. The residual, smaller miscalibration remaining in the</w:t>
      </w:r>
      <w:r>
        <w:t xml:space="preserve"> </w:t>
      </w:r>
      <w:r>
        <w:t xml:space="preserve">amortized-posterior likelihood-ratio test calibration after the</w:t>
      </w:r>
      <w:r>
        <w:t xml:space="preserve"> </w:t>
      </w:r>
      <w:r>
        <w:t xml:space="preserve">boundary-mass correction (see Results) also remains unexplained; a</w:t>
      </w:r>
      <w:r>
        <w:t xml:space="preserve"> </w:t>
      </w:r>
      <w:r>
        <w:t xml:space="preserve">follow-up analysis testing whether divergence in the two nested models’</w:t>
      </w:r>
      <w:r>
        <w:t xml:space="preserve"> </w:t>
      </w:r>
      <w:r>
        <w:t xml:space="preserve">residual-error estimates explains this residual found a real correlation</w:t>
      </w:r>
      <w:r>
        <w:t xml:space="preserve"> </w:t>
      </w:r>
      <w:r>
        <w:t xml:space="preserve">but could not establish it as a mechanism independent of the</w:t>
      </w:r>
      <w:r>
        <w:t xml:space="preserve"> </w:t>
      </w:r>
      <w:r>
        <w:t xml:space="preserve">already-understood boundary-mass effect, given that the residual-error</w:t>
      </w:r>
      <w:r>
        <w:t xml:space="preserve"> </w:t>
      </w:r>
      <w:r>
        <w:t xml:space="preserve">parameter appears directly inside 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completing the FOCEI/SAEM baseline comparison,</w:t>
      </w:r>
      <w:r>
        <w:t xml:space="preserve"> </w:t>
      </w:r>
      <w:r>
        <w:t xml:space="preserve">concrete directions include: validating the decoupled-base-distribution</w:t>
      </w:r>
      <w:r>
        <w:t xml:space="preserve"> </w:t>
      </w:r>
      <w:r>
        <w:t xml:space="preserve">flow architecture described above at production scale;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disposition;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 </w:t>
      </w:r>
      <w:r>
        <w:t xml:space="preserve">–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 –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58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59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59"/>
    <w:bookmarkStart w:id="60" w:name="ref-PLACEHOLDER_group3"/>
    <w:p>
      <w:pPr>
        <w:pStyle w:val="Bibliography"/>
      </w:pPr>
      <w:r>
        <w:t xml:space="preserve">Baaz et al.</w:t>
      </w:r>
      <w:r>
        <w:t xml:space="preserve"> </w:t>
      </w:r>
      <w:r>
        <w:t xml:space="preserve">“TODO – Fill in: Baaz Et Al., Variational Inference for NLME Models.”</w:t>
      </w:r>
    </w:p>
    <w:bookmarkEnd w:id="60"/>
    <w:bookmarkStart w:id="61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61"/>
    <w:bookmarkStart w:id="62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62"/>
    <w:bookmarkStart w:id="63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63"/>
    <w:bookmarkStart w:id="64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64"/>
    <w:bookmarkStart w:id="65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65"/>
    <w:bookmarkStart w:id="66" w:name="ref-PLACEHOLDER_group2"/>
    <w:p>
      <w:pPr>
        <w:pStyle w:val="Bibliography"/>
      </w:pPr>
      <w:r>
        <w:t xml:space="preserve">Li et al.</w:t>
      </w:r>
      <w:r>
        <w:t xml:space="preserve"> </w:t>
      </w:r>
      <w:r>
        <w:t xml:space="preserve">“TODO – Fill in: Li Et Al., Variational Inference for NLME Models.”</w:t>
      </w:r>
    </w:p>
    <w:bookmarkEnd w:id="66"/>
    <w:bookmarkStart w:id="67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67"/>
    <w:bookmarkStart w:id="68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68"/>
    <w:bookmarkStart w:id="69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69"/>
    <w:bookmarkStart w:id="70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70"/>
    <w:bookmarkStart w:id="71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 </w:t>
      </w:r>
      <w:r>
        <w:t xml:space="preserve">–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71"/>
    <w:bookmarkStart w:id="72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72"/>
    <w:bookmarkStart w:id="73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73"/>
    <w:bookmarkStart w:id="74" w:name="ref-PLACEHOLDER_group1"/>
    <w:p>
      <w:pPr>
        <w:pStyle w:val="Bibliography"/>
      </w:pPr>
      <w:r>
        <w:t xml:space="preserve">Tarek, and Afonso.</w:t>
      </w:r>
      <w:r>
        <w:t xml:space="preserve"> </w:t>
      </w:r>
      <w:r>
        <w:t xml:space="preserve">“TODO – Fill in: Tarek &amp; Afonso, Variational Inference for NLME Models.”</w:t>
      </w:r>
    </w:p>
    <w:bookmarkEnd w:id="74"/>
    <w:bookmarkStart w:id="75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2026-08-14T15:13:21Z</dcterms:created>
  <dcterms:modified xsi:type="dcterms:W3CDTF">2026-08-14T15:13:21Z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