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98104" w14:textId="3A187257" w:rsidR="00936384" w:rsidRDefault="00936384" w:rsidP="003976EE">
      <w:pPr>
        <w:pStyle w:val="Heading1"/>
      </w:pPr>
      <w:r>
        <w:t>Gaps</w:t>
      </w:r>
    </w:p>
    <w:p w14:paraId="2CC3F215" w14:textId="77777777" w:rsidR="003976EE" w:rsidRDefault="003976EE" w:rsidP="003976EE">
      <w:pPr>
        <w:jc w:val="both"/>
      </w:pPr>
      <w:r w:rsidRPr="008A577E">
        <w:t xml:space="preserve">However, evidence for the impact of outdoor air pollution on human health remains limited, partly because its composition is poorly characterized. </w:t>
      </w:r>
      <w:r w:rsidRPr="00550B57">
        <w:t>Comparisons of effectiveness of urban strategies across multiple cities, and assessments of transferability of policies in different urban settings, are hindered by the lack of international emissions or source apportioned air quality datasets focused on urban areas.</w:t>
      </w:r>
      <w:r w:rsidRPr="00796594">
        <w:t xml:space="preserve"> Source apportionment studies provide a break-down of source-specific contributions to air pollution concentrations (Belis et al., 2013, </w:t>
      </w:r>
      <w:proofErr w:type="spellStart"/>
      <w:r w:rsidRPr="00796594">
        <w:t>Thunis</w:t>
      </w:r>
      <w:proofErr w:type="spellEnd"/>
      <w:r w:rsidRPr="00796594">
        <w:t xml:space="preserve"> et al., 2019). Such data can be directly used to assess source-specific health burden, or used in a policy scenario context with simplifying assumptions on impacts of source-specific emission changes on concentrations. However, source apportionment studies are expensive to conduct, and performing such studies at a global scale would be beyond resources of typical research project.</w:t>
      </w:r>
    </w:p>
    <w:p w14:paraId="6A7DC8FD" w14:textId="0D9C04BA" w:rsidR="00936384" w:rsidRDefault="009D21D9" w:rsidP="00936384">
      <w:r w:rsidRPr="009D21D9">
        <w:t>Our research questions were (</w:t>
      </w:r>
      <w:proofErr w:type="spellStart"/>
      <w:r w:rsidRPr="009D21D9">
        <w:t>i</w:t>
      </w:r>
      <w:proofErr w:type="spellEnd"/>
      <w:r w:rsidRPr="009D21D9">
        <w:t>) “what is the magnitude of traffic contribution to air quality and its associated uncertainty in different cities worldwide on the basis of studies collected in the WHO database?”; (ii) “how can we explain the variation in traffic contribution estimates reported in previous studies?”, and (iii) does PM size fraction affect traffic contribution estimates reported in previous studies?</w:t>
      </w:r>
    </w:p>
    <w:p w14:paraId="30A37F26" w14:textId="77777777" w:rsidR="00520FC7" w:rsidRDefault="00520FC7" w:rsidP="00520FC7">
      <w:pPr>
        <w:rPr>
          <w:lang w:val="en-GB"/>
        </w:rPr>
      </w:pPr>
      <w:r>
        <w:rPr>
          <w:lang w:val="en-GB"/>
        </w:rPr>
        <w:t xml:space="preserve">Dietary </w:t>
      </w:r>
      <w:r w:rsidRPr="00520FC7">
        <w:rPr>
          <w:lang w:val="en-GB"/>
        </w:rPr>
        <w:t>risk assessment</w:t>
      </w:r>
      <w:r>
        <w:rPr>
          <w:lang w:val="en-GB"/>
        </w:rPr>
        <w:t xml:space="preserve">, </w:t>
      </w:r>
      <w:r w:rsidRPr="00520FC7">
        <w:rPr>
          <w:lang w:val="en-GB"/>
        </w:rPr>
        <w:t xml:space="preserve">the process to estimate the nature and probability of adverse health effects </w:t>
      </w:r>
      <w:r>
        <w:rPr>
          <w:lang w:val="en-GB"/>
        </w:rPr>
        <w:t>among</w:t>
      </w:r>
      <w:r w:rsidRPr="00520FC7">
        <w:rPr>
          <w:lang w:val="en-GB"/>
        </w:rPr>
        <w:t xml:space="preserve"> </w:t>
      </w:r>
      <w:r>
        <w:rPr>
          <w:lang w:val="en-GB"/>
        </w:rPr>
        <w:t xml:space="preserve">consumers </w:t>
      </w:r>
      <w:r w:rsidRPr="00520FC7">
        <w:rPr>
          <w:lang w:val="en-GB"/>
        </w:rPr>
        <w:t xml:space="preserve">exposed to </w:t>
      </w:r>
      <w:r>
        <w:rPr>
          <w:lang w:val="en-GB"/>
        </w:rPr>
        <w:t>pesticides via food, was conducted to answer the following questions:</w:t>
      </w:r>
    </w:p>
    <w:p w14:paraId="20688215" w14:textId="77777777" w:rsidR="00520FC7" w:rsidRDefault="00520FC7" w:rsidP="00520FC7">
      <w:pPr>
        <w:pStyle w:val="ListParagraph"/>
        <w:numPr>
          <w:ilvl w:val="0"/>
          <w:numId w:val="3"/>
        </w:numPr>
        <w:rPr>
          <w:lang w:val="en-GB"/>
        </w:rPr>
      </w:pPr>
      <w:r w:rsidRPr="00520FC7">
        <w:rPr>
          <w:lang w:val="en-GB"/>
        </w:rPr>
        <w:t xml:space="preserve">What pesticides </w:t>
      </w:r>
      <w:r>
        <w:rPr>
          <w:lang w:val="en-GB"/>
        </w:rPr>
        <w:t>consumers</w:t>
      </w:r>
      <w:r w:rsidRPr="00520FC7">
        <w:rPr>
          <w:lang w:val="en-GB"/>
        </w:rPr>
        <w:t xml:space="preserve"> </w:t>
      </w:r>
      <w:r>
        <w:rPr>
          <w:lang w:val="en-GB"/>
        </w:rPr>
        <w:t xml:space="preserve">are commonly </w:t>
      </w:r>
      <w:r w:rsidRPr="00520FC7">
        <w:rPr>
          <w:lang w:val="en-GB"/>
        </w:rPr>
        <w:t xml:space="preserve">exposed to </w:t>
      </w:r>
      <w:r>
        <w:rPr>
          <w:lang w:val="en-GB"/>
        </w:rPr>
        <w:t>via their daily diet and the overview of total and pesticide specific body weight intake?</w:t>
      </w:r>
    </w:p>
    <w:p w14:paraId="6B265643" w14:textId="77777777" w:rsidR="00520FC7" w:rsidRDefault="00520FC7" w:rsidP="00520FC7">
      <w:pPr>
        <w:pStyle w:val="ListParagraph"/>
        <w:numPr>
          <w:ilvl w:val="0"/>
          <w:numId w:val="3"/>
        </w:numPr>
        <w:rPr>
          <w:lang w:val="en-GB"/>
        </w:rPr>
      </w:pPr>
      <w:r w:rsidRPr="00520FC7">
        <w:rPr>
          <w:lang w:val="en-GB"/>
        </w:rPr>
        <w:t xml:space="preserve">What the chance that </w:t>
      </w:r>
      <w:r>
        <w:rPr>
          <w:lang w:val="en-GB"/>
        </w:rPr>
        <w:t>consumers</w:t>
      </w:r>
      <w:r w:rsidRPr="00520FC7">
        <w:rPr>
          <w:lang w:val="en-GB"/>
        </w:rPr>
        <w:t xml:space="preserve"> will experience </w:t>
      </w:r>
      <w:r>
        <w:rPr>
          <w:lang w:val="en-GB"/>
        </w:rPr>
        <w:t xml:space="preserve">adverse health effects </w:t>
      </w:r>
      <w:r w:rsidRPr="00520FC7">
        <w:rPr>
          <w:lang w:val="en-GB"/>
        </w:rPr>
        <w:t xml:space="preserve">when exposed to </w:t>
      </w:r>
      <w:r>
        <w:rPr>
          <w:lang w:val="en-GB"/>
        </w:rPr>
        <w:t>above legally permitted levels?</w:t>
      </w:r>
    </w:p>
    <w:p w14:paraId="123461C1" w14:textId="1EF34B87" w:rsidR="00520FC7" w:rsidRPr="00520FC7" w:rsidRDefault="00520FC7" w:rsidP="00520FC7">
      <w:pPr>
        <w:pStyle w:val="ListParagraph"/>
        <w:numPr>
          <w:ilvl w:val="0"/>
          <w:numId w:val="3"/>
        </w:numPr>
        <w:rPr>
          <w:lang w:val="en-GB"/>
        </w:rPr>
      </w:pPr>
      <w:r w:rsidRPr="00520FC7">
        <w:rPr>
          <w:lang w:val="en-GB"/>
        </w:rPr>
        <w:t xml:space="preserve">Are </w:t>
      </w:r>
      <w:r>
        <w:rPr>
          <w:lang w:val="en-GB"/>
        </w:rPr>
        <w:t xml:space="preserve">the existing </w:t>
      </w:r>
      <w:r w:rsidRPr="00520FC7">
        <w:rPr>
          <w:lang w:val="en-GB"/>
        </w:rPr>
        <w:t>legal limits for pesticide residues in food (maximum residue limits) protective of human health?</w:t>
      </w:r>
    </w:p>
    <w:p w14:paraId="343F440B" w14:textId="77777777" w:rsidR="00520FC7" w:rsidRDefault="00520FC7" w:rsidP="00520FC7">
      <w:pPr>
        <w:pStyle w:val="ListParagraph"/>
        <w:numPr>
          <w:ilvl w:val="0"/>
          <w:numId w:val="3"/>
        </w:numPr>
        <w:rPr>
          <w:lang w:val="en-GB"/>
        </w:rPr>
      </w:pPr>
      <w:r w:rsidRPr="00520FC7">
        <w:rPr>
          <w:lang w:val="en-GB"/>
        </w:rPr>
        <w:t xml:space="preserve">Are </w:t>
      </w:r>
      <w:r>
        <w:rPr>
          <w:lang w:val="en-GB"/>
        </w:rPr>
        <w:t>consumers</w:t>
      </w:r>
      <w:r w:rsidRPr="00520FC7">
        <w:rPr>
          <w:lang w:val="en-GB"/>
        </w:rPr>
        <w:t xml:space="preserve"> more likely to be susceptible or exposed to pesticides because of factors</w:t>
      </w:r>
      <w:r>
        <w:rPr>
          <w:lang w:val="en-GB"/>
        </w:rPr>
        <w:t xml:space="preserve"> like </w:t>
      </w:r>
      <w:r w:rsidRPr="00520FC7">
        <w:rPr>
          <w:lang w:val="en-GB"/>
        </w:rPr>
        <w:t xml:space="preserve">age, sex, </w:t>
      </w:r>
      <w:r>
        <w:rPr>
          <w:lang w:val="en-GB"/>
        </w:rPr>
        <w:t xml:space="preserve">or </w:t>
      </w:r>
      <w:r w:rsidRPr="00520FC7">
        <w:rPr>
          <w:lang w:val="en-GB"/>
        </w:rPr>
        <w:t>what they eat</w:t>
      </w:r>
      <w:r>
        <w:rPr>
          <w:lang w:val="en-GB"/>
        </w:rPr>
        <w:t>?</w:t>
      </w:r>
    </w:p>
    <w:p w14:paraId="02AF9ECC" w14:textId="77777777" w:rsidR="00936384" w:rsidRDefault="00936384" w:rsidP="00936384"/>
    <w:p w14:paraId="124BE8E8" w14:textId="77777777" w:rsidR="00645A2C" w:rsidRDefault="00645A2C" w:rsidP="00936384"/>
    <w:p w14:paraId="6EC0C730" w14:textId="08236C2C" w:rsidR="00A875DF" w:rsidRDefault="00A875DF" w:rsidP="00A875DF">
      <w:pPr>
        <w:pStyle w:val="Heading1"/>
      </w:pPr>
      <w:r>
        <w:t>Risk assessment</w:t>
      </w:r>
    </w:p>
    <w:p w14:paraId="6F1E04F3" w14:textId="0A73FE91" w:rsidR="00284178" w:rsidRDefault="00284178" w:rsidP="00A32295">
      <w:pPr>
        <w:jc w:val="both"/>
      </w:pPr>
      <w:r w:rsidRPr="00284178">
        <w:t>Risk resulting from exposure to pesticide residues in food, be it from acute exposure or chronic exposure, is calculated using a sophisticated computer software tool that combines food exposure data (both residue levels and %CT, and consumption) with toxicity to produce a risk value. The backbone of this model is USDA’s food consumption survey information. The model yields risk values for the general U.S. population and 26 population subgroups, including infants, children, and nursing women. It has the ability to determine which crop/pesticide combinations contribute the highest exposures and in turn, risks.</w:t>
      </w:r>
      <w:r w:rsidR="00C243B4" w:rsidRPr="00C243B4">
        <w:t xml:space="preserve"> Probabilistic Analysis. The use of a statistical technique (e.g., Monte Carlo) to quantify both the range of exposures to pesticide residues and the probability or chance of exposure to any particular level.</w:t>
      </w:r>
      <w:r w:rsidR="00DA63C6" w:rsidRPr="00DA63C6">
        <w:t xml:space="preserve"> Provided below are the basic equations that are used to estimate risk resulting from exposure to pesticide residues in food for noncancer endpoints. EPA assumes that noncancer toxicity endpoints exhibit a nonlinear response. Chronic food risk is expressed as a percentage of the </w:t>
      </w:r>
      <w:proofErr w:type="spellStart"/>
      <w:r w:rsidR="00DA63C6" w:rsidRPr="00DA63C6">
        <w:t>cPAD</w:t>
      </w:r>
      <w:proofErr w:type="spellEnd"/>
      <w:r w:rsidR="00DA63C6" w:rsidRPr="00DA63C6">
        <w:t xml:space="preserve">. If the calculated % </w:t>
      </w:r>
      <w:proofErr w:type="spellStart"/>
      <w:r w:rsidR="00DA63C6" w:rsidRPr="00DA63C6">
        <w:t>cPAD</w:t>
      </w:r>
      <w:proofErr w:type="spellEnd"/>
      <w:r w:rsidR="00DA63C6" w:rsidRPr="00DA63C6">
        <w:t xml:space="preserve"> is less than </w:t>
      </w:r>
      <w:r w:rsidR="00DA63C6" w:rsidRPr="00DA63C6">
        <w:lastRenderedPageBreak/>
        <w:t>100, the risk is generally considered to be acceptable.</w:t>
      </w:r>
      <w:r w:rsidR="002F3A81" w:rsidRPr="002F3A81">
        <w:t xml:space="preserve"> Linear cancer risk is expressed as a probability. For example, a calculated risk of 1x10-6 means that a person receiving a lifetime exposure to the pesticide increases his or her chance of developing cancer by one in a million. That is, for every one million exposed persons, one would expect, at the most (upper-boundary) one more cancer than would otherwise occur, and it may be less. This probability is calculated using the relationship:</w:t>
      </w:r>
    </w:p>
    <w:p w14:paraId="51B703F0" w14:textId="3DFB5CA5" w:rsidR="00551146" w:rsidRDefault="00551146" w:rsidP="00A32295">
      <w:pPr>
        <w:jc w:val="both"/>
      </w:pPr>
      <w:r w:rsidRPr="00551146">
        <w:t>To conduct either acute, chronic, and/or cancer risk analyses using DEEM-FCID software, the user must provide three types of information: (1) the pesticide’s toxicological data that are directly relevant to both the length of time or duration of interest and the evaluation of the significance of estimates of exposure by the oral route. These data should include a toxicology endpoint based on chronic (long-term) exposure such as the cancer potency factor (Q1*), the No Observed Effect Level (NOEL) or No Observed Adverse Effect Level (NOAEL), Reference Dose (</w:t>
      </w:r>
      <w:proofErr w:type="spellStart"/>
      <w:r w:rsidRPr="00551146">
        <w:t>RfD</w:t>
      </w:r>
      <w:proofErr w:type="spellEnd"/>
      <w:r w:rsidRPr="00551146">
        <w:t>), Population Adjusted Dose (PAD), or Margin of Exposure (MOE); (2) the residue concentrations in the foods and/or food forms which can be a theoretical level (such as the tolerance or MRL (maximum residue limit)) or a level of residue anticipated to be present in the food of interest; and (3) any adjustment factors directly relevant to potential constituent levels in the diet to more accurately reflect likely exposures (e.g., processing factors or estimates of percent of the crop treated).</w:t>
      </w:r>
      <w:r w:rsidR="00A32295">
        <w:t xml:space="preserve"> We treated Drinking Water (DW) in a similar manner as dietary exposures from food commodities.</w:t>
      </w:r>
      <w:r w:rsidR="00532377" w:rsidRPr="00532377">
        <w:t xml:space="preserve"> In WWEIA-FCID, Total Drinking Water (DW) consumption consists of Direct Water, “plain water from tap or bottled water”, and Indirect Water “water added by respondent for coffee, tea, soups, </w:t>
      </w:r>
      <w:proofErr w:type="spellStart"/>
      <w:r w:rsidR="00532377" w:rsidRPr="00532377">
        <w:t>etc</w:t>
      </w:r>
      <w:proofErr w:type="spellEnd"/>
      <w:r w:rsidR="00532377" w:rsidRPr="00532377">
        <w:t>”.</w:t>
      </w:r>
    </w:p>
    <w:p w14:paraId="40A3900E" w14:textId="623A28D8" w:rsidR="00551146" w:rsidRDefault="00FE7666" w:rsidP="008B483B">
      <w:pPr>
        <w:jc w:val="both"/>
      </w:pPr>
      <w:r>
        <w:t xml:space="preserve">US EPA. </w:t>
      </w:r>
      <w:r w:rsidRPr="00FE7666">
        <w:t>Risk Assessment Guidance for Superfund: Volume III - Part A, Process for Conducting Probabilistic Risk Assessment</w:t>
      </w:r>
      <w:r w:rsidR="00D81B07">
        <w:t xml:space="preserve">. </w:t>
      </w:r>
      <w:hyperlink r:id="rId6" w:history="1">
        <w:r w:rsidR="00D81B07" w:rsidRPr="00FE6FB6">
          <w:rPr>
            <w:rStyle w:val="Hyperlink"/>
          </w:rPr>
          <w:t>https://www.epa.gov/sites/default/files/2015-09/documents/rags3adt_complete.pdf</w:t>
        </w:r>
      </w:hyperlink>
    </w:p>
    <w:p w14:paraId="3599B1B8" w14:textId="77777777" w:rsidR="00D81B07" w:rsidRDefault="00D81B07" w:rsidP="008B483B">
      <w:pPr>
        <w:jc w:val="both"/>
      </w:pPr>
    </w:p>
    <w:p w14:paraId="271CB0DF" w14:textId="751EFB82" w:rsidR="00610433" w:rsidRDefault="00361A30" w:rsidP="008B483B">
      <w:pPr>
        <w:jc w:val="both"/>
      </w:pPr>
      <w:r w:rsidRPr="00361A30">
        <w:t>Estimates of intakes of food chemicals are performed differently depending on the regulatory status of the compound in question.</w:t>
      </w:r>
      <w:r w:rsidR="00610433" w:rsidRPr="00610433">
        <w:t xml:space="preserve"> The simulated results for many current-use pesticides showed that the ingestion of crops had pesticide AFs close to 1.0, which indicated that the crop exposure pathway contributed to a significant portion of the total exposure to pesticides. </w:t>
      </w:r>
      <w:r w:rsidR="00610433" w:rsidRPr="00610433">
        <w:rPr>
          <w:color w:val="EE0000"/>
        </w:rPr>
        <w:t>Quantifying exposure source allocation factors of pesticides in support of regulatory human health risk assessment</w:t>
      </w:r>
    </w:p>
    <w:p w14:paraId="160F2613" w14:textId="5132521F" w:rsidR="008769E0" w:rsidRDefault="008769E0" w:rsidP="008B483B">
      <w:pPr>
        <w:jc w:val="both"/>
      </w:pPr>
      <w:r w:rsidRPr="009F3BE2">
        <w:t>Pesticide residues in fruits and vegetables are among the primary sources of pesticide exposure through diet</w:t>
      </w:r>
      <w:r>
        <w:t xml:space="preserve">. </w:t>
      </w:r>
      <w:r w:rsidRPr="008769E0">
        <w:t xml:space="preserve">To determine whether food is safe to eat, OPP must assess the potential risks from pesticide residues in food. The size of the potential risks depends on the toxicity of the pesticide (how much harm, if any, is caused by specific amounts of the pesticide) and the magnitude of the exposure to the pesticide. Exposure to a pesticide in the food supply depends, in turn, on two factors: the amount of the pesticide </w:t>
      </w:r>
      <w:proofErr w:type="gramStart"/>
      <w:r w:rsidRPr="008769E0">
        <w:t>present</w:t>
      </w:r>
      <w:proofErr w:type="gramEnd"/>
      <w:r w:rsidRPr="008769E0">
        <w:t xml:space="preserve"> in food and how much food a person eats. It is impossible to know precisely how much food every individual in the country consumes, either over a lifetime or even on a single day. Similarly, it is impossible to know how much residue each specific item of food contains. Thus, the Agency must use available and reliable, representative data to develop estimates of such exposure. </w:t>
      </w:r>
      <w:r w:rsidR="00C00A87" w:rsidRPr="00C00A87">
        <w:t>In evaluating the potential risks from pesticides in the diet, OPP assesses both chronic (long term) exposure and acute (short term) exposure. For chronic exposure, OPP estimates the average amount of pesticide residue a person might consume over extended periods, potentially ranging from several months to a lifetime. For acute exposure, OPP is instead interested in the amount that might be ingested on a single day. In chronic exposure assessment, the risk assessor is attempting to estimate a person’s average dietary exposure over the long-term (e.g., several months to a lifetime)</w:t>
      </w:r>
      <w:r w:rsidR="00630C60">
        <w:t xml:space="preserve">. </w:t>
      </w:r>
      <w:r w:rsidR="00A875DF" w:rsidRPr="00A875DF">
        <w:t xml:space="preserve">To evaluate acute dietary exposure, a probabilistic exposure modeling </w:t>
      </w:r>
      <w:r w:rsidR="00507358">
        <w:t xml:space="preserve">using MC </w:t>
      </w:r>
      <w:r w:rsidR="00A875DF" w:rsidRPr="00A875DF">
        <w:t>technique</w:t>
      </w:r>
      <w:r w:rsidR="00507358">
        <w:t xml:space="preserve"> was used.</w:t>
      </w:r>
      <w:r w:rsidR="00A875DF" w:rsidRPr="00A875DF">
        <w:t xml:space="preserve"> This probabilistic assessment technique estimates the different levels of exposure </w:t>
      </w:r>
      <w:r w:rsidR="00A875DF" w:rsidRPr="00A875DF">
        <w:lastRenderedPageBreak/>
        <w:t xml:space="preserve">people experience as the result of differences in the types and </w:t>
      </w:r>
      <w:proofErr w:type="gramStart"/>
      <w:r w:rsidR="00A875DF" w:rsidRPr="00A875DF">
        <w:t>amount</w:t>
      </w:r>
      <w:proofErr w:type="gramEnd"/>
      <w:r w:rsidR="00A875DF" w:rsidRPr="00A875DF">
        <w:t xml:space="preserve"> of foods they eat, as well as variations in the level of pesticide residue that may be present, among other factors.</w:t>
      </w:r>
      <w:r w:rsidR="001316E0" w:rsidRPr="001316E0">
        <w:t xml:space="preserve"> Estimates of exposure through drinking water are subsequently combined with these estimates of exposure through food to calculate combined dietary exposure through food and water.</w:t>
      </w:r>
    </w:p>
    <w:p w14:paraId="581180F3" w14:textId="7B3AA2C9" w:rsidR="00E561BD" w:rsidRDefault="00E561BD" w:rsidP="008B483B">
      <w:pPr>
        <w:jc w:val="both"/>
      </w:pPr>
      <w:r w:rsidRPr="00E561BD">
        <w:t>In the case of chemicals in foods this is based on three major aspects: (</w:t>
      </w:r>
      <w:proofErr w:type="spellStart"/>
      <w:r w:rsidRPr="00E561BD">
        <w:t>i</w:t>
      </w:r>
      <w:proofErr w:type="spellEnd"/>
      <w:r w:rsidRPr="00E561BD">
        <w:t>) how to determine quantitatively the presence of a chemical in individual foods and diets, including its fate during the processes within the food production chain; (ii) how to determine the consumption patterns of the individual foods containing the relevant chemicals; (iii) how to integrate both the likelihood of consumers eating large amounts of the given foods and of the relevant chemical being present in these foods at high levels.</w:t>
      </w:r>
    </w:p>
    <w:p w14:paraId="6282B95A" w14:textId="2157B209" w:rsidR="00630C60" w:rsidRDefault="00630C60" w:rsidP="008B483B">
      <w:pPr>
        <w:jc w:val="both"/>
      </w:pPr>
      <w:r w:rsidRPr="00630C60">
        <w:t>The dietary food exposure part of the function is derived from two distinct pieces of information: the amount of pesticide residue that is present in and on food (i.e., the residue level) and the types and amounts of food in a person’s diet (i.e., food consumption). The residue information comes mainly from the crop field trials submitted by pesticide manufacturers and USDA or from monitoring data collected by the USDA and FDA (see Section I.C.</w:t>
      </w:r>
      <w:proofErr w:type="gramStart"/>
      <w:r w:rsidRPr="00630C60">
        <w:t>3.(</w:t>
      </w:r>
      <w:proofErr w:type="gramEnd"/>
      <w:r w:rsidRPr="00630C60">
        <w:t>b)). Consumption information comes primarily from USDA surveys of what people eat (see Section I.C.</w:t>
      </w:r>
      <w:proofErr w:type="gramStart"/>
      <w:r w:rsidRPr="00630C60">
        <w:t>3.(</w:t>
      </w:r>
      <w:proofErr w:type="gramEnd"/>
      <w:r w:rsidRPr="00630C60">
        <w:t>a)).</w:t>
      </w:r>
    </w:p>
    <w:p w14:paraId="311374EC" w14:textId="1D57D4EA" w:rsidR="00571633" w:rsidRDefault="00FE7779" w:rsidP="009520A4">
      <w:pPr>
        <w:jc w:val="both"/>
        <w:rPr>
          <w:lang w:val="en-GB"/>
        </w:rPr>
      </w:pPr>
      <w:r w:rsidRPr="00FE7779">
        <w:t>The variability factor (</w:t>
      </w:r>
      <w:r w:rsidRPr="00FE7779">
        <w:rPr>
          <w:i/>
          <w:iCs/>
        </w:rPr>
        <w:t>v</w:t>
      </w:r>
      <w:r w:rsidRPr="00FE7779">
        <w:t xml:space="preserve">) is an essential parameter for risk assessment of pesticide residues to reflect differences in pesticides in the food. However, how to assign a proper value is still debatable. </w:t>
      </w:r>
      <w:r w:rsidR="008B483B" w:rsidRPr="008B483B">
        <w:rPr>
          <w:lang w:val="en-GB"/>
        </w:rPr>
        <w:t>WHO, W.H.O., 2011. Principles and methods for the risk assessment of chemicals in food.</w:t>
      </w:r>
      <w:r w:rsidR="008B483B">
        <w:rPr>
          <w:lang w:val="en-GB"/>
        </w:rPr>
        <w:t xml:space="preserve"> </w:t>
      </w:r>
      <w:r w:rsidR="008B483B" w:rsidRPr="008B483B">
        <w:rPr>
          <w:lang w:val="en-GB"/>
        </w:rPr>
        <w:t xml:space="preserve">Int. J. Environ. Stud. 68, 251–252. </w:t>
      </w:r>
      <w:hyperlink r:id="rId7" w:history="1">
        <w:r w:rsidR="00571633" w:rsidRPr="006A49D7">
          <w:rPr>
            <w:rStyle w:val="Hyperlink"/>
            <w:lang w:val="en-GB"/>
          </w:rPr>
          <w:t>https://doi.org/10.1080/00207233.2010.549617</w:t>
        </w:r>
      </w:hyperlink>
      <w:r w:rsidR="008B483B" w:rsidRPr="008B483B">
        <w:rPr>
          <w:lang w:val="en-GB"/>
        </w:rPr>
        <w:t>.</w:t>
      </w:r>
      <w:r w:rsidR="008769E0">
        <w:rPr>
          <w:lang w:val="en-GB"/>
        </w:rPr>
        <w:t xml:space="preserve"> </w:t>
      </w:r>
      <w:r w:rsidR="009520A4" w:rsidRPr="009520A4">
        <w:rPr>
          <w:lang w:val="en-GB"/>
        </w:rPr>
        <w:t>USEPA, 2018. US environmental protection agency office of pesticide programs chemicals</w:t>
      </w:r>
      <w:r w:rsidR="009520A4">
        <w:rPr>
          <w:lang w:val="en-GB"/>
        </w:rPr>
        <w:t xml:space="preserve"> </w:t>
      </w:r>
      <w:r w:rsidR="009520A4" w:rsidRPr="009520A4">
        <w:rPr>
          <w:lang w:val="en-GB"/>
        </w:rPr>
        <w:t>evaluated for carcinogenic potential - annual cancer report 2017. Environ. Prot.</w:t>
      </w:r>
      <w:r w:rsidR="009520A4">
        <w:rPr>
          <w:lang w:val="en-GB"/>
        </w:rPr>
        <w:t xml:space="preserve"> </w:t>
      </w:r>
      <w:r w:rsidR="009520A4" w:rsidRPr="009520A4">
        <w:rPr>
          <w:lang w:val="en-GB"/>
        </w:rPr>
        <w:t>Agency 1–40</w:t>
      </w:r>
    </w:p>
    <w:p w14:paraId="232FEA82" w14:textId="3DEAE173" w:rsidR="00395F8D" w:rsidRDefault="00395F8D" w:rsidP="009520A4">
      <w:pPr>
        <w:jc w:val="both"/>
        <w:rPr>
          <w:lang w:val="en-GB"/>
        </w:rPr>
      </w:pPr>
      <w:r w:rsidRPr="00395F8D">
        <w:rPr>
          <w:lang w:val="en-GB"/>
        </w:rPr>
        <w:t>The assessment of human exposure to chemicals present in the diet is a rapidly developing discipline.</w:t>
      </w:r>
      <w:r w:rsidRPr="00395F8D">
        <w:t xml:space="preserve"> </w:t>
      </w:r>
      <w:r w:rsidRPr="00395F8D">
        <w:rPr>
          <w:lang w:val="en-GB"/>
        </w:rPr>
        <w:t>Specific problems emerge if global intake assessments are requested; lack of representative regional data for consumption patterns and insufficient knowledge about levels of chemicals occurring in foods in many countries bear the risk that exposure assessments do not provide risk managers with a true global picture. There is a need to improve the collection and dissemination of such data.</w:t>
      </w:r>
      <w:r w:rsidR="00AE4BCE" w:rsidRPr="00AE4BCE">
        <w:t xml:space="preserve"> </w:t>
      </w:r>
      <w:r w:rsidR="00AE4BCE" w:rsidRPr="00AE4BCE">
        <w:rPr>
          <w:lang w:val="en-GB"/>
        </w:rPr>
        <w:t>It deals with issues related to the application of the risk analysis paradigm to food chemicals within the framework of the Codex Alimentarius</w:t>
      </w:r>
      <w:r w:rsidR="001C6461">
        <w:rPr>
          <w:lang w:val="en-GB"/>
        </w:rPr>
        <w:t xml:space="preserve"> (</w:t>
      </w:r>
      <w:hyperlink r:id="rId8" w:history="1">
        <w:r w:rsidR="001C6461" w:rsidRPr="000D26EF">
          <w:rPr>
            <w:rStyle w:val="Hyperlink"/>
            <w:lang w:val="en-GB"/>
          </w:rPr>
          <w:t>http://www.codexalimentarius.net/</w:t>
        </w:r>
      </w:hyperlink>
      <w:r w:rsidR="001C6461">
        <w:rPr>
          <w:lang w:val="en-GB"/>
        </w:rPr>
        <w:t>)</w:t>
      </w:r>
      <w:r w:rsidR="00AE4BCE" w:rsidRPr="00AE4BCE">
        <w:rPr>
          <w:lang w:val="en-GB"/>
        </w:rPr>
        <w:t>,</w:t>
      </w:r>
      <w:r w:rsidR="001C6461">
        <w:rPr>
          <w:lang w:val="en-GB"/>
        </w:rPr>
        <w:t xml:space="preserve"> </w:t>
      </w:r>
      <w:r w:rsidR="00AE4BCE" w:rsidRPr="00AE4BCE">
        <w:rPr>
          <w:lang w:val="en-GB"/>
        </w:rPr>
        <w:t>which is essentially a set of quantitative and qualitative food standards intended to be applied and implemented globally.</w:t>
      </w:r>
      <w:r w:rsidR="001C6461" w:rsidRPr="001C6461">
        <w:t xml:space="preserve"> </w:t>
      </w:r>
      <w:r w:rsidR="001C6461" w:rsidRPr="001C6461">
        <w:rPr>
          <w:lang w:val="en-GB"/>
        </w:rPr>
        <w:t xml:space="preserve">The basic question how much an individual or a population ingests of a certain food chemical is answered in a very simple way (Douglass and Tennant, 1997): intake from food=food chemical </w:t>
      </w:r>
      <w:proofErr w:type="spellStart"/>
      <w:r w:rsidR="001C6461" w:rsidRPr="001C6461">
        <w:rPr>
          <w:lang w:val="en-GB"/>
        </w:rPr>
        <w:t>concentration×food</w:t>
      </w:r>
      <w:proofErr w:type="spellEnd"/>
      <w:r w:rsidR="001C6461" w:rsidRPr="001C6461">
        <w:rPr>
          <w:lang w:val="en-GB"/>
        </w:rPr>
        <w:t xml:space="preserve"> consumption; total intake=sum of intake from all foods containing the compound. The answers to more specific questions for different classes of food chemicals like pesticides or food additives, however, are quite different, differences which are caused by the use patterns of the chemicals and by the human factor, i.e. by the different scientific and regulatory committees involved in the work.</w:t>
      </w:r>
      <w:r w:rsidR="003E2C74" w:rsidRPr="003E2C74">
        <w:t xml:space="preserve"> </w:t>
      </w:r>
      <w:r w:rsidR="003E2C74" w:rsidRPr="003E2C74">
        <w:rPr>
          <w:color w:val="EE0000"/>
        </w:rPr>
        <w:t>Harmonization of exposure assessment for food chemicals: the international perspective</w:t>
      </w:r>
    </w:p>
    <w:p w14:paraId="5848BECC" w14:textId="43FE1491" w:rsidR="00395F8D" w:rsidRDefault="00027ACA" w:rsidP="009520A4">
      <w:pPr>
        <w:jc w:val="both"/>
      </w:pPr>
      <w:r w:rsidRPr="00027ACA">
        <w:t>This TMDI is an overestimate of the true intake due to a variety of factors: not all lots of a specific crop are treated; levels will vary and will very often be significantly lower than MRL; processing of food items will affect the residue concentration; and consumers will not consume a specific item over lifetime always contaminated with this pesticide.</w:t>
      </w:r>
    </w:p>
    <w:p w14:paraId="68250362" w14:textId="47022A62" w:rsidR="00CF0E41" w:rsidRDefault="00CF0E41" w:rsidP="009520A4">
      <w:pPr>
        <w:jc w:val="both"/>
      </w:pPr>
      <w:r w:rsidRPr="00CF0E41">
        <w:lastRenderedPageBreak/>
        <w:t>The Indirect Dietary Residential Exposure Assessment Model (IDREAM) was developed to estimate acute and chronic indirect ingestion exposure that can result from use of disinfectants and sanitizers on kitchen surfaces in residential settings. It provides guidance for estimating these exposures where there may be inadvertent transfer of residue to edible items prepared on surfaces treated with these pesticides.</w:t>
      </w:r>
    </w:p>
    <w:p w14:paraId="62A91EF7" w14:textId="77777777" w:rsidR="00CF0E41" w:rsidRDefault="00CF0E41" w:rsidP="009520A4">
      <w:pPr>
        <w:jc w:val="both"/>
      </w:pPr>
    </w:p>
    <w:p w14:paraId="0573C39E" w14:textId="20E2D6B1" w:rsidR="00027ACA" w:rsidRDefault="00C00D24" w:rsidP="00C00D24">
      <w:pPr>
        <w:pStyle w:val="Heading1"/>
      </w:pPr>
      <w:r>
        <w:t>Meta-analysis</w:t>
      </w:r>
    </w:p>
    <w:p w14:paraId="276922E7" w14:textId="70AA79CA" w:rsidR="00E670CD" w:rsidRDefault="00472C66" w:rsidP="006408EF">
      <w:pPr>
        <w:jc w:val="both"/>
      </w:pPr>
      <w:r w:rsidRPr="00472C66">
        <w:t xml:space="preserve">Environmental monitoring data can be highly heterogeneous due to differences in study designs, measurement methods, and environmental conditions. Multilevel models can incorporate study-specific and location-specific explanatory variables to account for this heterogeneity. </w:t>
      </w:r>
      <w:r w:rsidR="00494EEF" w:rsidRPr="00494EEF">
        <w:t xml:space="preserve">Environmental monitoring data often exhibits a hierarchical structure. For example, multiple measurements of pollutant concentrations might be taken at different locations within the same study area, and these studies themselves are conducted in different regions or time periods. </w:t>
      </w:r>
      <w:r w:rsidR="00E670CD" w:rsidRPr="00E670CD">
        <w:t xml:space="preserve">An important challenge in carrying out any quantitative summary is often related to the fact that factors such as study protocols, measurement conditions, and site characteristics may vary from one study to another. </w:t>
      </w:r>
      <w:r w:rsidR="002A6CC7" w:rsidRPr="002A6CC7">
        <w:t>We employed a multilevel model since some studies are a collection of more than one study campaigns, reporting two or multiple estimates of traffic contribution obtained from different locations. The multilevel model ensures that within-study dependencies are accounted for.</w:t>
      </w:r>
    </w:p>
    <w:p w14:paraId="01DC9AFD" w14:textId="7F2B5301" w:rsidR="005B73D1" w:rsidRDefault="005B73D1" w:rsidP="006408EF">
      <w:pPr>
        <w:jc w:val="both"/>
      </w:pPr>
      <w:r w:rsidRPr="005B73D1">
        <w:t>At the same time, modeling environmental pollution data is a complex issue, due to several reasons, some intrinsic to the types of data under study, some specific to the data collection process implemented in different countries. First, pollutant concentration levels are measured by sensors which have generally detection and quantification limits: the corresponding data are then left-censored. Second, the data is usually skewed to the right, with long tails hinting high concentrations. Third, in numerous situations the data is irregularly sampled because of measurement practices, and is often multivariate, since various pollutant levels are monitored. Fourth, pollution is monitored in various locations, each location possibly using different sensors, yielding a significant spatial heterogeneity.</w:t>
      </w:r>
      <w:r w:rsidR="00ED1810" w:rsidRPr="00ED1810">
        <w:t xml:space="preserve"> </w:t>
      </w:r>
      <w:r w:rsidR="00ED1810" w:rsidRPr="00ED1810">
        <w:rPr>
          <w:color w:val="EE0000"/>
        </w:rPr>
        <w:t xml:space="preserve">Pesticide concentration monitoring: Investigating </w:t>
      </w:r>
      <w:proofErr w:type="spellStart"/>
      <w:r w:rsidR="00ED1810" w:rsidRPr="00ED1810">
        <w:rPr>
          <w:color w:val="EE0000"/>
        </w:rPr>
        <w:t>spatio</w:t>
      </w:r>
      <w:proofErr w:type="spellEnd"/>
      <w:r w:rsidR="00ED1810" w:rsidRPr="00ED1810">
        <w:rPr>
          <w:color w:val="EE0000"/>
        </w:rPr>
        <w:t>-temporal patterns in left censored data</w:t>
      </w:r>
    </w:p>
    <w:p w14:paraId="305FE496" w14:textId="692ABB87" w:rsidR="006408EF" w:rsidRPr="006408EF" w:rsidRDefault="00494EEF" w:rsidP="006408EF">
      <w:pPr>
        <w:jc w:val="both"/>
      </w:pPr>
      <w:r w:rsidRPr="00494EEF">
        <w:t>By combining data from multiple studies and accounting for the hierarchical structure, multilevel meta-analysis can provide more precise and powerful estimates of overall effects than traditional meta-analysis.</w:t>
      </w:r>
      <w:r w:rsidR="003F5267" w:rsidRPr="003F5267">
        <w:t xml:space="preserve"> This multilevel structure of the data may introduce dependencies between measurements reported by the same authors; for example, due to similarities in adopted estimation methods or investigation techniques. Such dependencies should be accounted for to ensure the reliability of the estimates.</w:t>
      </w:r>
      <w:r w:rsidR="00B64F98">
        <w:t xml:space="preserve"> </w:t>
      </w:r>
      <w:r w:rsidR="006408EF" w:rsidRPr="006408EF">
        <w:rPr>
          <w:lang w:val="en-GB"/>
        </w:rPr>
        <w:t>Imagine a meta-analysis of studies measuring particulate matter (PM) concentrations in different cities. A traditional meta-analysis might simply combine the average PM concentrations from each study. However, a multilevel meta-analysis could: </w:t>
      </w:r>
      <w:r w:rsidR="006408EF" w:rsidRPr="006408EF">
        <w:rPr>
          <w:b/>
          <w:bCs/>
          <w:lang w:val="en-GB"/>
        </w:rPr>
        <w:t>Model variability at the city level</w:t>
      </w:r>
      <w:r w:rsidR="006408EF">
        <w:rPr>
          <w:b/>
          <w:bCs/>
          <w:lang w:val="en-GB"/>
        </w:rPr>
        <w:t xml:space="preserve"> (</w:t>
      </w:r>
      <w:r w:rsidR="006408EF" w:rsidRPr="006408EF">
        <w:rPr>
          <w:lang w:val="en-GB"/>
        </w:rPr>
        <w:t>Account for differences in PM concentrations between cities within the same study</w:t>
      </w:r>
      <w:r w:rsidR="006408EF">
        <w:rPr>
          <w:lang w:val="en-GB"/>
        </w:rPr>
        <w:t>)</w:t>
      </w:r>
      <w:r w:rsidR="006408EF" w:rsidRPr="006408EF">
        <w:rPr>
          <w:lang w:val="en-GB"/>
        </w:rPr>
        <w:t>.</w:t>
      </w:r>
      <w:r w:rsidR="006408EF">
        <w:rPr>
          <w:lang w:val="en-GB"/>
        </w:rPr>
        <w:t xml:space="preserve"> </w:t>
      </w:r>
      <w:r w:rsidR="006408EF" w:rsidRPr="006408EF">
        <w:rPr>
          <w:b/>
          <w:bCs/>
          <w:lang w:val="en-GB"/>
        </w:rPr>
        <w:t>Model variability at the study level</w:t>
      </w:r>
      <w:r w:rsidR="006408EF">
        <w:rPr>
          <w:b/>
          <w:bCs/>
          <w:lang w:val="en-GB"/>
        </w:rPr>
        <w:t xml:space="preserve"> (</w:t>
      </w:r>
      <w:r w:rsidR="006408EF" w:rsidRPr="006408EF">
        <w:rPr>
          <w:lang w:val="en-GB"/>
        </w:rPr>
        <w:t>Account for differences in PM concentrations between different studies (e.g., due to different measurement techniques or time periods)</w:t>
      </w:r>
      <w:r w:rsidR="002E45E1">
        <w:rPr>
          <w:lang w:val="en-GB"/>
        </w:rPr>
        <w:t>)</w:t>
      </w:r>
      <w:r w:rsidR="006408EF" w:rsidRPr="006408EF">
        <w:rPr>
          <w:lang w:val="en-GB"/>
        </w:rPr>
        <w:t>.</w:t>
      </w:r>
      <w:r w:rsidR="002E45E1">
        <w:rPr>
          <w:lang w:val="en-GB"/>
        </w:rPr>
        <w:t xml:space="preserve"> </w:t>
      </w:r>
      <w:r w:rsidR="006408EF" w:rsidRPr="006408EF">
        <w:rPr>
          <w:b/>
          <w:bCs/>
          <w:lang w:val="en-GB"/>
        </w:rPr>
        <w:t>Incorporate study-level covariates</w:t>
      </w:r>
      <w:r w:rsidR="002E45E1">
        <w:rPr>
          <w:b/>
          <w:bCs/>
          <w:lang w:val="en-GB"/>
        </w:rPr>
        <w:t xml:space="preserve"> (</w:t>
      </w:r>
      <w:r w:rsidR="006408EF" w:rsidRPr="006408EF">
        <w:rPr>
          <w:lang w:val="en-GB"/>
        </w:rPr>
        <w:t>Explore whether factors like population density, industrial activity, or geographic location explain some of the variability in PM concentrations between studies</w:t>
      </w:r>
      <w:r w:rsidR="002E45E1">
        <w:rPr>
          <w:lang w:val="en-GB"/>
        </w:rPr>
        <w:t>)</w:t>
      </w:r>
      <w:r w:rsidR="006408EF" w:rsidRPr="006408EF">
        <w:rPr>
          <w:lang w:val="en-GB"/>
        </w:rPr>
        <w:t>.</w:t>
      </w:r>
      <w:r w:rsidR="002E45E1">
        <w:rPr>
          <w:lang w:val="en-GB"/>
        </w:rPr>
        <w:t xml:space="preserve"> </w:t>
      </w:r>
      <w:r w:rsidR="006408EF" w:rsidRPr="006408EF">
        <w:rPr>
          <w:b/>
          <w:bCs/>
          <w:lang w:val="en-GB"/>
        </w:rPr>
        <w:t>Provide a more accurate estimate of the overall effect of traffic on PM concentrations</w:t>
      </w:r>
      <w:r w:rsidR="006408EF" w:rsidRPr="006408EF">
        <w:rPr>
          <w:lang w:val="en-GB"/>
        </w:rPr>
        <w:t>,</w:t>
      </w:r>
      <w:r w:rsidR="002E45E1">
        <w:rPr>
          <w:lang w:val="en-GB"/>
        </w:rPr>
        <w:t xml:space="preserve"> </w:t>
      </w:r>
      <w:r w:rsidR="006408EF" w:rsidRPr="006408EF">
        <w:rPr>
          <w:lang w:val="en-GB"/>
        </w:rPr>
        <w:t>while also quantifying the extent to which traffic contribution varies across cities and studies.</w:t>
      </w:r>
    </w:p>
    <w:p w14:paraId="057C2FC6" w14:textId="77777777" w:rsidR="006408EF" w:rsidRDefault="006408EF" w:rsidP="00C00D24">
      <w:pPr>
        <w:jc w:val="both"/>
      </w:pPr>
    </w:p>
    <w:p w14:paraId="7675B170" w14:textId="339B4CB0" w:rsidR="0052180B" w:rsidRDefault="00C00D24" w:rsidP="00C00D24">
      <w:pPr>
        <w:jc w:val="both"/>
      </w:pPr>
      <w:r w:rsidRPr="00150CDD">
        <w:lastRenderedPageBreak/>
        <w:t>Meta-analytic modelling plays a pivotal role in synthesizing research and informing relevant policies. Yet researchers face many analytical challenges.</w:t>
      </w:r>
      <w:r w:rsidRPr="00DB2166">
        <w:t xml:space="preserve"> Another common issue is failure to deal with statistical dependence between effect sizes, resulting in invalid inferences on evidence. </w:t>
      </w:r>
      <w:r w:rsidR="0052180B" w:rsidRPr="0052180B">
        <w:t>However, a meta-analysis often includes studies reporting multiple effect sizes, and thus each effect size does not contribute unique information (a scenario also known as effect size dependence or multiplicity). Indeed, a survey of meta-analyses in environmental sciences revealed that 100% of them involved multiple effect sizes per study (Nakagawa et al., 2023). Consequently, the assumption of statistical independence is violated by ‘conventional’ FE and RE models, resulting in underestimated uncertainty, artefactually narrow confidence intervals, inflated p values, and incorrect inferences regarding general patterns of an effect of interest</w:t>
      </w:r>
      <w:r w:rsidR="00020781">
        <w:t>.</w:t>
      </w:r>
      <w:r w:rsidR="001D42CB" w:rsidRPr="001D42CB">
        <w:t xml:space="preserve"> More sophisticated techniques, such as multilevel and multivariate modelling and robust variance estimation, directly account for the statistical dependence of multiple effect size estimates from a single study but also offer additional insights</w:t>
      </w:r>
      <w:r w:rsidR="00E45038">
        <w:t>.</w:t>
      </w:r>
    </w:p>
    <w:p w14:paraId="3B05F18F" w14:textId="19B9581B" w:rsidR="00C00D24" w:rsidRDefault="00C00D24" w:rsidP="00C00D24">
      <w:pPr>
        <w:jc w:val="both"/>
      </w:pPr>
      <w:r w:rsidRPr="00DB2166">
        <w:t xml:space="preserve">Using 75 meta-analyses, including 3,887 environmental/biological primary studies (~20,000 effect sizes), we show a high false positive rate (40%) in conventional meta-analytic practices (random-effects model) compared to the proposed bivariate multilevel meta-analysis of </w:t>
      </w:r>
      <w:proofErr w:type="spellStart"/>
      <w:r w:rsidRPr="00DB2166">
        <w:t>lnRR</w:t>
      </w:r>
      <w:proofErr w:type="spellEnd"/>
      <w:r w:rsidRPr="00DB2166">
        <w:t xml:space="preserve"> and SMD along with robust variance estimation. Relying solely on either </w:t>
      </w:r>
      <w:proofErr w:type="spellStart"/>
      <w:r w:rsidRPr="00DB2166">
        <w:t>lnRR</w:t>
      </w:r>
      <w:proofErr w:type="spellEnd"/>
      <w:r w:rsidRPr="00DB2166">
        <w:t xml:space="preserve"> or SMD results in non-trivial discrepancies in detecting statistically significant effects (18%) and occasional inconsistencies in sign (9%). Discrepancies in interpreting effect size, heterogeneity, and publication bias are prevalent between models using </w:t>
      </w:r>
      <w:proofErr w:type="spellStart"/>
      <w:r w:rsidRPr="00DB2166">
        <w:t>lnRR</w:t>
      </w:r>
      <w:proofErr w:type="spellEnd"/>
      <w:r w:rsidRPr="00DB2166">
        <w:t xml:space="preserve"> and SMD (e.g., 52% for publication bias). In contrast, bivariate synthesis of </w:t>
      </w:r>
      <w:proofErr w:type="spellStart"/>
      <w:r w:rsidRPr="00DB2166">
        <w:t>lnRR</w:t>
      </w:r>
      <w:proofErr w:type="spellEnd"/>
      <w:r w:rsidRPr="00DB2166">
        <w:t xml:space="preserve"> and SMD yields substantial information gain, reducing standard error in effect size estimates by 29%, equivalent to adding 40 additional effect sizes.</w:t>
      </w:r>
      <w:r w:rsidR="00922A57" w:rsidRPr="00922A57">
        <w:t xml:space="preserve"> </w:t>
      </w:r>
      <w:r w:rsidR="00922A57" w:rsidRPr="001243E4">
        <w:rPr>
          <w:color w:val="EE0000"/>
        </w:rPr>
        <w:t>Bivariate multilevel meta-analysis of log response ratio and standardized mean difference for robust and reproducible environmental and biological sciences</w:t>
      </w:r>
    </w:p>
    <w:p w14:paraId="6B27DD8E" w14:textId="30BF1BDF" w:rsidR="00922A57" w:rsidRDefault="00251DD6" w:rsidP="001F6344">
      <w:pPr>
        <w:jc w:val="both"/>
      </w:pPr>
      <w:r w:rsidRPr="00251DD6">
        <w:t xml:space="preserve">We then created different categorical variables based on the year of publication and tested these in our model. A categorical variable based on 2005, created indicating whether the publication date was after 2005, was found to be relevant in explaining traffic contribution estimates reported in the previous research; and therefore, this was included in the final model. Similarly, population was </w:t>
      </w:r>
      <w:proofErr w:type="spellStart"/>
      <w:r w:rsidRPr="00251DD6">
        <w:t>dichotomised</w:t>
      </w:r>
      <w:proofErr w:type="spellEnd"/>
      <w:r w:rsidRPr="00251DD6">
        <w:t>: less or more than 500,000 inhabitants. A categorical variable was created indicating whether traffic contribution estimates were obtained based on source contribution analyses of PM10 or PM2.5. Also, we created a categorical variable to examine whether the source apportionment method of each study affected reported estimates. Lastly, we created two groups of regions: predominantly developed countries</w:t>
      </w:r>
      <w:r w:rsidR="001F6344">
        <w:cr/>
      </w:r>
    </w:p>
    <w:p w14:paraId="43DAC6B5" w14:textId="77777777" w:rsidR="00C00D24" w:rsidRDefault="00C00D24" w:rsidP="009520A4">
      <w:pPr>
        <w:jc w:val="both"/>
      </w:pPr>
    </w:p>
    <w:p w14:paraId="1B0B9C44" w14:textId="77777777" w:rsidR="00027ACA" w:rsidRPr="00395F8D" w:rsidRDefault="00027ACA" w:rsidP="009520A4">
      <w:pPr>
        <w:jc w:val="both"/>
      </w:pPr>
    </w:p>
    <w:p w14:paraId="22F62D06" w14:textId="77777777" w:rsidR="00703989" w:rsidRPr="00FC4A09" w:rsidRDefault="00703989" w:rsidP="00703989">
      <w:pPr>
        <w:pStyle w:val="Heading1"/>
      </w:pPr>
      <w:r w:rsidRPr="00FC4A09">
        <w:t xml:space="preserve">Discussion </w:t>
      </w:r>
    </w:p>
    <w:p w14:paraId="0CB08DBB" w14:textId="77777777" w:rsidR="00157D06" w:rsidRPr="002B4BC3" w:rsidRDefault="00157D06" w:rsidP="00157D06">
      <w:pPr>
        <w:spacing w:line="240" w:lineRule="auto"/>
        <w:jc w:val="both"/>
        <w:rPr>
          <w:rFonts w:cstheme="minorHAnsi"/>
          <w:lang w:val="en-GB"/>
        </w:rPr>
      </w:pPr>
      <w:r w:rsidRPr="002B4BC3">
        <w:rPr>
          <w:rFonts w:cstheme="minorHAnsi"/>
          <w:lang w:val="en-GB"/>
        </w:rPr>
        <w:t>Results showed no significant change in exposure between reference periods (2014–2018), though uncertainty increased for certain pesticide–commodity combinations, highlighting the importance of sampling protocols and cumulative assessment methods</w:t>
      </w:r>
      <w:r w:rsidRPr="002B4BC3">
        <w:rPr>
          <w:rFonts w:cstheme="minorHAnsi"/>
        </w:rPr>
        <w:t xml:space="preserve">. </w:t>
      </w:r>
      <w:r w:rsidRPr="002B4BC3">
        <w:rPr>
          <w:rFonts w:cstheme="minorHAnsi"/>
          <w:lang w:val="en-GB"/>
        </w:rPr>
        <w:t>Strategies are therefore recommended to reduce the sampling uncertainty and to anticipate potential problems before initiating a cumulative risk assessment. (</w:t>
      </w:r>
      <w:hyperlink r:id="rId9" w:tooltip="Comparison of cumulative dietary exposure to pesticide residues for the reference periods 2014–2016 and 2016–2018 | EFSA" w:history="1">
        <w:r w:rsidRPr="002B4BC3">
          <w:rPr>
            <w:rStyle w:val="Hyperlink"/>
            <w:rFonts w:cstheme="minorHAnsi"/>
            <w:lang w:val="en-GB"/>
          </w:rPr>
          <w:t>efsa.europa.eu</w:t>
        </w:r>
      </w:hyperlink>
      <w:r w:rsidRPr="002B4BC3">
        <w:rPr>
          <w:rFonts w:cstheme="minorHAnsi"/>
          <w:lang w:val="en-GB"/>
        </w:rPr>
        <w:t>).</w:t>
      </w:r>
    </w:p>
    <w:p w14:paraId="6C39E478" w14:textId="77777777" w:rsidR="00157D06" w:rsidRPr="002B4BC3" w:rsidRDefault="00157D06" w:rsidP="00157D06">
      <w:pPr>
        <w:spacing w:line="240" w:lineRule="auto"/>
        <w:jc w:val="both"/>
        <w:rPr>
          <w:rFonts w:cstheme="minorHAnsi"/>
          <w:lang w:val="en-GB"/>
        </w:rPr>
      </w:pPr>
      <w:r w:rsidRPr="002B4BC3">
        <w:rPr>
          <w:rFonts w:cstheme="minorHAnsi"/>
          <w:lang w:val="en-GB"/>
        </w:rPr>
        <w:t xml:space="preserve">This prospective cohort study evaluated chronic disease outcomes (type 2 diabetes, cancer, cardiovascular disease, mortality) in relation to dietary pesticide residue exposure profiles. Associations were found </w:t>
      </w:r>
      <w:r w:rsidRPr="002B4BC3">
        <w:rPr>
          <w:rFonts w:cstheme="minorHAnsi"/>
          <w:lang w:val="en-GB"/>
        </w:rPr>
        <w:lastRenderedPageBreak/>
        <w:t>between high-pesticide-residue produce consumption and increased Type 2 diabetes risk (HR ~1.47), elevated glioma and breast cancer risks in overweight women, and lower risks with low-residue produce intake. These analyses affirm the relevance of dietary pesticide exposure to long-term health outcomes (</w:t>
      </w:r>
      <w:hyperlink r:id="rId10" w:tooltip="Dietary pesticide exposure and non-communicable diseases and mortality: a systematic review of prospective studies among adults | Environmental Health | Full Text" w:history="1">
        <w:r w:rsidRPr="002B4BC3">
          <w:rPr>
            <w:rStyle w:val="Hyperlink"/>
            <w:rFonts w:cstheme="minorHAnsi"/>
            <w:lang w:val="en-GB"/>
          </w:rPr>
          <w:t>ehjournal.biomedcentral.com</w:t>
        </w:r>
      </w:hyperlink>
      <w:r w:rsidRPr="002B4BC3">
        <w:rPr>
          <w:rFonts w:cstheme="minorHAnsi"/>
          <w:lang w:val="en-GB"/>
        </w:rPr>
        <w:t>).</w:t>
      </w:r>
    </w:p>
    <w:p w14:paraId="03FECFE0" w14:textId="77777777" w:rsidR="00157D06" w:rsidRDefault="00157D06" w:rsidP="00157D06">
      <w:pPr>
        <w:spacing w:line="240" w:lineRule="auto"/>
        <w:jc w:val="both"/>
        <w:rPr>
          <w:rFonts w:cstheme="minorHAnsi"/>
          <w:lang w:val="en-GB"/>
        </w:rPr>
      </w:pPr>
      <w:r w:rsidRPr="002B4BC3">
        <w:rPr>
          <w:rFonts w:cstheme="minorHAnsi"/>
          <w:lang w:val="en-GB"/>
        </w:rPr>
        <w:t>This meta-analysis reviewed 24 studies encompassing ~69,500 data points on organophosphorus (OP) residues across fruits and vegetables. Findings indicate most detected concentrations met Codex, EU, UK, and Chinese safety standards; yet some pesticide–produce combinations exceeded Maximum Residue Limits (MRLs), presenting potential health risks (</w:t>
      </w:r>
      <w:hyperlink r:id="rId11" w:tooltip="Organophosphorus pesticide contaminants in fruits and vegetables: A meta-analysis - ScienceDirect" w:history="1">
        <w:r w:rsidRPr="002B4BC3">
          <w:rPr>
            <w:rStyle w:val="Hyperlink"/>
            <w:rFonts w:cstheme="minorHAnsi"/>
            <w:lang w:val="en-GB"/>
          </w:rPr>
          <w:t>sciencedirect.com</w:t>
        </w:r>
      </w:hyperlink>
      <w:r w:rsidRPr="002B4BC3">
        <w:rPr>
          <w:rFonts w:cstheme="minorHAnsi"/>
          <w:lang w:val="en-GB"/>
        </w:rPr>
        <w:t xml:space="preserve">). A systematic review of studies from 2002–2022 quantified mean pesticide levels in vegetables across continents, covering fungicides, insecticides, herbicides, acaricides, nematicides, miticides, and </w:t>
      </w:r>
      <w:proofErr w:type="spellStart"/>
      <w:r w:rsidRPr="002B4BC3">
        <w:rPr>
          <w:rFonts w:cstheme="minorHAnsi"/>
          <w:lang w:val="en-GB"/>
        </w:rPr>
        <w:t>ovacides</w:t>
      </w:r>
      <w:proofErr w:type="spellEnd"/>
      <w:r w:rsidRPr="002B4BC3">
        <w:rPr>
          <w:rFonts w:cstheme="minorHAnsi"/>
          <w:lang w:val="en-GB"/>
        </w:rPr>
        <w:t>. Overall mean concentration was 0.24 mg/kg (95% CI: 0.23–0.25). The highest residues were detected in green beans (~2.6 mg/kg), while leafy vegetables like Chinese kale had the lowest (~0.01 mg/kg). Notably, Europe, Asia, and Africa showed high insecticide residues (</w:t>
      </w:r>
      <w:hyperlink r:id="rId12" w:tooltip="The concentration of pesticide residues in vegetables: A systematic review and meta-analyses - ScienceDirect" w:history="1">
        <w:r w:rsidRPr="002B4BC3">
          <w:rPr>
            <w:rStyle w:val="Hyperlink"/>
            <w:rFonts w:cstheme="minorHAnsi"/>
            <w:lang w:val="en-GB"/>
          </w:rPr>
          <w:t>sciencedirect.com</w:t>
        </w:r>
      </w:hyperlink>
      <w:r w:rsidRPr="002B4BC3">
        <w:rPr>
          <w:rFonts w:cstheme="minorHAnsi"/>
          <w:lang w:val="en-GB"/>
        </w:rPr>
        <w:t xml:space="preserve">). A global meta-analysis of 47 studies focused on pesticide concentrations in tomatoes and conducted health risk assessments. Ranked residue levels: </w:t>
      </w:r>
      <w:proofErr w:type="spellStart"/>
      <w:r w:rsidRPr="002B4BC3">
        <w:rPr>
          <w:rFonts w:cstheme="minorHAnsi"/>
          <w:lang w:val="en-GB"/>
        </w:rPr>
        <w:t>Metalaxyl</w:t>
      </w:r>
      <w:proofErr w:type="spellEnd"/>
      <w:r w:rsidRPr="002B4BC3">
        <w:rPr>
          <w:rFonts w:cstheme="minorHAnsi"/>
          <w:lang w:val="en-GB"/>
        </w:rPr>
        <w:t xml:space="preserve"> &gt; Malathion &gt; Cypermethrin &gt; Diazinon &gt; Chlorpyrifos. The non-carcinogenic risk assessment (THQ) for malathion exceeded safe levels in some populations, notably in Iran (</w:t>
      </w:r>
      <w:hyperlink r:id="rId13" w:tooltip="The concentration of pesticides in tomato: a global systematic review, meta-analysis, and health risk assessment - PubMed" w:history="1">
        <w:r w:rsidRPr="002B4BC3">
          <w:rPr>
            <w:rStyle w:val="Hyperlink"/>
            <w:rFonts w:cstheme="minorHAnsi"/>
            <w:lang w:val="en-GB"/>
          </w:rPr>
          <w:t>pubmed.ncbi.nlm.nih.gov</w:t>
        </w:r>
      </w:hyperlink>
      <w:r w:rsidRPr="002B4BC3">
        <w:rPr>
          <w:rFonts w:cstheme="minorHAnsi"/>
          <w:lang w:val="en-GB"/>
        </w:rPr>
        <w:t>).</w:t>
      </w:r>
    </w:p>
    <w:p w14:paraId="121D8F25" w14:textId="33B472C8" w:rsidR="006A4058" w:rsidRDefault="006A4058" w:rsidP="00157D06">
      <w:pPr>
        <w:spacing w:line="240" w:lineRule="auto"/>
        <w:jc w:val="both"/>
        <w:rPr>
          <w:rFonts w:cstheme="minorHAnsi"/>
          <w:lang w:val="en-GB"/>
        </w:rPr>
      </w:pPr>
      <w:r w:rsidRPr="006A4058">
        <w:rPr>
          <w:rFonts w:cstheme="minorHAnsi"/>
          <w:lang w:val="en-GB"/>
        </w:rPr>
        <w:t>OCP residues were detected in most of the fruit and vegetable samples, with potential health risks.</w:t>
      </w:r>
      <w:r w:rsidR="00AD6F2E" w:rsidRPr="00AD6F2E">
        <w:t xml:space="preserve"> </w:t>
      </w:r>
      <w:r w:rsidR="00AD6F2E" w:rsidRPr="00AD6F2E">
        <w:rPr>
          <w:rFonts w:cstheme="minorHAnsi"/>
          <w:lang w:val="en-GB"/>
        </w:rPr>
        <w:t>The results showed that the concentration of OCP residues from the samples collected from the local market indicated that Methoxychlor, total hexachlorocyclohexane (∑HCH), ∑Heptachlor, ∑Endosulfan, and dichlorodiphenyltrichloroethane (∑DDT) ranged from not detected (</w:t>
      </w:r>
      <w:proofErr w:type="spellStart"/>
      <w:r w:rsidR="00AD6F2E" w:rsidRPr="00AD6F2E">
        <w:rPr>
          <w:rFonts w:cstheme="minorHAnsi"/>
          <w:lang w:val="en-GB"/>
        </w:rPr>
        <w:t>nd</w:t>
      </w:r>
      <w:proofErr w:type="spellEnd"/>
      <w:r w:rsidR="00AD6F2E" w:rsidRPr="00AD6F2E">
        <w:rPr>
          <w:rFonts w:cstheme="minorHAnsi"/>
          <w:lang w:val="en-GB"/>
        </w:rPr>
        <w:t xml:space="preserve">) to 78.167 </w:t>
      </w:r>
      <w:proofErr w:type="spellStart"/>
      <w:r w:rsidR="00AD6F2E" w:rsidRPr="00AD6F2E">
        <w:rPr>
          <w:rFonts w:cstheme="minorHAnsi"/>
          <w:lang w:val="en-GB"/>
        </w:rPr>
        <w:t>μg</w:t>
      </w:r>
      <w:proofErr w:type="spellEnd"/>
      <w:r w:rsidR="00AD6F2E" w:rsidRPr="00AD6F2E">
        <w:rPr>
          <w:rFonts w:cstheme="minorHAnsi"/>
          <w:lang w:val="en-GB"/>
        </w:rPr>
        <w:t xml:space="preserve">/kg, </w:t>
      </w:r>
      <w:proofErr w:type="spellStart"/>
      <w:r w:rsidR="00AD6F2E" w:rsidRPr="00AD6F2E">
        <w:rPr>
          <w:rFonts w:cstheme="minorHAnsi"/>
          <w:lang w:val="en-GB"/>
        </w:rPr>
        <w:t>nd</w:t>
      </w:r>
      <w:proofErr w:type="spellEnd"/>
      <w:r w:rsidR="00AD6F2E" w:rsidRPr="00AD6F2E">
        <w:rPr>
          <w:rFonts w:cstheme="minorHAnsi"/>
          <w:lang w:val="en-GB"/>
        </w:rPr>
        <w:t xml:space="preserve"> to 6.627 </w:t>
      </w:r>
      <w:proofErr w:type="spellStart"/>
      <w:r w:rsidR="00AD6F2E" w:rsidRPr="00AD6F2E">
        <w:rPr>
          <w:rFonts w:cstheme="minorHAnsi"/>
          <w:lang w:val="en-GB"/>
        </w:rPr>
        <w:t>μg</w:t>
      </w:r>
      <w:proofErr w:type="spellEnd"/>
      <w:r w:rsidR="00AD6F2E" w:rsidRPr="00AD6F2E">
        <w:rPr>
          <w:rFonts w:cstheme="minorHAnsi"/>
          <w:lang w:val="en-GB"/>
        </w:rPr>
        <w:t xml:space="preserve">/kg, </w:t>
      </w:r>
      <w:proofErr w:type="spellStart"/>
      <w:r w:rsidR="00AD6F2E" w:rsidRPr="00AD6F2E">
        <w:rPr>
          <w:rFonts w:cstheme="minorHAnsi"/>
          <w:lang w:val="en-GB"/>
        </w:rPr>
        <w:t>nd</w:t>
      </w:r>
      <w:proofErr w:type="spellEnd"/>
      <w:r w:rsidR="00AD6F2E" w:rsidRPr="00AD6F2E">
        <w:rPr>
          <w:rFonts w:cstheme="minorHAnsi"/>
          <w:lang w:val="en-GB"/>
        </w:rPr>
        <w:t xml:space="preserve"> to 6.092 </w:t>
      </w:r>
      <w:proofErr w:type="spellStart"/>
      <w:r w:rsidR="00AD6F2E" w:rsidRPr="00AD6F2E">
        <w:rPr>
          <w:rFonts w:cstheme="minorHAnsi"/>
          <w:lang w:val="en-GB"/>
        </w:rPr>
        <w:t>μg</w:t>
      </w:r>
      <w:proofErr w:type="spellEnd"/>
      <w:r w:rsidR="00AD6F2E" w:rsidRPr="00AD6F2E">
        <w:rPr>
          <w:rFonts w:cstheme="minorHAnsi"/>
          <w:lang w:val="en-GB"/>
        </w:rPr>
        <w:t xml:space="preserve">/kg, 0.107–66.02 </w:t>
      </w:r>
      <w:proofErr w:type="spellStart"/>
      <w:r w:rsidR="00AD6F2E" w:rsidRPr="00AD6F2E">
        <w:rPr>
          <w:rFonts w:cstheme="minorHAnsi"/>
          <w:lang w:val="en-GB"/>
        </w:rPr>
        <w:t>μg</w:t>
      </w:r>
      <w:proofErr w:type="spellEnd"/>
      <w:r w:rsidR="00AD6F2E" w:rsidRPr="00AD6F2E">
        <w:rPr>
          <w:rFonts w:cstheme="minorHAnsi"/>
          <w:lang w:val="en-GB"/>
        </w:rPr>
        <w:t xml:space="preserve">/kg and </w:t>
      </w:r>
      <w:proofErr w:type="spellStart"/>
      <w:r w:rsidR="00AD6F2E" w:rsidRPr="00AD6F2E">
        <w:rPr>
          <w:rFonts w:cstheme="minorHAnsi"/>
          <w:lang w:val="en-GB"/>
        </w:rPr>
        <w:t>nd</w:t>
      </w:r>
      <w:proofErr w:type="spellEnd"/>
      <w:r w:rsidR="00AD6F2E" w:rsidRPr="00AD6F2E">
        <w:rPr>
          <w:rFonts w:cstheme="minorHAnsi"/>
          <w:lang w:val="en-GB"/>
        </w:rPr>
        <w:t xml:space="preserve"> to 12.37 </w:t>
      </w:r>
      <w:proofErr w:type="spellStart"/>
      <w:r w:rsidR="00AD6F2E" w:rsidRPr="00AD6F2E">
        <w:rPr>
          <w:rFonts w:cstheme="minorHAnsi"/>
          <w:lang w:val="en-GB"/>
        </w:rPr>
        <w:t>μg</w:t>
      </w:r>
      <w:proofErr w:type="spellEnd"/>
      <w:r w:rsidR="00AD6F2E" w:rsidRPr="00AD6F2E">
        <w:rPr>
          <w:rFonts w:cstheme="minorHAnsi"/>
          <w:lang w:val="en-GB"/>
        </w:rPr>
        <w:t xml:space="preserve">/kg, respectively, with aldrin having the lowest average concentration of 0.965 </w:t>
      </w:r>
      <w:proofErr w:type="spellStart"/>
      <w:r w:rsidR="00AD6F2E" w:rsidRPr="00AD6F2E">
        <w:rPr>
          <w:rFonts w:cstheme="minorHAnsi"/>
          <w:lang w:val="en-GB"/>
        </w:rPr>
        <w:t>μg</w:t>
      </w:r>
      <w:proofErr w:type="spellEnd"/>
      <w:r w:rsidR="00AD6F2E" w:rsidRPr="00AD6F2E">
        <w:rPr>
          <w:rFonts w:cstheme="minorHAnsi"/>
          <w:lang w:val="en-GB"/>
        </w:rPr>
        <w:t>/kg.</w:t>
      </w:r>
      <w:r w:rsidR="00AD6F2E" w:rsidRPr="00AD6F2E">
        <w:t xml:space="preserve"> </w:t>
      </w:r>
      <w:r w:rsidR="00AD6F2E" w:rsidRPr="00AD6F2E">
        <w:rPr>
          <w:rFonts w:cstheme="minorHAnsi"/>
          <w:lang w:val="en-GB"/>
        </w:rPr>
        <w:t>The hazard quotient values for all the OCP residues in both local and supermarkets were found below unity (&lt;1), suggesting that non-carcinogenic risk from pesticide exposure may not currently pose any significant health risk to the consumer. The cancer risk values obtained for the studied OCPs in food samples in this study showed a moderate risk (CR ≥ 1 × 10−6), suggesting a possible unacceptable and probable carcinogenic health safety risk over the exposure to the individual OCPs.</w:t>
      </w:r>
      <w:r w:rsidR="000F1FB7" w:rsidRPr="000F1FB7">
        <w:t xml:space="preserve"> </w:t>
      </w:r>
      <w:r w:rsidR="000F1FB7" w:rsidRPr="000F1FB7">
        <w:rPr>
          <w:rFonts w:cstheme="minorHAnsi"/>
          <w:lang w:val="en-GB"/>
        </w:rPr>
        <w:t>The associated cancer risks with OCPs over the consumption of food items would be dependent on the average daily intakes relative to age vulnerability, duration and frequency of exposure, levels of exposure, extent of food contamination and mode of action of pesticides, as well as the health status of the individual.</w:t>
      </w:r>
    </w:p>
    <w:p w14:paraId="41E6C70A" w14:textId="6B0FF2BD" w:rsidR="0096518D" w:rsidRPr="002B4BC3" w:rsidRDefault="0096518D" w:rsidP="00157D06">
      <w:pPr>
        <w:spacing w:line="240" w:lineRule="auto"/>
        <w:jc w:val="both"/>
        <w:rPr>
          <w:rFonts w:cstheme="minorHAnsi"/>
          <w:lang w:val="en-GB"/>
        </w:rPr>
      </w:pPr>
      <w:r w:rsidRPr="0096518D">
        <w:rPr>
          <w:rFonts w:cstheme="minorHAnsi"/>
          <w:lang w:val="en-GB"/>
        </w:rPr>
        <w:t xml:space="preserve">This study investigates the level of organochlorine pesticides in the raw food from open markets in Kinshasa, Democratic Republic of Congo (DRC), and Johannesburg, South Africa. DDE recorded the highest mean concentration (253.58 ± 4.78 </w:t>
      </w:r>
      <w:proofErr w:type="spellStart"/>
      <w:r w:rsidRPr="0096518D">
        <w:rPr>
          <w:rFonts w:cstheme="minorHAnsi"/>
          <w:lang w:val="en-GB"/>
        </w:rPr>
        <w:t>μg</w:t>
      </w:r>
      <w:proofErr w:type="spellEnd"/>
      <w:r w:rsidRPr="0096518D">
        <w:rPr>
          <w:rFonts w:cstheme="minorHAnsi"/>
          <w:lang w:val="en-GB"/>
        </w:rPr>
        <w:t xml:space="preserve"> kg−1) in beef from Johannesburg, and α-BHC recorded the lowest mean concentration (38.54 ± 7.46 </w:t>
      </w:r>
      <w:proofErr w:type="spellStart"/>
      <w:r w:rsidRPr="0096518D">
        <w:rPr>
          <w:rFonts w:cstheme="minorHAnsi"/>
          <w:lang w:val="en-GB"/>
        </w:rPr>
        <w:t>μg</w:t>
      </w:r>
      <w:proofErr w:type="spellEnd"/>
      <w:r w:rsidRPr="0096518D">
        <w:rPr>
          <w:rFonts w:cstheme="minorHAnsi"/>
          <w:lang w:val="en-GB"/>
        </w:rPr>
        <w:t xml:space="preserve"> kg−1) in beans from Kinshasa. The investigation of health risk estimates revealed that the number of organochlorine pesticides exceeded the reference dose in the collected food samples</w:t>
      </w:r>
      <w:r w:rsidRPr="0096518D">
        <w:rPr>
          <w:rFonts w:cstheme="minorHAnsi"/>
          <w:color w:val="EE0000"/>
          <w:lang w:val="en-GB"/>
        </w:rPr>
        <w:t>.</w:t>
      </w:r>
      <w:r w:rsidRPr="0096518D">
        <w:rPr>
          <w:color w:val="EE0000"/>
        </w:rPr>
        <w:t xml:space="preserve"> </w:t>
      </w:r>
      <w:r w:rsidRPr="0096518D">
        <w:rPr>
          <w:rFonts w:cstheme="minorHAnsi"/>
          <w:color w:val="EE0000"/>
          <w:lang w:val="en-GB"/>
        </w:rPr>
        <w:t>Assessment of organochlorine pesticide residues in raw food samples from open markets in two African cities</w:t>
      </w:r>
    </w:p>
    <w:p w14:paraId="089938B2" w14:textId="7D876FE8" w:rsidR="006A6E45" w:rsidRDefault="006A6E45" w:rsidP="00157D06">
      <w:pPr>
        <w:spacing w:line="240" w:lineRule="auto"/>
        <w:jc w:val="both"/>
        <w:rPr>
          <w:rFonts w:cstheme="minorHAnsi"/>
          <w:lang w:val="en-GB"/>
        </w:rPr>
      </w:pPr>
      <w:r w:rsidRPr="006A6E45">
        <w:rPr>
          <w:rFonts w:cstheme="minorHAnsi"/>
          <w:lang w:val="en-GB"/>
        </w:rPr>
        <w:t xml:space="preserve">ƩDDT concentration was highest in meat products, aquatic foods, dairy products, edible oils, fruits, and cereals, while ƩHCHs were highest in chicken eggs and vegetables. ƩOCP concentrations (ng/g) in food categories were 6.09±1.6–6.85±0.9 (meat), 5.29±2.0–12.3±14 (aquatic foods), 4.86±1.7–5.89±0.8 (dairy products), 4.53±0.8–6.32±1.1 (edible oils), 3.32±1.3 (eggs), 3.54±1.0–4.80±1.5 (fruits), 4.16±2.7–4.40±0.8 (vegetables), and 6.12±2.0–6.62±0.9 (cereals). The estimated average daily intake of OCPs was 5.91, 12.5, 4.41, 6.40, 1.53, 5.14, 3.95, and 16.7 ng/kg </w:t>
      </w:r>
      <w:proofErr w:type="spellStart"/>
      <w:r w:rsidRPr="006A6E45">
        <w:rPr>
          <w:rFonts w:cstheme="minorHAnsi"/>
          <w:lang w:val="en-GB"/>
        </w:rPr>
        <w:t>bw</w:t>
      </w:r>
      <w:proofErr w:type="spellEnd"/>
      <w:r w:rsidRPr="006A6E45">
        <w:rPr>
          <w:rFonts w:cstheme="minorHAnsi"/>
          <w:lang w:val="en-GB"/>
        </w:rPr>
        <w:t xml:space="preserve">/day through the consumption of meat products, aquatic foods, dairy products, edible oils, chicken eggs, fruits, vegetables, and cereals, respectively. The health risk of residual OCPs via ingestion of foods considered in this study was &lt;1, which implied no potential health </w:t>
      </w:r>
      <w:r w:rsidRPr="006A6E45">
        <w:rPr>
          <w:rFonts w:cstheme="minorHAnsi"/>
          <w:lang w:val="en-GB"/>
        </w:rPr>
        <w:lastRenderedPageBreak/>
        <w:t>risk at the current consumption rate.</w:t>
      </w:r>
      <w:r w:rsidRPr="006A6E45">
        <w:t xml:space="preserve"> </w:t>
      </w:r>
      <w:r w:rsidRPr="006A6E45">
        <w:rPr>
          <w:rFonts w:cstheme="minorHAnsi"/>
          <w:color w:val="EE0000"/>
          <w:lang w:val="en-GB"/>
        </w:rPr>
        <w:t>Occurrence, distribution, and risk of organochlorine pesticides in food and greenness assessment of method</w:t>
      </w:r>
    </w:p>
    <w:p w14:paraId="617976A6" w14:textId="748760CB" w:rsidR="00157D06" w:rsidRPr="002B4BC3" w:rsidRDefault="00157D06" w:rsidP="00157D06">
      <w:pPr>
        <w:spacing w:line="240" w:lineRule="auto"/>
        <w:jc w:val="both"/>
        <w:rPr>
          <w:rFonts w:cstheme="minorHAnsi"/>
          <w:lang w:val="en-GB"/>
        </w:rPr>
      </w:pPr>
      <w:r w:rsidRPr="002B4BC3">
        <w:rPr>
          <w:rFonts w:cstheme="minorHAnsi"/>
          <w:lang w:val="en-GB"/>
        </w:rPr>
        <w:t>A global meta-analysis found pesticide residues in 7% of organic produce samples versus 38% in conventional produce, with conventional produce being four times more likely to exceed limits. Though limited evidence links these levels to health risks, the findings suggest reduced pesticide exposure through organic foods (</w:t>
      </w:r>
      <w:hyperlink r:id="rId14" w:tooltip="Organic food" w:history="1">
        <w:r w:rsidRPr="002B4BC3">
          <w:rPr>
            <w:rStyle w:val="Hyperlink"/>
            <w:rFonts w:cstheme="minorHAnsi"/>
            <w:lang w:val="en-GB"/>
          </w:rPr>
          <w:t>en.wikipedia.org</w:t>
        </w:r>
      </w:hyperlink>
      <w:r w:rsidRPr="002B4BC3">
        <w:rPr>
          <w:rFonts w:cstheme="minorHAnsi"/>
          <w:lang w:val="en-GB"/>
        </w:rPr>
        <w:t>).</w:t>
      </w:r>
      <w:r>
        <w:rPr>
          <w:rFonts w:cstheme="minorHAnsi"/>
          <w:lang w:val="en-GB"/>
        </w:rPr>
        <w:t xml:space="preserve"> </w:t>
      </w:r>
      <w:r w:rsidRPr="002B4BC3">
        <w:rPr>
          <w:rFonts w:cstheme="minorHAnsi"/>
          <w:lang w:val="en-GB"/>
        </w:rPr>
        <w:t>A meta-analysis examined 50+ studies on how washing, peeling, boiling, drying, and other food processing methods affect pesticide residue levels. Results: peeling (RR ≈ 0.11) and juicing (RR ≈ 0.14) reduced residues most effectively, whereas boiling, washing, and sun drying had moderate effects (RR ≈ 0.6–0.8); some drying processes increased concentration due to water loss (</w:t>
      </w:r>
      <w:hyperlink r:id="rId15" w:tooltip="Effects of food processing on pesticide residues in fruits and vegetables: a meta-analysis approach - PubMed" w:history="1">
        <w:r w:rsidRPr="002B4BC3">
          <w:rPr>
            <w:rStyle w:val="Hyperlink"/>
            <w:rFonts w:cstheme="minorHAnsi"/>
            <w:lang w:val="en-GB"/>
          </w:rPr>
          <w:t>pubmed.ncbi.nlm.nih.gov</w:t>
        </w:r>
      </w:hyperlink>
      <w:r w:rsidRPr="002B4BC3">
        <w:rPr>
          <w:rFonts w:cstheme="minorHAnsi"/>
          <w:lang w:val="en-GB"/>
        </w:rPr>
        <w:t xml:space="preserve">, </w:t>
      </w:r>
      <w:hyperlink r:id="rId16" w:tooltip="Meta-analysis of food processing on pesticide residues in fruits" w:history="1">
        <w:r w:rsidRPr="002B4BC3">
          <w:rPr>
            <w:rStyle w:val="Hyperlink"/>
            <w:rFonts w:cstheme="minorHAnsi"/>
            <w:lang w:val="en-GB"/>
          </w:rPr>
          <w:t>pubmed.ncbi.nlm.nih.gov</w:t>
        </w:r>
      </w:hyperlink>
      <w:r w:rsidRPr="002B4BC3">
        <w:rPr>
          <w:rFonts w:cstheme="minorHAnsi"/>
          <w:lang w:val="en-GB"/>
        </w:rPr>
        <w:t>). A study in Southwest Ethiopia assessed pesticide residues in common vegetables and evaluated household processing methods (washing, peeling, cooking). Found high prevalence of pyrethroids and organochlorines; demonstrated that traditional food processing can significantly reduce—but sometimes concentrate—residues depending on the method (</w:t>
      </w:r>
      <w:hyperlink r:id="rId17" w:tooltip="Pesticide Residues and Effect of Household Processing in Commonly Consumed Vegetables in Jimma Zone, Southwest Ethiopia - PMC" w:history="1">
        <w:r w:rsidRPr="002B4BC3">
          <w:rPr>
            <w:rStyle w:val="Hyperlink"/>
            <w:rFonts w:cstheme="minorHAnsi"/>
            <w:lang w:val="en-GB"/>
          </w:rPr>
          <w:t>pmc.ncbi.nlm.nih.gov</w:t>
        </w:r>
      </w:hyperlink>
      <w:r w:rsidRPr="002B4BC3">
        <w:rPr>
          <w:rFonts w:cstheme="minorHAnsi"/>
          <w:lang w:val="en-GB"/>
        </w:rPr>
        <w:t>).</w:t>
      </w:r>
    </w:p>
    <w:p w14:paraId="0BC9B9F1" w14:textId="77777777" w:rsidR="00157D06" w:rsidRPr="002B4BC3" w:rsidRDefault="00157D06" w:rsidP="00157D06">
      <w:pPr>
        <w:spacing w:line="240" w:lineRule="auto"/>
        <w:jc w:val="both"/>
        <w:rPr>
          <w:rFonts w:cstheme="minorHAnsi"/>
        </w:rPr>
      </w:pPr>
      <w:r w:rsidRPr="002B4BC3">
        <w:rPr>
          <w:rFonts w:cstheme="minorHAnsi"/>
        </w:rPr>
        <w:t xml:space="preserve">Children of school age have similar dietary patterns to </w:t>
      </w:r>
      <w:proofErr w:type="spellStart"/>
      <w:proofErr w:type="gramStart"/>
      <w:r w:rsidRPr="002B4BC3">
        <w:rPr>
          <w:rFonts w:cstheme="minorHAnsi"/>
        </w:rPr>
        <w:t>adults,however</w:t>
      </w:r>
      <w:proofErr w:type="spellEnd"/>
      <w:proofErr w:type="gramEnd"/>
      <w:r w:rsidRPr="002B4BC3">
        <w:rPr>
          <w:rFonts w:cstheme="minorHAnsi"/>
        </w:rPr>
        <w:t xml:space="preserve">, they are at greater risk of dietary PFAS exposure than adults because they </w:t>
      </w:r>
      <w:proofErr w:type="spellStart"/>
      <w:r w:rsidRPr="002B4BC3">
        <w:rPr>
          <w:rFonts w:cstheme="minorHAnsi"/>
        </w:rPr>
        <w:t>consumemore</w:t>
      </w:r>
      <w:proofErr w:type="spellEnd"/>
      <w:r w:rsidRPr="002B4BC3">
        <w:rPr>
          <w:rFonts w:cstheme="minorHAnsi"/>
        </w:rPr>
        <w:t xml:space="preserve"> food and beverages per kilogram of body weight than adults.</w:t>
      </w:r>
      <w:r>
        <w:rPr>
          <w:rFonts w:cstheme="minorHAnsi"/>
        </w:rPr>
        <w:t xml:space="preserve"> </w:t>
      </w:r>
      <w:r w:rsidRPr="002B4BC3">
        <w:rPr>
          <w:rFonts w:cstheme="minorHAnsi"/>
        </w:rPr>
        <w:t xml:space="preserve">Furthermore, because </w:t>
      </w:r>
      <w:proofErr w:type="spellStart"/>
      <w:r w:rsidRPr="002B4BC3">
        <w:rPr>
          <w:rFonts w:cstheme="minorHAnsi"/>
        </w:rPr>
        <w:t>children’sorgan</w:t>
      </w:r>
      <w:proofErr w:type="spellEnd"/>
      <w:r w:rsidRPr="002B4BC3">
        <w:rPr>
          <w:rFonts w:cstheme="minorHAnsi"/>
        </w:rPr>
        <w:t xml:space="preserve"> systems are not fully developed, exposure to PFAS may impose a higher health risk than </w:t>
      </w:r>
      <w:proofErr w:type="spellStart"/>
      <w:r w:rsidRPr="002B4BC3">
        <w:rPr>
          <w:rFonts w:cstheme="minorHAnsi"/>
        </w:rPr>
        <w:t>itdoes</w:t>
      </w:r>
      <w:proofErr w:type="spellEnd"/>
      <w:r w:rsidRPr="002B4BC3">
        <w:rPr>
          <w:rFonts w:cstheme="minorHAnsi"/>
        </w:rPr>
        <w:t xml:space="preserve"> for adults. Therefore, it is particularly important to trace exposure sources from dietary </w:t>
      </w:r>
      <w:proofErr w:type="spellStart"/>
      <w:r w:rsidRPr="002B4BC3">
        <w:rPr>
          <w:rFonts w:cstheme="minorHAnsi"/>
        </w:rPr>
        <w:t>routesfor</w:t>
      </w:r>
      <w:proofErr w:type="spellEnd"/>
      <w:r w:rsidRPr="002B4BC3">
        <w:rPr>
          <w:rFonts w:cstheme="minorHAnsi"/>
        </w:rPr>
        <w:t xml:space="preserve"> both legacy and emerging alternatives PFAS and assess their risk for children.</w:t>
      </w:r>
    </w:p>
    <w:p w14:paraId="54EEFAC9" w14:textId="322CD016" w:rsidR="00157D06" w:rsidRPr="009A4BD1" w:rsidRDefault="00832637" w:rsidP="00157D06">
      <w:pPr>
        <w:spacing w:line="240" w:lineRule="auto"/>
        <w:jc w:val="both"/>
        <w:rPr>
          <w:rFonts w:cstheme="minorHAnsi"/>
          <w:vertAlign w:val="superscript"/>
        </w:rPr>
      </w:pPr>
      <w:r w:rsidRPr="00832637">
        <w:rPr>
          <w:rFonts w:cstheme="minorHAnsi"/>
        </w:rPr>
        <w:t xml:space="preserve">It is worth indicating that important information about OCP concentration levels is currently limited in the South African context, most especially in food samples. </w:t>
      </w:r>
      <w:r w:rsidR="00DC702D" w:rsidRPr="00DC702D">
        <w:rPr>
          <w:rFonts w:cstheme="minorHAnsi"/>
        </w:rPr>
        <w:t>South Africa is an active member of the convention that finally signed the treaty in 2004 and undertook to support research and control the release of POPs in the environment the same year. As a result of this development, the importation and usage of these chemicals have been prohibited in the Country. The attention on the investigations, routine monitoring and toxicity of pesticides is limited, especially in the African sub-region. Although the importation and usage of OCPs have been prohibited in South Africa since 2004. The continuous detection even at low levels could pose a serious risk to both the ecological and human health, therefore necessitating routine monitoring in environmental and food matrices.</w:t>
      </w:r>
      <w:r w:rsidR="00DC702D">
        <w:rPr>
          <w:rFonts w:cstheme="minorHAnsi"/>
        </w:rPr>
        <w:t xml:space="preserve"> </w:t>
      </w:r>
      <w:r w:rsidR="00157D06" w:rsidRPr="002B4BC3">
        <w:rPr>
          <w:rFonts w:cstheme="minorHAnsi"/>
        </w:rPr>
        <w:t>A particularly alarming finding is the documented direct use of dichlorodiphenyltrichloroethane (DDT) on food crops within Ethiopia, a practice that has led to the detection of DDT residues in surface water, soil, and even human breast milk.</w:t>
      </w:r>
      <w:r w:rsidR="00157D06" w:rsidRPr="002B4BC3">
        <w:rPr>
          <w:rFonts w:cstheme="minorHAnsi"/>
          <w:vertAlign w:val="superscript"/>
        </w:rPr>
        <w:t>4</w:t>
      </w:r>
      <w:r w:rsidR="00157D06" w:rsidRPr="002B4BC3">
        <w:rPr>
          <w:rFonts w:cstheme="minorHAnsi"/>
        </w:rPr>
        <w:t xml:space="preserve"> This underscores a critical concern regarding the persistence and bioaccumulation of legacy organochlorine pesticides, classified as Persistent Organic Pollutants (POPs). These chemicals are known for their long-term environmental stability, lipophilicity, and strong tendency to accumulate through the food chain, posing enduring health risks.</w:t>
      </w:r>
      <w:r w:rsidR="00157D06">
        <w:rPr>
          <w:rFonts w:cstheme="minorHAnsi"/>
          <w:vertAlign w:val="superscript"/>
        </w:rPr>
        <w:t xml:space="preserve"> </w:t>
      </w:r>
      <w:r w:rsidR="00157D06" w:rsidRPr="002B4BC3">
        <w:rPr>
          <w:rFonts w:cstheme="minorHAnsi"/>
        </w:rPr>
        <w:t>The compiled dataset for the present study further reinforces these concerns, revealing that legacy organochlorine pesticides, specifically DDT and its metabolites (</w:t>
      </w:r>
      <w:proofErr w:type="spellStart"/>
      <w:r w:rsidR="00157D06" w:rsidRPr="002B4BC3">
        <w:rPr>
          <w:rFonts w:cstheme="minorHAnsi"/>
        </w:rPr>
        <w:t>p,p</w:t>
      </w:r>
      <w:proofErr w:type="spellEnd"/>
      <w:r w:rsidR="00157D06" w:rsidRPr="002B4BC3">
        <w:rPr>
          <w:rFonts w:cstheme="minorHAnsi"/>
        </w:rPr>
        <w:t xml:space="preserve">'-DDT, </w:t>
      </w:r>
      <w:proofErr w:type="spellStart"/>
      <w:r w:rsidR="00157D06" w:rsidRPr="002B4BC3">
        <w:rPr>
          <w:rFonts w:cstheme="minorHAnsi"/>
        </w:rPr>
        <w:t>p,p</w:t>
      </w:r>
      <w:proofErr w:type="spellEnd"/>
      <w:r w:rsidR="00157D06" w:rsidRPr="002B4BC3">
        <w:rPr>
          <w:rFonts w:cstheme="minorHAnsi"/>
        </w:rPr>
        <w:t xml:space="preserve">'-DDE, </w:t>
      </w:r>
      <w:proofErr w:type="spellStart"/>
      <w:r w:rsidR="00157D06" w:rsidRPr="002B4BC3">
        <w:rPr>
          <w:rFonts w:cstheme="minorHAnsi"/>
        </w:rPr>
        <w:t>p,p</w:t>
      </w:r>
      <w:proofErr w:type="spellEnd"/>
      <w:r w:rsidR="00157D06" w:rsidRPr="002B4BC3">
        <w:rPr>
          <w:rFonts w:cstheme="minorHAnsi"/>
        </w:rPr>
        <w:t xml:space="preserve">'-DDD), along with hexachlorocyclohexanes (e.g., alpha-HCH) and </w:t>
      </w:r>
      <w:proofErr w:type="spellStart"/>
      <w:r w:rsidR="00157D06" w:rsidRPr="002B4BC3">
        <w:rPr>
          <w:rFonts w:cstheme="minorHAnsi"/>
        </w:rPr>
        <w:t>endosulfans</w:t>
      </w:r>
      <w:proofErr w:type="spellEnd"/>
      <w:r w:rsidR="00157D06" w:rsidRPr="002B4BC3">
        <w:rPr>
          <w:rFonts w:cstheme="minorHAnsi"/>
        </w:rPr>
        <w:t xml:space="preserve"> (e.g., alpha-endosulfan, endosulfan-sulfate), were the most frequently detected compounds in Ethiopian foods.</w:t>
      </w:r>
      <w:r w:rsidR="00157D06" w:rsidRPr="002B4BC3">
        <w:rPr>
          <w:rFonts w:cstheme="minorHAnsi"/>
          <w:vertAlign w:val="superscript"/>
        </w:rPr>
        <w:t>7</w:t>
      </w:r>
      <w:r w:rsidR="00157D06" w:rsidRPr="002B4BC3">
        <w:rPr>
          <w:rFonts w:cstheme="minorHAnsi"/>
        </w:rPr>
        <w:t xml:space="preserve"> The continued presence and high frequency of these POPs are significant because, even if their use is restricted or banned, their environmental stability and </w:t>
      </w:r>
      <w:proofErr w:type="spellStart"/>
      <w:r w:rsidR="00157D06" w:rsidRPr="002B4BC3">
        <w:rPr>
          <w:rFonts w:cstheme="minorHAnsi"/>
        </w:rPr>
        <w:t>bioaccumulative</w:t>
      </w:r>
      <w:proofErr w:type="spellEnd"/>
      <w:r w:rsidR="00157D06" w:rsidRPr="002B4BC3">
        <w:rPr>
          <w:rFonts w:cstheme="minorHAnsi"/>
        </w:rPr>
        <w:t xml:space="preserve"> properties mean they will continue to pose long-term health risks for generations.</w:t>
      </w:r>
      <w:r w:rsidR="00157D06" w:rsidRPr="00434B73">
        <w:rPr>
          <w:rFonts w:cstheme="minorHAnsi"/>
        </w:rPr>
        <w:t xml:space="preserve"> </w:t>
      </w:r>
      <w:r w:rsidR="00157D06" w:rsidRPr="002B4BC3">
        <w:rPr>
          <w:rFonts w:cstheme="minorHAnsi"/>
        </w:rPr>
        <w:t>The way a contaminant interacts with different food matrices (e.g., fat content, cooking methods) can affect its bioavailability and ultimately, the dose absorbed by the body.</w:t>
      </w:r>
    </w:p>
    <w:p w14:paraId="6F17DF9C" w14:textId="77777777" w:rsidR="00157D06" w:rsidRDefault="00157D06" w:rsidP="00157D06">
      <w:pPr>
        <w:spacing w:line="240" w:lineRule="auto"/>
        <w:jc w:val="both"/>
        <w:rPr>
          <w:rFonts w:cstheme="minorHAnsi"/>
        </w:rPr>
      </w:pPr>
      <w:r w:rsidRPr="002B4BC3">
        <w:rPr>
          <w:rFonts w:cstheme="minorHAnsi"/>
        </w:rPr>
        <w:t xml:space="preserve">Humans are typically exposed to multiple contaminants simultaneously. Assessing the combined effects of these mixtures is a major challenge, as traditional risk assessments often focus on single contaminants. Data on co-exposure and synergistic/antagonistic effects are scarce. A wide range of environmental </w:t>
      </w:r>
      <w:r w:rsidRPr="002B4BC3">
        <w:rPr>
          <w:rFonts w:cstheme="minorHAnsi"/>
        </w:rPr>
        <w:lastRenderedPageBreak/>
        <w:t>contaminants (e.g., heavy metals, pesticides, persistent organic pollutants, microplastics) can be found in food, each with unique toxicological profiles, sources, and pathways of exposure.</w:t>
      </w:r>
      <w:r w:rsidRPr="009B2D46">
        <w:rPr>
          <w:rFonts w:cstheme="minorHAnsi"/>
        </w:rPr>
        <w:t xml:space="preserve"> </w:t>
      </w:r>
      <w:r w:rsidRPr="002B4BC3">
        <w:rPr>
          <w:rFonts w:cstheme="minorHAnsi"/>
        </w:rPr>
        <w:t>Exposures to food chemicals through other routes may occur, and exposures to chemicals or drugs sharing the same mechanism of action (toxicity) may also be encountered. Consideration of combined exposures to a single chemical across multiple routes (oral, dermal, inhalation) and across multiple pathways (food, drinking-water, residential) is known as aggregate exposure. Consideration should also be given to the assessment of risks from exposure to multiple pesticide residues that have a common mechanism of toxicity, and the exposure estimate for that situation is termed cumulative exposure.</w:t>
      </w:r>
    </w:p>
    <w:p w14:paraId="01EA67C6" w14:textId="77777777" w:rsidR="00157D06" w:rsidRPr="002B4BC3" w:rsidRDefault="00157D06" w:rsidP="00157D06">
      <w:pPr>
        <w:spacing w:line="240" w:lineRule="auto"/>
        <w:jc w:val="both"/>
        <w:rPr>
          <w:rFonts w:cstheme="minorHAnsi"/>
        </w:rPr>
      </w:pPr>
      <w:r w:rsidRPr="002B4BC3">
        <w:rPr>
          <w:rFonts w:cstheme="minorHAnsi"/>
        </w:rPr>
        <w:t>Notably, not all MRL exceedances translate into high health risks. In fact, about two-thirds of over-tolerance residues pose low dietary risks, while some of the most hazardous residues may occur even within legal thresholds (Benbrook, 2023).</w:t>
      </w:r>
      <w:r>
        <w:rPr>
          <w:rFonts w:cstheme="minorHAnsi"/>
        </w:rPr>
        <w:t xml:space="preserve"> </w:t>
      </w:r>
      <w:r w:rsidRPr="002B4BC3">
        <w:rPr>
          <w:rFonts w:cstheme="minorHAnsi"/>
        </w:rPr>
        <w:t>To ensure food safety, adherence to Good Agricultural Practices (GAP) is essential. When GAP is followed, pesticide residues generally remain below the MRLs, rendering food safe for consumption. However, due to environmental and application variability, residue levels may differ significantly among individual food items (</w:t>
      </w:r>
      <w:proofErr w:type="spellStart"/>
      <w:r w:rsidRPr="002B4BC3">
        <w:rPr>
          <w:rFonts w:cstheme="minorHAnsi"/>
        </w:rPr>
        <w:t>Prodhan</w:t>
      </w:r>
      <w:proofErr w:type="spellEnd"/>
      <w:r w:rsidRPr="002B4BC3">
        <w:rPr>
          <w:rFonts w:cstheme="minorHAnsi"/>
        </w:rPr>
        <w:t xml:space="preserve"> et al., 2024), complicating exposure assessment.</w:t>
      </w:r>
      <w:r w:rsidRPr="00431BA9">
        <w:rPr>
          <w:rFonts w:cstheme="minorHAnsi"/>
        </w:rPr>
        <w:t xml:space="preserve"> </w:t>
      </w:r>
      <w:r w:rsidRPr="002B4BC3">
        <w:rPr>
          <w:rFonts w:cstheme="minorHAnsi"/>
        </w:rPr>
        <w:t xml:space="preserve">In cases where exposures exceed health-based guidance values, the values themselves do not provide risk managers with advice on the possible extent of the risk to those exposed to these higher amounts. A first consideration should take into account the fact that health-based guidance values themselves incorporate safety or uncertainty factors. A small or occasional dietary exposure in excess of a health-based guidance value based on a </w:t>
      </w:r>
      <w:proofErr w:type="spellStart"/>
      <w:r w:rsidRPr="002B4BC3">
        <w:rPr>
          <w:rFonts w:cstheme="minorHAnsi"/>
        </w:rPr>
        <w:t>subchronic</w:t>
      </w:r>
      <w:proofErr w:type="spellEnd"/>
      <w:r w:rsidRPr="002B4BC3">
        <w:rPr>
          <w:rFonts w:cstheme="minorHAnsi"/>
        </w:rPr>
        <w:t xml:space="preserve"> or chronic study does not necessarily imply that adverse health effects will occur in humans.</w:t>
      </w:r>
    </w:p>
    <w:p w14:paraId="5FE03E62" w14:textId="56DB3DB8" w:rsidR="007B599C" w:rsidRDefault="007B599C" w:rsidP="001D11BF">
      <w:pPr>
        <w:jc w:val="both"/>
      </w:pPr>
      <w:r w:rsidRPr="007B599C">
        <w:t xml:space="preserve">The present meta-regressions explored the dose-response relationships of per-session set volume on the effects of muscle hypertrophy and strength gain. The results supported our hypothesis that hypertrophy and strength gain increased as per-session volume increased, though the best-fit model indicated diminishing returns. </w:t>
      </w:r>
      <w:r w:rsidR="00CB6E50">
        <w:t>There is a positive dose-response relationship between per-session volume with both strength and hypertrophy; however, to quantify the dose-response relationship, it is paramount to distinguish between ‘fractional’ and ‘direct’ set counting methods.</w:t>
      </w:r>
    </w:p>
    <w:p w14:paraId="0ACD604E" w14:textId="4F2880C1" w:rsidR="001D11BF" w:rsidRDefault="001D11BF" w:rsidP="001D11BF">
      <w:pPr>
        <w:jc w:val="both"/>
      </w:pPr>
      <w:r>
        <w:t>Pesticide mixtures are ubiquitous (96 %) at surface water sites worldwide. 288 million people worldwide are at potential health risk from pesticide mixtures.</w:t>
      </w:r>
      <w:r w:rsidR="00913450" w:rsidRPr="00913450">
        <w:t xml:space="preserve"> Our global risk maps identify the hotspots, mainly in Southern Asia and Africa, with extensive pesticide use and poor wastewater management infrastructure. We identify 4 and 5 priority pesticides for protecting the human and ecosystem health, respectively. Importantly, we estimate that 305 million people worldwide are at potential health risk associated with the surface-water pesticide mixture exposure, with the vast majority (86%) being in Asia.</w:t>
      </w:r>
      <w:r w:rsidR="00822E7B" w:rsidRPr="00822E7B">
        <w:t xml:space="preserve"> Globally, the populations at potential risks associated with surface-water pesticide mixture exposure were predominately in Asia, with its share of up to 85.8%. The second largest contribution to populations was in Africa (11.7%), with the rest in North America (2.1%), South America, Europe and Oceania (&lt;1%). This result showed that the low- and middle-income countries dominated populations at risk associated with surface-water pesticide mixture exposure. </w:t>
      </w:r>
      <w:r w:rsidR="00822E7B" w:rsidRPr="00822E7B">
        <w:rPr>
          <w:color w:val="EE0000"/>
        </w:rPr>
        <w:t>Uncovering global risk to human and ecosystem health from pesticides in agricultural surface water using a machine learning approach</w:t>
      </w:r>
    </w:p>
    <w:p w14:paraId="3F044C76" w14:textId="45379D3D" w:rsidR="00703989" w:rsidRDefault="00703989" w:rsidP="00FC4A09">
      <w:pPr>
        <w:jc w:val="both"/>
      </w:pPr>
      <w:r w:rsidRPr="00680566">
        <w:t xml:space="preserve">We included Argentina in our project because it is the main exporter of soy for animal feed in Europe. In addition, this allows us to compare our findings in Europe against those in South America, where pesticides are often applied more frequently and in greater volumes. Argentina, our chosen case study, is the third biggest pesticide user in the world, with only China and the US using more. In addition, several of the pesticides used in Argentina are no longer approved for use across the EU, so this case study will provide insights into the risks of imported chemicals. </w:t>
      </w:r>
      <w:r w:rsidRPr="00B13E6B">
        <w:t xml:space="preserve">Pesticides were detected in 65% of the total samples, in 44% </w:t>
      </w:r>
      <w:r w:rsidRPr="00B13E6B">
        <w:lastRenderedPageBreak/>
        <w:t>of the positive samples at or below the MRLs, and in 56% above the MRLs. Oranges had the highest pesticide concentration detected, but carrots had the highest frequency of noncompliance among the produce items sampled</w:t>
      </w:r>
      <w:r>
        <w:t xml:space="preserve"> </w:t>
      </w:r>
      <w:r>
        <w:fldChar w:fldCharType="begin" w:fldLock="1"/>
      </w:r>
      <w:r w:rsidR="00BF2004">
        <w:instrText>ADDIN CSL_CITATION {"citationItems":[{"id":"ITEM-1","itemData":{"DOI":"10.1016/j.foodcont.2018.05.041","ISSN":"09567135","abstract":"The presence of pesticides in fruits and vegetables has been a growing concern in Argentina. Only three of the major marketplaces there have the necessary infrastructure to determine pesticide residues in produce. The aim of this study was to investigate the presence of such residues in nationally produced fruits and vegetables for domestic consumption in order to evaluate the present state of the market. A total of 135 of the most widely consumed fruits and vegetables were analyzed for 35 pesticides. The analyses utilized a QuEChERS™ multiresidue-extraction kit along with tandem gas chromatography–mass spectrometry. The results were evaluated according to maximum residue limits (MRLs) for each commodity and pesticide according to national regulation. Pesticides were detected in 65% of the total samples, in 44% of the positive samples at or below the MRLs, and in 56% above the MRLs. Oranges had the highest pesticide concentration detected, but carrots had the highest frequency of noncompliance among the produce items sampled. Five pesticides were detected at frequencies above 10%, the highest being chlorpyrifos in 25.9% of the total samples. In other countries, the percentage of samples above the MLR is 4 times lower than our findings, and 7 times lower for exported products. An implementation of programs designed to facilitate awareness, capacitation, and monitoring is urgently recommended.","author":[{"dropping-particle":"","family":"Loughlin","given":"Tomás M.","non-dropping-particle":"Mac","parse-names":false,"suffix":""},{"dropping-particle":"","family":"Peluso","given":"Ma Leticia","non-dropping-particle":"","parse-names":false,"suffix":""},{"dropping-particle":"","family":"Etchegoyen","given":"Ma Agustina","non-dropping-particle":"","parse-names":false,"suffix":""},{"dropping-particle":"","family":"Alonso","given":"Lucas L.","non-dropping-particle":"","parse-names":false,"suffix":""},{"dropping-particle":"","family":"Castro","given":"Ma Cecilia","non-dropping-particle":"de","parse-names":false,"suffix":""},{"dropping-particle":"","family":"Percudani","given":"Ma Cecilia","non-dropping-particle":"","parse-names":false,"suffix":""},{"dropping-particle":"","family":"Marino","given":"Damián J.G.","non-dropping-particle":"","parse-names":false,"suffix":""}],"container-title":"Food Control","id":"ITEM-1","issued":{"date-parts":[["2018"]]},"page":"129-138","title":"Pesticide residues in fruits and vegetables of the argentine domestic market: Occurrence and quality","type":"article-journal","volume":"93"},"uris":["http://www.mendeley.com/documents/?uuid=bfcb8377-b40c-4cc5-ad16-4310e57f477e"]}],"mendeley":{"formattedCitation":"(Mac Loughlin &lt;i&gt;et al.&lt;/i&gt;, 2018)","plainTextFormattedCitation":"(Mac Loughlin et al., 2018)","previouslyFormattedCitation":"(Mac Loughlin &lt;i&gt;et al.&lt;/i&gt;, 2018)"},"properties":{"noteIndex":0},"schema":"https://github.com/citation-style-language/schema/raw/master/csl-citation.json"}</w:instrText>
      </w:r>
      <w:r>
        <w:fldChar w:fldCharType="separate"/>
      </w:r>
      <w:r w:rsidR="00011E57" w:rsidRPr="00011E57">
        <w:rPr>
          <w:noProof/>
        </w:rPr>
        <w:t xml:space="preserve">(Mac Loughlin </w:t>
      </w:r>
      <w:r w:rsidR="00011E57" w:rsidRPr="00011E57">
        <w:rPr>
          <w:i/>
          <w:noProof/>
        </w:rPr>
        <w:t>et al.</w:t>
      </w:r>
      <w:r w:rsidR="00011E57" w:rsidRPr="00011E57">
        <w:rPr>
          <w:noProof/>
        </w:rPr>
        <w:t>, 2018)</w:t>
      </w:r>
      <w:r>
        <w:fldChar w:fldCharType="end"/>
      </w:r>
      <w:r w:rsidRPr="00B13E6B">
        <w:t>.</w:t>
      </w:r>
    </w:p>
    <w:p w14:paraId="2647BBBB" w14:textId="128ED2FB" w:rsidR="0021033A" w:rsidRDefault="0021033A" w:rsidP="00FC4A09">
      <w:pPr>
        <w:jc w:val="both"/>
      </w:pPr>
      <w:r w:rsidRPr="0021033A">
        <w:t>Aldrin, endrin, endrin aldehyde, a-endosulfan, β-endosulfan, endosulfan sulphate, heptachlor, heptachlor epoxide and dieldrin were detected in the four fruit vegetables. The predominant OCP residue in carrot, cucumber, tomatoes and watermelon was endosulfan sulphate with mean concentrations of 2.532 mg kg−1, 1.729 mg kg−1, 2.363 mg kg−1 and 1.154 mg kg−1, respectively. The residues levels in some of the fruit vegetables were higher than their respective maximum residue levels (MRLs) of 0.01–0.05 mg kg−1 set by the European Commission with concentrations above MRLs ranging between 25.5% and 100%. Four carcinogens (aldrin, dieldrin, heptachlor and heptachlor epoxide) had cancer risk index values greater than the acceptable risk of 1 in 1 million for both adult and children consumers</w:t>
      </w:r>
      <w:r>
        <w:t xml:space="preserve"> </w:t>
      </w:r>
      <w:r>
        <w:fldChar w:fldCharType="begin" w:fldLock="1"/>
      </w:r>
      <w:r w:rsidR="00BF2004">
        <w:instrText>ADDIN CSL_CITATION {"citationItems":[{"id":"ITEM-1","itemData":{"DOI":"10.1108/BFJ-05-2021-0573","ISSN":"0007-070X","abstract":"Purpose: The study assessed the levels of organochlorine pesticides (OCPs) and their potential non-carcinogenic and carcinogenic health risks in four regularly consumed fruit vegetables. Design/methodology/approach: The OCPs’ residues were quantified using a gas chromatograph coupled with an electron capture detector (GC-ECD) and the dietary exposure of children, and adult consumers to the detected OCPs was evaluated using carcinogenic and systemic health risk estimations. Findings: Aldrin, endrin, endrin aldehyde, a-endosulfan, β-endosulfan, endosulfan sulphate, heptachlor, heptachlor epoxide and dieldrin were detected in the four fruit vegetables. The predominant OCP residue in carrot, cucumber, tomatoes and watermelon was endosulfan sulphate with mean concentrations of 2.532 mg kg−1, 1.729 mg kg−1, 2.363 mg kg−1 and 1.154 mg kg−1, respectively. The residues levels in some of the fruit vegetables were higher than their respective maximum residue levels (MRLs) of 0.01–0.05 mg kg−1 set by the European Commission with concentrations above MRLs ranging between 25.5% and 100%. The systemic health risk estimations showed that the hazard index (HI) values for carrot (3.20), cucumber (9.25), tomatoes (50.21) and watermelon (16.76) were &gt;1 for children consumers and the respective HI values of 2.87, 15.57 and 5.20 for adult consumers of cucumber, tomatoes and watermelon were &gt;1 which implies potential systemic health risks. Four carcinogens (aldrin, dieldrin, heptachlor and heptachlor epoxide) had cancer risk index values greater than the acceptable risk of 1 in 1 million for both adult and children consumers. Originality/value: The paper shows that despite the ban on the use of OCPs in Nigeria, they are still being used for agricultural production especially on some locally produced and regularly consumed fruit vegetables as reported in the present study. The non-existence of surveillance programmes on pesticide usage and the lack of proper monitoring of pesticide residues in food products including fruit and vegetables must have contributed to the levels of the detected OCP in the samples analysed. The current daily intake of OCP via contaminated vegetables may pose potential health risks to both the children and adult consumers of the fruit vegetables.","author":[{"dropping-particle":"","family":"Odewale","given":"Gideon Oluwasogo","non-dropping-particle":"","parse-names":false,"suffix":""},{"dropping-particle":"","family":"Sosan","given":"Mosudi Babatunde","non-dropping-particle":"","parse-names":false,"suffix":""},{"dropping-particle":"","family":"Oyekunle","given":"John Adekunle Oyedele","non-dropping-particle":"","parse-names":false,"suffix":""},{"dropping-particle":"","family":"Adeleye","given":"Adeoluwa Oluwaseyi","non-dropping-particle":"","parse-names":false,"suffix":""}],"container-title":"British Food Journal","id":"ITEM-1","issue":"5","issued":{"date-parts":[["2022","3","21"]]},"page":"1755-1774","title":"Assessment of systemic and carcinogenic health risks of persistent organochlorine pesticide residues in four fruit vegetables in south-western Nigeria","type":"article-journal","volume":"124"},"uris":["http://www.mendeley.com/documents/?uuid=1bee44e7-8e8f-46a6-b051-99f8553de293"]}],"mendeley":{"formattedCitation":"(Odewale &lt;i&gt;et al.&lt;/i&gt;, 2022)","plainTextFormattedCitation":"(Odewale et al., 2022)","previouslyFormattedCitation":"(Odewale &lt;i&gt;et al.&lt;/i&gt;, 2022)"},"properties":{"noteIndex":0},"schema":"https://github.com/citation-style-language/schema/raw/master/csl-citation.json"}</w:instrText>
      </w:r>
      <w:r>
        <w:fldChar w:fldCharType="separate"/>
      </w:r>
      <w:r w:rsidR="00011E57" w:rsidRPr="00011E57">
        <w:rPr>
          <w:noProof/>
        </w:rPr>
        <w:t xml:space="preserve">(Odewale </w:t>
      </w:r>
      <w:r w:rsidR="00011E57" w:rsidRPr="00011E57">
        <w:rPr>
          <w:i/>
          <w:noProof/>
        </w:rPr>
        <w:t>et al.</w:t>
      </w:r>
      <w:r w:rsidR="00011E57" w:rsidRPr="00011E57">
        <w:rPr>
          <w:noProof/>
        </w:rPr>
        <w:t>, 2022)</w:t>
      </w:r>
      <w:r>
        <w:fldChar w:fldCharType="end"/>
      </w:r>
      <w:r w:rsidRPr="0021033A">
        <w:t>.</w:t>
      </w:r>
    </w:p>
    <w:p w14:paraId="6AB5C1E6" w14:textId="34A3D65E" w:rsidR="0021033A" w:rsidRDefault="000A5DB2" w:rsidP="00FC4A09">
      <w:pPr>
        <w:jc w:val="both"/>
      </w:pPr>
      <w:r w:rsidRPr="000A5DB2">
        <w:t>The exceedance rate of pesticide levels in foodstuffs over Codex MRLs in Iran was 19%.</w:t>
      </w:r>
      <w:r w:rsidR="004904C0" w:rsidRPr="004904C0">
        <w:t xml:space="preserve"> The meta-analysis showed that 58% of pesticide-food pairs lacked Codex maximum residue levels (MRLs), 34% had pesticide levels below these limits, and 8% exceeded them. Based on the average HQs, two foodstuffs (onion and tangerine) and two pesticides (</w:t>
      </w:r>
      <w:proofErr w:type="spellStart"/>
      <w:r w:rsidR="004904C0" w:rsidRPr="004904C0">
        <w:t>haloxyfop</w:t>
      </w:r>
      <w:proofErr w:type="spellEnd"/>
      <w:r w:rsidR="004904C0" w:rsidRPr="004904C0">
        <w:t>-R-methyl and cyhalothrin) exhibited unacceptable non-cancer risk (&gt;1.0). The average ILCR value of lindane was assessed to be at the unacceptable level (1.4 × 10−4).</w:t>
      </w:r>
      <w:r w:rsidR="009D5CCC" w:rsidRPr="009D5CCC">
        <w:t xml:space="preserve"> </w:t>
      </w:r>
      <w:r w:rsidR="009D5CCC" w:rsidRPr="009D5CCC">
        <w:rPr>
          <w:color w:val="EE0000"/>
        </w:rPr>
        <w:t>Assessment of health risk and burden of disease associated with dietary exposure to pesticide residues through foodstuffs in Iran</w:t>
      </w:r>
    </w:p>
    <w:p w14:paraId="036F62B5" w14:textId="53FF1C3D" w:rsidR="00F42CFF" w:rsidRDefault="00F42CFF" w:rsidP="00FC4A09">
      <w:pPr>
        <w:jc w:val="both"/>
      </w:pPr>
      <w:r w:rsidRPr="00F42CFF">
        <w:t xml:space="preserve">Overall, the estimated daily exposure for each pesticide-produce combination was below the corresponding HBGV for all exposure scenarios. The current analysis demonstrates that excessive produce-specific pesticide exposure is unexpected as the amount of produce that would need to be consumed on a chronic basis, even among children, far exceeds typical dietary intake. </w:t>
      </w:r>
      <w:r w:rsidRPr="00F42CFF">
        <w:rPr>
          <w:color w:val="EE0000"/>
        </w:rPr>
        <w:t>A screening-level human health risk assessment of dietary intake of pesticide residues in produce as compared to consumer guide recommendations</w:t>
      </w:r>
    </w:p>
    <w:p w14:paraId="10C5F871" w14:textId="79AD2B9F" w:rsidR="00E13006" w:rsidRDefault="00E13006" w:rsidP="00FC4A09">
      <w:pPr>
        <w:jc w:val="both"/>
      </w:pPr>
      <w:r w:rsidRPr="00E13006">
        <w:t>For the first time, a multi-</w:t>
      </w:r>
      <w:proofErr w:type="spellStart"/>
      <w:r w:rsidRPr="00E13006">
        <w:t>centre</w:t>
      </w:r>
      <w:proofErr w:type="spellEnd"/>
      <w:r w:rsidRPr="00E13006">
        <w:t xml:space="preserve"> Total Diet Study was carried out in Benin, Cameroon, Mali and Nigeria. We collected and prepared as consumed 528 typical fatty foods from those areas and pooled these subsamples into 44 composites samples.</w:t>
      </w:r>
      <w:r w:rsidR="00CF2510" w:rsidRPr="00CF2510">
        <w:rPr>
          <w:rFonts w:ascii="AdvOT596495f2" w:hAnsi="AdvOT596495f2"/>
          <w:color w:val="000000"/>
          <w:sz w:val="14"/>
          <w:szCs w:val="14"/>
        </w:rPr>
        <w:t xml:space="preserve"> </w:t>
      </w:r>
      <w:r w:rsidR="00CF2510" w:rsidRPr="00CF2510">
        <w:t>The POPs contamination levels were similar or lower than those reported in total diet studies previously conducted worldwide. In most cases, core foods belonging to fish food group presented higher POPs concentrations than the other food groups. Interestingly, we observed a difference in both contamination profile and concentration for smoked fish compared to non-smoked fish. Such finding suggests that the smoking process itself might account for a large proportion of the contamination</w:t>
      </w:r>
      <w:r w:rsidR="00EA2CC1">
        <w:t>.</w:t>
      </w:r>
      <w:r w:rsidR="00EA2CC1" w:rsidRPr="00EA2CC1">
        <w:rPr>
          <w:rFonts w:ascii="AdvOT596495f2" w:hAnsi="AdvOT596495f2"/>
          <w:color w:val="000000"/>
          <w:sz w:val="16"/>
          <w:szCs w:val="16"/>
        </w:rPr>
        <w:t xml:space="preserve"> </w:t>
      </w:r>
      <w:r w:rsidR="00EA2CC1" w:rsidRPr="00EA2CC1">
        <w:t xml:space="preserve">Eight OCs listed in the Stockholm Convention (aldrin, hexachlorocyclohexane, chlordane, dieldrin, endrin, heptachlor, lindane, and DDT) were measured with an analytical method characterized by a LOD of 3 µg/kg ww and a LOQ of 10 µg/kg ww. None of these organochlorine pesticides was detected in any tested composite sample. </w:t>
      </w:r>
      <w:r w:rsidR="00EA2CC1">
        <w:t xml:space="preserve"> </w:t>
      </w:r>
      <w:r w:rsidR="002133EA" w:rsidRPr="002133EA">
        <w:rPr>
          <w:color w:val="EE0000"/>
        </w:rPr>
        <w:t>Levels of persistent organic pollutants (POPs) in foods from the first regional Sub-Saharan Africa Total Diet Study</w:t>
      </w:r>
    </w:p>
    <w:p w14:paraId="75C0FD26" w14:textId="57DDA196" w:rsidR="00CF2510" w:rsidRPr="00104508" w:rsidRDefault="00104508" w:rsidP="00483E02">
      <w:pPr>
        <w:jc w:val="both"/>
        <w:rPr>
          <w:lang w:val="en-GB"/>
        </w:rPr>
      </w:pPr>
      <w:r w:rsidRPr="00104508">
        <w:rPr>
          <w:lang w:val="en-GB"/>
        </w:rPr>
        <w:t>In the framework of the first regional Total Diet Study in Sub-Saharan Africa, 3696 foodstuffs, commonly consumed in Benin, Cameroon, Mali and Nigeria were purchased, prepared as consumed and pooled into 308 composite samples. Those core foods were tested for up to 470 pesticides residues by liquid and gas chromatography coupled with tandem mass spectrometry.</w:t>
      </w:r>
      <w:r>
        <w:rPr>
          <w:lang w:val="en-GB"/>
        </w:rPr>
        <w:t xml:space="preserve"> </w:t>
      </w:r>
      <w:r w:rsidRPr="00104508">
        <w:rPr>
          <w:lang w:val="en-GB"/>
        </w:rPr>
        <w:t xml:space="preserve">39 pesticides were detected with 294 total occurrences, including 47.3% organophosphate pesticides and 35.7% pyrethroids. More specifically, 6 substances represented 75.5% of all 3 organophosphates and 3 pyrethroids: chlorpyrifos (22.4%) </w:t>
      </w:r>
      <w:r w:rsidRPr="00104508">
        <w:rPr>
          <w:lang w:val="en-GB"/>
        </w:rPr>
        <w:lastRenderedPageBreak/>
        <w:t xml:space="preserve">cypermethrin (18.0%) dichlorvos (13.6%), lambda cyhalothrin (8.2%), permethrin (7.5%) and </w:t>
      </w:r>
      <w:proofErr w:type="spellStart"/>
      <w:r w:rsidRPr="00104508">
        <w:rPr>
          <w:lang w:val="en-GB"/>
        </w:rPr>
        <w:t>profenofos</w:t>
      </w:r>
      <w:proofErr w:type="spellEnd"/>
      <w:r w:rsidRPr="00104508">
        <w:rPr>
          <w:lang w:val="en-GB"/>
        </w:rPr>
        <w:t xml:space="preserve"> (5.8%).</w:t>
      </w:r>
      <w:r>
        <w:rPr>
          <w:lang w:val="en-GB"/>
        </w:rPr>
        <w:t xml:space="preserve"> </w:t>
      </w:r>
      <w:r w:rsidRPr="00104508">
        <w:rPr>
          <w:lang w:val="en-GB"/>
        </w:rPr>
        <w:t>One pesticide or more was detected in 45.8% of samples.</w:t>
      </w:r>
      <w:r w:rsidR="00483E02" w:rsidRPr="00483E02">
        <w:rPr>
          <w:rFonts w:ascii="CharisSIL" w:eastAsia="Times New Roman" w:hAnsi="CharisSIL" w:cs="Times New Roman"/>
          <w:color w:val="000000"/>
          <w:kern w:val="0"/>
          <w:sz w:val="16"/>
          <w:szCs w:val="16"/>
          <w:lang w:val="en-GB" w:eastAsia="en-GB"/>
          <w14:ligatures w14:val="none"/>
        </w:rPr>
        <w:t xml:space="preserve"> </w:t>
      </w:r>
      <w:r w:rsidR="00483E02" w:rsidRPr="00483E02">
        <w:rPr>
          <w:lang w:val="en-GB"/>
        </w:rPr>
        <w:t>No pesticide residue was detected &gt; LD in any of the 16 tap water composite samples.</w:t>
      </w:r>
      <w:r w:rsidR="00483E02">
        <w:rPr>
          <w:lang w:val="en-GB"/>
        </w:rPr>
        <w:t xml:space="preserve"> </w:t>
      </w:r>
      <w:r w:rsidR="00483E02" w:rsidRPr="00483E02">
        <w:rPr>
          <w:lang w:val="en-GB"/>
        </w:rPr>
        <w:t>The list and proportion of detected pesticide residues with concentration &gt; LD is presented in Table 1. Fig. 1 shows that 89.8% of pesticide occurrences concern insecticides and 4.8% are fungicides.</w:t>
      </w:r>
      <w:r w:rsidR="00483E02">
        <w:rPr>
          <w:lang w:val="en-GB"/>
        </w:rPr>
        <w:t xml:space="preserve"> </w:t>
      </w:r>
      <w:proofErr w:type="spellStart"/>
      <w:r w:rsidR="00483E02" w:rsidRPr="00483E02">
        <w:rPr>
          <w:lang w:val="en-GB"/>
        </w:rPr>
        <w:t>Organophoshates</w:t>
      </w:r>
      <w:proofErr w:type="spellEnd"/>
      <w:r w:rsidR="00483E02" w:rsidRPr="00483E02">
        <w:rPr>
          <w:lang w:val="en-GB"/>
        </w:rPr>
        <w:t xml:space="preserve"> (47.3% of detected compounds) and pyrethroids (35.7%) represented the majority of occurrences, while neonicotinoids (acetamiprid and imidacloprid) represented 5.1% of all occurrences.</w:t>
      </w:r>
      <w:r w:rsidR="00483E02">
        <w:rPr>
          <w:lang w:val="en-GB"/>
        </w:rPr>
        <w:t xml:space="preserve"> </w:t>
      </w:r>
      <w:r w:rsidR="00483E02" w:rsidRPr="00483E02">
        <w:rPr>
          <w:lang w:val="en-GB"/>
        </w:rPr>
        <w:t xml:space="preserve">Other pesticides (21 analytes) represented 35 incidences or 11.9% of total occurrence. </w:t>
      </w:r>
      <w:r w:rsidR="007930C5" w:rsidRPr="007930C5">
        <w:t xml:space="preserve">Of 308 composite food samples, no pesticide residue was detected in 167 samples (54.2%). Whereas one pesticide only was detected in 72 samples (23.4%), 69 samples contained more than one and up to 8 pesticides (22.4%) and 36 samples contained 3 pesticides or more (11.7%). </w:t>
      </w:r>
      <w:r w:rsidRPr="00104508">
        <w:rPr>
          <w:rFonts w:ascii="CharisSIL" w:hAnsi="CharisSIL"/>
          <w:color w:val="000000"/>
          <w:sz w:val="28"/>
          <w:szCs w:val="28"/>
        </w:rPr>
        <w:t xml:space="preserve"> </w:t>
      </w:r>
      <w:r w:rsidRPr="00104508">
        <w:rPr>
          <w:color w:val="EE0000"/>
        </w:rPr>
        <w:t>Sub-Saharan Africa total diet study in Benin, Cameroon, Mali and Nigeria: Pesticides occurrence in foods</w:t>
      </w:r>
    </w:p>
    <w:p w14:paraId="68A1F856" w14:textId="18D5276E" w:rsidR="00CF2510" w:rsidRDefault="00697AFA" w:rsidP="00FC4A09">
      <w:pPr>
        <w:jc w:val="both"/>
      </w:pPr>
      <w:r w:rsidRPr="00697AFA">
        <w:t>This study identified 111 PRs belonging to different chemical groups, mainly organophosphates and organochlorines, in 26 fruit and vegetable samples consumed and exported by Brazil. Sixteen of these PRs were above the Maximum Residue Limit (MRL) established by local and international legislation. We did not identify severe acute and chronic dietary risks, but the highest risk values were observed in São Paulo and Santa Catarina, associated with the consumption of tomatoes and sweet peppers due to the high concentrations of organophosphates.</w:t>
      </w:r>
      <w:r w:rsidRPr="00697AFA">
        <w:rPr>
          <w:rFonts w:ascii="CharisSIL" w:hAnsi="CharisSIL"/>
          <w:color w:val="000000"/>
          <w:sz w:val="28"/>
          <w:szCs w:val="28"/>
        </w:rPr>
        <w:t xml:space="preserve"> </w:t>
      </w:r>
      <w:r w:rsidRPr="00697AFA">
        <w:rPr>
          <w:color w:val="EE0000"/>
        </w:rPr>
        <w:t>Consumption of fruits and vegetables contaminated with pesticide residues in Brazil: A systematic review with health risk assessment</w:t>
      </w:r>
    </w:p>
    <w:p w14:paraId="0EE4BF06" w14:textId="07EC2977" w:rsidR="004B6ED1" w:rsidRDefault="003242EC" w:rsidP="00EE6049">
      <w:pPr>
        <w:jc w:val="both"/>
      </w:pPr>
      <w:r>
        <w:t>We reviewed the literature on pesticides in fruits and vegetables in Middle East. Up to 61% of the samples contain insecticides above the authorized limits.</w:t>
      </w:r>
      <w:r w:rsidRPr="003242EC">
        <w:t xml:space="preserve"> We conclude that insecticides are often reported at levels above the Codex Maximum Residue Levels (MRLs) leading to potential exceedance of the Health Based Guidance Values established by FAO and WHO. Moreover, several organochlorine pesticides listed under the Stockholm Convention on Persistent Organic Pollutants (POPs) have been repeatedly reported in fruits and vegetables.</w:t>
      </w:r>
      <w:r w:rsidR="00EE6049">
        <w:t xml:space="preserve"> </w:t>
      </w:r>
      <w:r w:rsidR="00EE6049" w:rsidRPr="00EE6049">
        <w:rPr>
          <w:color w:val="EE0000"/>
        </w:rPr>
        <w:t>Occurrence of pesticide residues in fruits and vegetables for the Eastern Mediterranean Region and potential impact on public health</w:t>
      </w:r>
    </w:p>
    <w:p w14:paraId="26405484" w14:textId="35C44A08" w:rsidR="00EE6049" w:rsidRDefault="007C7DBA" w:rsidP="00EE6049">
      <w:pPr>
        <w:jc w:val="both"/>
      </w:pPr>
      <w:r w:rsidRPr="007C7DBA">
        <w:t>Pesticide residues in agricultural products are inevitable but must be kept below legal limits to guarantee that exposure of the consumer does not exceed safe levels. Substance-specific health-based guidance values for long-term or acute dietary exposure are currently based on studies in laboratory animals, in which doses without adverse health effects serve as the point of departure for their derivation. While the system has so far delivered well in terms of public health protection, it is increasingly challenged to develop further by using new approach methodologies. The potential of these methods not only lies in their reduced animal use but, more importantly, in their ability to use human-derived systems, thus producing data closer to the species of interest as well as enabling a more mechanistic interpretation of any toxicities observed.</w:t>
      </w:r>
      <w:r w:rsidRPr="007C7DBA">
        <w:rPr>
          <w:rFonts w:ascii="Caslon540LTStd-Roman" w:hAnsi="Caslon540LTStd-Roman"/>
          <w:color w:val="000000"/>
          <w:sz w:val="20"/>
          <w:szCs w:val="20"/>
        </w:rPr>
        <w:t xml:space="preserve"> </w:t>
      </w:r>
      <w:r w:rsidRPr="007C7DBA">
        <w:t>Regulatory bodies worldwide are tasked to establish, for the individual pesticidal substances and — where applicable — their metabolites, health-based guidance values (HBGV), which are defined as exposure limits below which adverse health effects on exposed humans are unlikely.</w:t>
      </w:r>
      <w:r w:rsidR="00955CD9" w:rsidRPr="00955CD9">
        <w:rPr>
          <w:rFonts w:ascii="Caslon540LTStd-Roman" w:hAnsi="Caslon540LTStd-Roman"/>
          <w:color w:val="000000"/>
          <w:sz w:val="20"/>
          <w:szCs w:val="20"/>
        </w:rPr>
        <w:t xml:space="preserve"> </w:t>
      </w:r>
      <w:r w:rsidR="00955CD9" w:rsidRPr="00955CD9">
        <w:t>The traditional system of toxicological evaluation of pesticides is currently challenged but this is less due to its track record in toxicological health protection but more because of a need for changes as to meet future expectations.</w:t>
      </w:r>
      <w:r w:rsidR="009A60B2" w:rsidRPr="009A60B2">
        <w:rPr>
          <w:rFonts w:ascii="HelveticaNeueLTStd-Bd" w:hAnsi="HelveticaNeueLTStd-Bd"/>
          <w:b/>
          <w:bCs/>
          <w:color w:val="000000"/>
          <w:sz w:val="32"/>
          <w:szCs w:val="32"/>
        </w:rPr>
        <w:t xml:space="preserve"> </w:t>
      </w:r>
      <w:r w:rsidR="009A60B2" w:rsidRPr="009A60B2">
        <w:rPr>
          <w:b/>
          <w:bCs/>
          <w:color w:val="EE0000"/>
        </w:rPr>
        <w:t>Traditional and novel approaches to derive health-based guidance values for pesticides</w:t>
      </w:r>
    </w:p>
    <w:p w14:paraId="2534875D" w14:textId="26D13DD3" w:rsidR="00395CC1" w:rsidRDefault="006A5BEC" w:rsidP="00EE6049">
      <w:pPr>
        <w:jc w:val="both"/>
      </w:pPr>
      <w:r w:rsidRPr="006A5BEC">
        <w:t>The public health effect of foodborne diseases globally is unknown</w:t>
      </w:r>
      <w:r w:rsidR="00270199">
        <w:t xml:space="preserve"> </w:t>
      </w:r>
      <w:r w:rsidR="00270199">
        <w:fldChar w:fldCharType="begin" w:fldLock="1"/>
      </w:r>
      <w:r w:rsidR="00BF2004">
        <w:instrText>ADDIN CSL_CITATION {"citationItems":[{"id":"ITEM-1","itemData":{"DOI":"10.1016/s0140-6736(13)61313-6","ISSN":"01406736","abstract":"BackgroundThe public health impact of foodborne diseases globally is unknown. The WHO Initiative to Estimate the Global Burden of Foodborne Diseases was launched out of the need to fill this data gap. It is anticipated that this effort will enable policy makers and other stakeholders to set appropriate, evidence-informed priorities in the area of food safety.\\nMethodsThe Initiative aims to provide estimates on the global burden of foodborne diseases by age, sex, and region; strengthen country capacity for conducting burden of foodborne disease assessments in parallel with food safety policy analyses; increase awareness and commitment among Member States for the implementation of food safety policy and standards; and encourage countries to use burden of foodborne disease estimates for cost-effectiveness analyses of prevention, intervention, and control measures. To estimate the global burden (expressed in disability-adjusted life-years), the Foodborne Disease Burden Epidemiology Reference Group (FERG) focused on the contamination of food with enteric and parasitic pathogens, chemicals, and toxins.\\nFindingsStudy findings will provide the technical background and challenges of assessing the burden of foodborne diseases, based on national and international studies. Systematic reviews to support estimates of the incidence and mortality of food-related diseases are being completed. Results will be used to update and refine global burden estimates for relevant food-related hazards, in the context of other international burden of disease studies. It is recognised that exposure to such hazards may also occur through other pathways including the environment (eg, water, air) and by direct transmission (eg, human-to-human and animal-to-human). Structured expert elicitation will be used to provide the basis for attribution of incidence and burden to food, and estimation of the most important food sources.\\nInterpretationEstimating the global burden of foodborne diseases is highly complex because of the diversity of hazards that can be transmitted by food, the multitude of health outcomes they cause, and complex transmission pathways. WHO is planning to present a global estimate for the first time in 2014.\\nFundingWHO.","author":[{"dropping-particle":"","family":"Havelaar","given":"Arie H","non-dropping-particle":"","parse-names":false,"suffix":""},{"dropping-particle":"","family":"Cawthorne","given":"Amy","non-dropping-particle":"","parse-names":false,"suffix":""},{"dropping-particle":"","family":"Angulo","given":"Fred","non-dropping-particle":"","parse-names":false,"suffix":""},{"dropping-particle":"","family":"Bellinger","given":"David","non-dropping-particle":"","parse-names":false,"suffix":""},{"dropping-particle":"","family":"Corrigan","given":"Tim","non-dropping-particle":"","parse-names":false,"suffix":""},{"dropping-particle":"","family":"Cravioto","given":"Alejandro","non-dropping-particle":"","parse-names":false,"suffix":""},{"dropping-particle":"","family":"Gibb","given":"Herman","non-dropping-particle":"","parse-names":false,"suffix":""},{"dropping-particle":"","family":"Hald","given":"Tine","non-dropping-particle":"","parse-names":false,"suffix":""},{"dropping-particle":"","family":"Ehiri","given":"John","non-dropping-particle":"","parse-names":false,"suffix":""},{"dropping-particle":"","family":"Kirk","given":"Maryn","non-dropping-particle":"","parse-names":false,"suffix":""},{"dropping-particle":"","family":"Lake","given":"Rob","non-dropping-particle":"","parse-names":false,"suffix":""},{"dropping-particle":"","family":"Praet","given":"Nicolas","non-dropping-particle":"","parse-names":false,"suffix":""},{"dropping-particle":"","family":"Speybroeck","given":"Niko","non-dropping-particle":"","parse-names":false,"suffix":""},{"dropping-particle":"","family":"Silva","given":"Nilanthi","non-dropping-particle":"de","parse-names":false,"suffix":""},{"dropping-particle":"","family":"Stein","given":"Claudia","non-dropping-particle":"","parse-names":false,"suffix":""},{"dropping-particle":"","family":"Torgerson","given":"Paul","non-dropping-particle":"","parse-names":false,"suffix":""},{"dropping-particle":"","family":"Kuchenmüller","given":"Tanja","non-dropping-particle":"","parse-names":false,"suffix":""}],"container-title":"The Lancet","id":"ITEM-1","issued":{"date-parts":[["2013"]]},"page":"S59","title":"WHO Initiative to Estimate the Global Burden of Foodborne Diseases","type":"article-journal","volume":"381"},"uris":["http://www.mendeley.com/documents/?uuid=104306e5-69d5-4a30-b747-29c9bd08ffa3"]}],"mendeley":{"formattedCitation":"(Havelaar &lt;i&gt;et al.&lt;/i&gt;, 2013)","plainTextFormattedCitation":"(Havelaar et al., 2013)","previouslyFormattedCitation":"(Havelaar &lt;i&gt;et al.&lt;/i&gt;, 2013)"},"properties":{"noteIndex":0},"schema":"https://github.com/citation-style-language/schema/raw/master/csl-citation.json"}</w:instrText>
      </w:r>
      <w:r w:rsidR="00270199">
        <w:fldChar w:fldCharType="separate"/>
      </w:r>
      <w:r w:rsidR="00011E57" w:rsidRPr="00011E57">
        <w:rPr>
          <w:noProof/>
        </w:rPr>
        <w:t xml:space="preserve">(Havelaar </w:t>
      </w:r>
      <w:r w:rsidR="00011E57" w:rsidRPr="00011E57">
        <w:rPr>
          <w:i/>
          <w:noProof/>
        </w:rPr>
        <w:t>et al.</w:t>
      </w:r>
      <w:r w:rsidR="00011E57" w:rsidRPr="00011E57">
        <w:rPr>
          <w:noProof/>
        </w:rPr>
        <w:t>, 2013)</w:t>
      </w:r>
      <w:r w:rsidR="00270199">
        <w:fldChar w:fldCharType="end"/>
      </w:r>
      <w:r w:rsidRPr="006A5BEC">
        <w:t xml:space="preserve">. </w:t>
      </w:r>
      <w:r w:rsidR="00395CC1" w:rsidRPr="00395CC1">
        <w:t xml:space="preserve">Although achieving SDG2, SDG3, SDG8, SDG10, and SDG121 will be necessary to address the issue of high food </w:t>
      </w:r>
      <w:r w:rsidR="00395CC1" w:rsidRPr="00395CC1">
        <w:lastRenderedPageBreak/>
        <w:t>chemical exposure, additional efforts will still be needed. Therefore, although technically possible, addressing the safety issues caused by these food chemicals remains challenging.</w:t>
      </w:r>
    </w:p>
    <w:p w14:paraId="1406994F" w14:textId="6FCC2757" w:rsidR="00C67364" w:rsidRDefault="006A5BEC" w:rsidP="00EE6049">
      <w:pPr>
        <w:jc w:val="both"/>
      </w:pPr>
      <w:r w:rsidRPr="006A5BEC">
        <w:t>Assessing long-term effects of chronic exposure to chemicals is a challenge. Studying the adverse effects of chemicals is complex because of the various exposure routes and the multiple causes of health outcomes.</w:t>
      </w:r>
      <w:r w:rsidR="00F012AB" w:rsidRPr="00F012AB">
        <w:rPr>
          <w:rFonts w:ascii="ScalaLancetPro" w:hAnsi="ScalaLancetPro"/>
          <w:color w:val="000000"/>
          <w:sz w:val="18"/>
          <w:szCs w:val="18"/>
        </w:rPr>
        <w:t xml:space="preserve"> </w:t>
      </w:r>
      <w:r w:rsidR="00F012AB" w:rsidRPr="00F012AB">
        <w:t>To ascertain the extent to which actual human dietary exposure to food chemicals is likely to harm consumers’ health, it is pertinent to assess risks by combining food contamination and food consumption data (dietary exposure) with available toxicological studies.</w:t>
      </w:r>
      <w:r w:rsidR="00395CC1">
        <w:t xml:space="preserve"> </w:t>
      </w:r>
      <w:r w:rsidR="00161689" w:rsidRPr="00161689">
        <w:t>From systematic screening of 470 pesticides in total diet study food samples from sub-Saharan Africa, 39 pesticides were detected,21 mainly organophosphate pesticides and pyrethroids. The 95th percentile dietary exposures to detected pesticides never exceeded 70% of JMPR acceptable daily intake, with the maximalist upper-bound hypothesis.</w:t>
      </w:r>
      <w:r w:rsidR="00161689" w:rsidRPr="00161689">
        <w:rPr>
          <w:rFonts w:ascii="ScalaLancetPro" w:hAnsi="ScalaLancetPro"/>
          <w:color w:val="000000"/>
          <w:sz w:val="18"/>
          <w:szCs w:val="18"/>
        </w:rPr>
        <w:t xml:space="preserve"> </w:t>
      </w:r>
      <w:r w:rsidR="00161689" w:rsidRPr="00161689">
        <w:t xml:space="preserve">Figure 2 shows the risk </w:t>
      </w:r>
      <w:proofErr w:type="spellStart"/>
      <w:r w:rsidR="00161689" w:rsidRPr="00161689">
        <w:t>characterisation</w:t>
      </w:r>
      <w:proofErr w:type="spellEnd"/>
      <w:r w:rsidR="00161689" w:rsidRPr="00161689">
        <w:t xml:space="preserve"> scorecard, </w:t>
      </w:r>
      <w:proofErr w:type="spellStart"/>
      <w:r w:rsidR="00161689" w:rsidRPr="00161689">
        <w:t>summarising</w:t>
      </w:r>
      <w:proofErr w:type="spellEnd"/>
      <w:r w:rsidR="00161689" w:rsidRPr="00161689">
        <w:t xml:space="preserve"> the chemical hazards for which degree of health concern could not be ruled out.</w:t>
      </w:r>
      <w:r w:rsidR="00395CC1">
        <w:t xml:space="preserve"> </w:t>
      </w:r>
      <w:r w:rsidR="00C67364" w:rsidRPr="00C67364">
        <w:t xml:space="preserve">The generation of data for the occurrence of chemicals in food in sub-Saharan Africa is not, as such, a new finding; our previous work has described chemical concentration patterns in food.19–23 However, use of dietary data representing, by weight, more than 90% of foods prepared as consumed by households in eight study </w:t>
      </w:r>
      <w:proofErr w:type="spellStart"/>
      <w:r w:rsidR="00C67364" w:rsidRPr="00C67364">
        <w:t>centres</w:t>
      </w:r>
      <w:proofErr w:type="spellEnd"/>
      <w:r w:rsidR="00C67364" w:rsidRPr="00C67364">
        <w:t>, the precise analytical results attributable to various applications of mass spectrometry, and the wide range of analytes covered by this study are unprecedented in Africa.</w:t>
      </w:r>
      <w:r w:rsidR="00DA5DF2" w:rsidRPr="00DA5DF2">
        <w:rPr>
          <w:rFonts w:ascii="ScalaLancetPro" w:hAnsi="ScalaLancetPro"/>
          <w:color w:val="000000"/>
          <w:sz w:val="18"/>
          <w:szCs w:val="18"/>
        </w:rPr>
        <w:t xml:space="preserve"> </w:t>
      </w:r>
      <w:r w:rsidR="00DA5DF2" w:rsidRPr="00DA5DF2">
        <w:t>Second, national food safety authorities, in conjunction with national and international partners from the health, agriculture, and trade sectors, are invited to draft national roadmaps, including a selection of risk-mitigation options, and to extensively communicate their conclusions to national leaders.</w:t>
      </w:r>
      <w:r w:rsidR="00831358" w:rsidRPr="00831358">
        <w:rPr>
          <w:rFonts w:ascii="ScalaLancetPro" w:hAnsi="ScalaLancetPro"/>
          <w:color w:val="000000"/>
          <w:sz w:val="18"/>
          <w:szCs w:val="18"/>
        </w:rPr>
        <w:t xml:space="preserve"> </w:t>
      </w:r>
      <w:r w:rsidR="00831358" w:rsidRPr="00831358">
        <w:t>Third, it is primarily the role of governments to regulate and enforce national food standards to improve the safety of the food supply and to act to protect the health of consumers in sub-Saharan Africa. Food safety is, however, a collective responsibility.</w:t>
      </w:r>
      <w:r w:rsidR="00831358" w:rsidRPr="00831358">
        <w:rPr>
          <w:rFonts w:ascii="Shaker2Lancet-Bold" w:hAnsi="Shaker2Lancet-Bold"/>
          <w:b/>
          <w:bCs/>
          <w:color w:val="000000"/>
          <w:sz w:val="36"/>
          <w:szCs w:val="36"/>
        </w:rPr>
        <w:t xml:space="preserve"> </w:t>
      </w:r>
      <w:r w:rsidR="00831358" w:rsidRPr="003445EF">
        <w:rPr>
          <w:color w:val="EE0000"/>
        </w:rPr>
        <w:t>Human dietary exposure to chemicals in sub-Saharan Africa: safety assessment through a total diet study</w:t>
      </w:r>
    </w:p>
    <w:p w14:paraId="56EE3548" w14:textId="055371A6" w:rsidR="003445EF" w:rsidRDefault="003C18E4" w:rsidP="00EE6049">
      <w:pPr>
        <w:jc w:val="both"/>
      </w:pPr>
      <w:r w:rsidRPr="003C18E4">
        <w:t>The surest ways to markedly reduce pesticide dietary risks are to shift relatively high-risk fruits and vegetables to organic production. For other foods, reducing reliance on pesticides overall, and especially high-risk pesticides, will incrementally lower risks.</w:t>
      </w:r>
      <w:r w:rsidRPr="003C18E4">
        <w:rPr>
          <w:rFonts w:ascii="JhfjkdAdvTTe45e47d2" w:hAnsi="JhfjkdAdvTTe45e47d2"/>
          <w:color w:val="131413"/>
          <w:sz w:val="48"/>
          <w:szCs w:val="48"/>
        </w:rPr>
        <w:t xml:space="preserve"> </w:t>
      </w:r>
      <w:r w:rsidRPr="003C18E4">
        <w:rPr>
          <w:color w:val="EE0000"/>
        </w:rPr>
        <w:t>The dietary risk index system: a tool to track pesticide dietary risks</w:t>
      </w:r>
    </w:p>
    <w:p w14:paraId="1FD5E8C8" w14:textId="6BBBC056" w:rsidR="003445EF" w:rsidRPr="002B3766" w:rsidRDefault="002B3766" w:rsidP="002B3766">
      <w:pPr>
        <w:jc w:val="both"/>
        <w:rPr>
          <w:lang w:val="en-GB"/>
        </w:rPr>
      </w:pPr>
      <w:r w:rsidRPr="002B3766">
        <w:rPr>
          <w:lang w:val="en-GB"/>
        </w:rPr>
        <w:t>In the context of a review of models and methodologies used by JMPR to assess acute dietary exposure to pesticide residues, WHO performed a probabilistic dietary exposure assessment, which takes</w:t>
      </w:r>
      <w:r>
        <w:rPr>
          <w:lang w:val="en-GB"/>
        </w:rPr>
        <w:t xml:space="preserve"> </w:t>
      </w:r>
      <w:r w:rsidRPr="002B3766">
        <w:rPr>
          <w:lang w:val="en-GB"/>
        </w:rPr>
        <w:t>into consideration actual measured pesticide residues and agricultural practices, to serve as a “real world”–based</w:t>
      </w:r>
      <w:r>
        <w:rPr>
          <w:lang w:val="en-GB"/>
        </w:rPr>
        <w:t xml:space="preserve"> </w:t>
      </w:r>
      <w:r w:rsidRPr="002B3766">
        <w:rPr>
          <w:lang w:val="en-GB"/>
        </w:rPr>
        <w:t>estimate of the actual acute dietary exposure to 38 pesticides in eight countries. The results show the absence of appreciable risk for all countries and populations considered, even with the conservative scenario based on 100% usage of pesticides in all foods. Moreover, our results indicate that, with only a few exceptions, most of the CXLs established by the Codex Alimentarius Commission would provide a high level of protection even if risk man</w:t>
      </w:r>
      <w:r w:rsidRPr="002B3766">
        <w:rPr>
          <w:lang w:val="en-GB"/>
        </w:rPr>
        <w:softHyphen/>
        <w:t xml:space="preserve"> agers do not request a specific level of protection from risk assessors.</w:t>
      </w:r>
      <w:r w:rsidRPr="002B3766">
        <w:rPr>
          <w:rFonts w:ascii="CharisSIL" w:hAnsi="CharisSIL"/>
          <w:color w:val="000000"/>
          <w:sz w:val="28"/>
          <w:szCs w:val="28"/>
        </w:rPr>
        <w:t xml:space="preserve"> </w:t>
      </w:r>
      <w:r w:rsidRPr="002B3766">
        <w:rPr>
          <w:color w:val="EE0000"/>
        </w:rPr>
        <w:t>An international probabilistic risk assessment of acute dietary exposure to pesticide residues in relation to codex maximum residue limits for pesticides in food</w:t>
      </w:r>
    </w:p>
    <w:p w14:paraId="0CFCCD7B" w14:textId="04550B05" w:rsidR="003C18E4" w:rsidRDefault="00EF7AF1" w:rsidP="00EE6049">
      <w:pPr>
        <w:jc w:val="both"/>
      </w:pPr>
      <w:r w:rsidRPr="00EF7AF1">
        <w:t xml:space="preserve">Thus, several strategies have been employed to lower the concentrations of pesticide residues in F&amp;V. Food processing is one of these ways to guarantee safety, extend shelf-life, maintain or enhance food quality by changing the nutrient </w:t>
      </w:r>
      <w:proofErr w:type="spellStart"/>
      <w:r w:rsidRPr="00EF7AF1">
        <w:t>bioaccessibility</w:t>
      </w:r>
      <w:proofErr w:type="spellEnd"/>
      <w:r>
        <w:t xml:space="preserve">. </w:t>
      </w:r>
      <w:r w:rsidR="0087628B" w:rsidRPr="0087628B">
        <w:t>There is diversified information available in literature on the effect of preparation, processing and subsequent handling and storage of foods on pesticide residues</w:t>
      </w:r>
      <w:r w:rsidR="0087628B">
        <w:t>.</w:t>
      </w:r>
      <w:r w:rsidR="00CA0D2A" w:rsidRPr="00CA0D2A">
        <w:t xml:space="preserve"> </w:t>
      </w:r>
      <w:r w:rsidR="00CA0D2A" w:rsidRPr="00CA0D2A">
        <w:rPr>
          <w:color w:val="EE0000"/>
        </w:rPr>
        <w:t>Effect of handling and processing on pesticide residues in food- a review</w:t>
      </w:r>
      <w:r>
        <w:rPr>
          <w:color w:val="EE0000"/>
        </w:rPr>
        <w:t xml:space="preserve">. </w:t>
      </w:r>
      <w:r w:rsidRPr="00EF7AF1">
        <w:rPr>
          <w:color w:val="EE0000"/>
        </w:rPr>
        <w:t xml:space="preserve">Pesticide residue elimination for </w:t>
      </w:r>
      <w:r w:rsidRPr="00EF7AF1">
        <w:rPr>
          <w:color w:val="EE0000"/>
        </w:rPr>
        <w:lastRenderedPageBreak/>
        <w:t>fruits and vegetables: the mechanisms, applications, and future trends of thermal and non-thermal technologies</w:t>
      </w:r>
    </w:p>
    <w:p w14:paraId="24D02A72" w14:textId="2F7D251A" w:rsidR="005477CA" w:rsidRDefault="005477CA" w:rsidP="00076797">
      <w:pPr>
        <w:jc w:val="both"/>
      </w:pPr>
      <w:r w:rsidRPr="005477CA">
        <w:t xml:space="preserve">In this study, we systematically reviewed 38 articles to assess the efficacy of combined techniques for pesticide residue removal in food. The findings revealed that using combined techniques resulted in significantly higher levels of residue removal. Furthermore, combining emerging techniques with other treatments has demonstrated increased removal efficiency, significantly reducing the variability in the percentage range of residue removal. The synergistic use of ultrasound, ozone, and ultraviolet light techniques demonstrated a notably enhanced efficacy in removing pesticides, resulting in a higher elimination percentage. </w:t>
      </w:r>
      <w:r w:rsidRPr="005477CA">
        <w:rPr>
          <w:color w:val="EE0000"/>
        </w:rPr>
        <w:t>Efficiency of combined techniques in pesticide residues removal from food: a systematic review</w:t>
      </w:r>
    </w:p>
    <w:p w14:paraId="2F7CD532" w14:textId="653E5F05" w:rsidR="00076797" w:rsidRDefault="00076797" w:rsidP="00076797">
      <w:pPr>
        <w:jc w:val="both"/>
      </w:pPr>
      <w:r w:rsidRPr="00076797">
        <w:t xml:space="preserve">However, in some cases, residue levels may increase in the final product due to concentration factors of raw commodities in the process of the final product. This concentration effect can be related with: (1) water removal for example in tomatoes used for tomato ketchup, in the production of dry fruit such as raisins and prunes, or during frying of potatoes; or with (2) accumulation of </w:t>
      </w:r>
      <w:proofErr w:type="spellStart"/>
      <w:r w:rsidRPr="00076797">
        <w:t>lipophylic</w:t>
      </w:r>
      <w:proofErr w:type="spellEnd"/>
      <w:r w:rsidRPr="00076797">
        <w:t xml:space="preserve"> materials in the fatty phase of a food such as butter compared to milk or vegetable oils</w:t>
      </w:r>
      <w:r>
        <w:t>.</w:t>
      </w:r>
      <w:r w:rsidRPr="00076797">
        <w:t xml:space="preserve"> </w:t>
      </w:r>
      <w:r w:rsidRPr="00076797">
        <w:rPr>
          <w:color w:val="EE0000"/>
        </w:rPr>
        <w:t>A Review on the Fate of Pesticides during the Processes within the Food-Production Chain</w:t>
      </w:r>
    </w:p>
    <w:p w14:paraId="60AE1E40" w14:textId="6EF8BFC9" w:rsidR="003C18E4" w:rsidRDefault="00461C8D" w:rsidP="00EE6049">
      <w:pPr>
        <w:jc w:val="both"/>
      </w:pPr>
      <w:r w:rsidRPr="00461C8D">
        <w:t>Residual pesticides and their metabolites can be transferred to and migrated within the food chain through enrichment and bioaccumulation, thus adversely affecting the quality and safety of agricultural products, harming the environment and endangering human health.</w:t>
      </w:r>
      <w:r>
        <w:t xml:space="preserve"> </w:t>
      </w:r>
      <w:r w:rsidR="00E13FE5" w:rsidRPr="00E13FE5">
        <w:rPr>
          <w:color w:val="EE0000"/>
        </w:rPr>
        <w:t>Pesticides: an update of human exposure and toxicity</w:t>
      </w:r>
      <w:r w:rsidR="00E13FE5">
        <w:t xml:space="preserve">. </w:t>
      </w:r>
      <w:r w:rsidR="00661D68" w:rsidRPr="00661D68">
        <w:t>The localization of pesticides in foods varies with the nature of pesticide molecule, type and portion of food material and environmental factors.</w:t>
      </w:r>
      <w:r w:rsidR="00095B35" w:rsidRPr="00095B35">
        <w:t xml:space="preserve"> Pesticides may be introduced to fruits and vegetables during different phases of production. Some pesticides are used before blooming, some while fruits are growing and others after harvesting.</w:t>
      </w:r>
      <w:r w:rsidR="0032271E" w:rsidRPr="0032271E">
        <w:t xml:space="preserve"> Therefore, lipophilic residues were poorly transferred to juice and a substantial amount was retained in the by-products, which frequently included the skin (Halland et al. 1994). In fruits and fruit-type vegetables, the concentration of pesticide residue was higher in the fruit stalk and near the epidermis (exocarp and fruit receptacle) than in the sarcocarp or pericarp. In leaf vegetables, concentration of the pesticide residue was higher in outer leaves than in inner ones (Yoshida et al. 1992).</w:t>
      </w:r>
    </w:p>
    <w:p w14:paraId="56BF3B33" w14:textId="11568886" w:rsidR="003445EF" w:rsidRDefault="00461C8D" w:rsidP="00EE6049">
      <w:pPr>
        <w:jc w:val="both"/>
      </w:pPr>
      <w:r w:rsidRPr="00461C8D">
        <w:t>The quality and safety of agricultural products are essential for health, stability and meeting sustainable development goals. Careful monitoring and strict implementation are important to ensure that only permitted levels of pesticide residues and their metabolites are consumed. Conventional methods for pesticide residue and metabolite detection mainly include gas chromatography, high-performance liquid chromatography, and chromatography-mass spectrometry. These detection methods have good sensitivity, accuracy, precision, and reliability</w:t>
      </w:r>
      <w:r w:rsidR="00FD1F3F">
        <w:t xml:space="preserve">. </w:t>
      </w:r>
      <w:r w:rsidR="00FD1F3F" w:rsidRPr="00FD1F3F">
        <w:rPr>
          <w:color w:val="EE0000"/>
        </w:rPr>
        <w:t>A review of extraction, analytical and advanced methods for determination of pesticides in environment and foodstuffs</w:t>
      </w:r>
      <w:r w:rsidRPr="00461C8D">
        <w:t>. However, their disadvantages include complex sample processing and pretreatment, high costs, the need for trained personnel, and the time taken for detection. These methods fall short of meeting the practical needs of the industry: fast, real-time, and low-cost detection. It is therefore necessary to develop technologies for the rapid detection of pesticide residues.</w:t>
      </w:r>
      <w:r w:rsidR="00B568F3" w:rsidRPr="00B568F3">
        <w:t xml:space="preserve"> Any method used for on-site screening should be easy to operate, high-throughput, and cost-effective, with sufficient sensitivity and a low false negative rate.</w:t>
      </w:r>
      <w:r w:rsidR="00FD1F3F" w:rsidRPr="00FD1F3F">
        <w:t xml:space="preserve"> This review introduces the currently available technologies based on electrochemistry, optical analysis, biotechnology, and some innovative and novel technologies for the rapid detection of pesticide residues, focusing on the characteristics, </w:t>
      </w:r>
      <w:r w:rsidR="00FD1F3F" w:rsidRPr="00FD1F3F">
        <w:lastRenderedPageBreak/>
        <w:t>research status, and application of the most innovative and novel technologies, including enzyme biosensors, immunosensors, aptamer sensors, cell and microbial sensors, surface-enhanced Raman spectroscopy, microfluidic technology, and immunoassays</w:t>
      </w:r>
      <w:r w:rsidR="00FD1F3F">
        <w:t xml:space="preserve">. </w:t>
      </w:r>
      <w:r w:rsidR="00FD1F3F" w:rsidRPr="00BF2004">
        <w:rPr>
          <w:color w:val="EE0000"/>
        </w:rPr>
        <w:t xml:space="preserve">Recent advances in rapid detection techniques for pesticide residue: A review. </w:t>
      </w:r>
    </w:p>
    <w:p w14:paraId="724AB013" w14:textId="19DD1CA7" w:rsidR="004536E7" w:rsidRDefault="00284B6D" w:rsidP="00EE6049">
      <w:pPr>
        <w:jc w:val="both"/>
      </w:pPr>
      <w:r w:rsidRPr="00284B6D">
        <w:t>There is a concern that pesticide residues, regularly detected in foods, might pose a health risk to the consumer, but epidemiological evidence is limited. We assessed the associations between dietary exposure to a mixture of pesticide residues and mortality.</w:t>
      </w:r>
      <w:r w:rsidR="00482587" w:rsidRPr="00482587">
        <w:t xml:space="preserve"> We observed no indications that dietary exposure to pesticide residue mixtures was associated with increased mortality</w:t>
      </w:r>
      <w:r w:rsidR="00482587">
        <w:t xml:space="preserve">. </w:t>
      </w:r>
      <w:r w:rsidR="00482587" w:rsidRPr="00482587">
        <w:rPr>
          <w:color w:val="EE0000"/>
        </w:rPr>
        <w:t>Associations between dietary pesticide residue mixture exposure and mortality in a population-based prospective cohort of men and women</w:t>
      </w:r>
      <w:r w:rsidR="00482587">
        <w:t xml:space="preserve">. </w:t>
      </w:r>
      <w:r w:rsidR="00BF2004" w:rsidRPr="00BF2004">
        <w:t>High-pesticide-residue FV intake was unrelated whereas low-pesticide residue FV intake was inversely related to all-cause mortality, suggesting that exposure to pesticide residues through diet may offset the beneficial effect of FV intake on mortality</w:t>
      </w:r>
      <w:r w:rsidR="00BF2004">
        <w:t xml:space="preserve"> </w:t>
      </w:r>
      <w:r w:rsidR="00BF2004">
        <w:fldChar w:fldCharType="begin" w:fldLock="1"/>
      </w:r>
      <w:r w:rsidR="00BF2004">
        <w:instrText>ADDIN CSL_CITATION {"citationItems":[{"id":"ITEM-1","itemData":{"DOI":"10.1016/j.envint.2021.107024","ISSN":"18736750","PMID":"34894487","abstract":"Background: Intake of conventionally grown fruits and vegetables (FVs) is an important route of exposure to pesticide residues in the general population. However, whether health risk stemming from exposure to pesticides through diet could offset benefits of consuming FVs is unclear. Objective: We assessed the association of FV intake, classified according to their pesticide residue status, with total and cause-specific mortality. Methods: We followed 137,378 women (NHS, 1998–2019, and NHSII, 1999–2019) and 23,502 men (HPFS, 1998–2020) without cardiovascular disease, cancer, or diabetes at baseline. FV intake was assessed using validated food frequency questionnaires and categorized as having high- or low-pesticide-residues using data from the USDA Pesticide Data Program. Cox proportional hazards models were used to estimate hazard ratios (HRs) and 95% confidence intervals (CI) for total and cause-specific mortality associated with high- and low-pesticide-residue FV intake. Results: A total of 27,026 deaths, including 4,318 from CVD and 6,426 from cancer, were documented during 3,081,360 person-years of follow-up. In multivariable-adjusted analyses, participants who consumed ≥4 servings/day of low-pesticide-residue FVs had 36% (95% CI: 32%-41%) lower mortality risk compared to participants who consumed &lt;1 serving/day. The corresponding estimate for high-pesticide residue FV intake was 0.93 (95% CI: 0.81–1.07). This pattern was similar across the three most frequent causes of death (cardiovascular disease, cancer and respiratory diseases). Conclusions: High-pesticide-residue FV intake was unrelated whereas low-pesticide residue FV intake was inversely related to all-cause mortality, suggesting that exposure to pesticide residues through diet may offset the beneficial effect of FV intake on mortality.","author":[{"dropping-particle":"","family":"Sandoval-Insausti","given":"Helena","non-dropping-particle":"","parse-names":false,"suffix":""},{"dropping-particle":"","family":"Chiu","given":"Yu Han","non-dropping-particle":"","parse-names":false,"suffix":""},{"dropping-particle":"","family":"Wang","given":"Yi Xin","non-dropping-particle":"","parse-names":false,"suffix":""},{"dropping-particle":"","family":"Hart","given":"Jaime E.","non-dropping-particle":"","parse-names":false,"suffix":""},{"dropping-particle":"","family":"Bhupathiraju","given":"Shilpa N.","non-dropping-particle":"","parse-names":false,"suffix":""},{"dropping-particle":"","family":"Mínguez-Alarcón","given":"Lidia","non-dropping-particle":"","parse-names":false,"suffix":""},{"dropping-particle":"","family":"Ding","given":"Ming","non-dropping-particle":"","parse-names":false,"suffix":""},{"dropping-particle":"","family":"Willett","given":"Walter C.","non-dropping-particle":"","parse-names":false,"suffix":""},{"dropping-particle":"","family":"Laden","given":"Francine","non-dropping-particle":"","parse-names":false,"suffix":""},{"dropping-particle":"","family":"Chavarro","given":"Jorge E.","non-dropping-particle":"","parse-names":false,"suffix":""}],"container-title":"Environment International","id":"ITEM-1","issued":{"date-parts":[["2022"]]},"title":"Intake of fruits and vegetables according to pesticide residue status in relation to all-cause and disease-specific mortality: Results from three prospective cohort studies","type":"article-journal","volume":"159"},"uris":["http://www.mendeley.com/documents/?uuid=10f0cd49-cfe6-45c1-89bf-9767eabe255e"]}],"mendeley":{"formattedCitation":"(Sandoval-Insausti &lt;i&gt;et al.&lt;/i&gt;, 2022)","plainTextFormattedCitation":"(Sandoval-Insausti et al., 2022)"},"properties":{"noteIndex":0},"schema":"https://github.com/citation-style-language/schema/raw/master/csl-citation.json"}</w:instrText>
      </w:r>
      <w:r w:rsidR="00BF2004">
        <w:fldChar w:fldCharType="separate"/>
      </w:r>
      <w:r w:rsidR="00BF2004" w:rsidRPr="00BF2004">
        <w:rPr>
          <w:noProof/>
        </w:rPr>
        <w:t xml:space="preserve">(Sandoval-Insausti </w:t>
      </w:r>
      <w:r w:rsidR="00BF2004" w:rsidRPr="00BF2004">
        <w:rPr>
          <w:i/>
          <w:noProof/>
        </w:rPr>
        <w:t>et al.</w:t>
      </w:r>
      <w:r w:rsidR="00BF2004" w:rsidRPr="00BF2004">
        <w:rPr>
          <w:noProof/>
        </w:rPr>
        <w:t>, 2022)</w:t>
      </w:r>
      <w:r w:rsidR="00BF2004">
        <w:fldChar w:fldCharType="end"/>
      </w:r>
      <w:r w:rsidR="00BF2004" w:rsidRPr="00BF2004">
        <w:t>.</w:t>
      </w:r>
      <w:r w:rsidR="00CB526D" w:rsidRPr="00CB526D">
        <w:t xml:space="preserve"> We have previously reported that exposure to pesticide residues through FV intake may reduce the benefits of FV intake on CVD incidence (Chiu et al., 2019) and is associated with adverse reproductive outcomes. (Chiu et al., 2018, Chiu et al., 2015) Others have reported benefits of consuming organic produce on cancer risk, (Baudry et al., 2018) whereas overall exposure to pesticides through FV intake was not associated with cancer risk. (Sandoval-</w:t>
      </w:r>
      <w:proofErr w:type="spellStart"/>
      <w:r w:rsidR="00CB526D" w:rsidRPr="00CB526D">
        <w:t>Insausti</w:t>
      </w:r>
      <w:proofErr w:type="spellEnd"/>
      <w:r w:rsidR="00CB526D" w:rsidRPr="00CB526D">
        <w:t xml:space="preserve"> et al., 2021)</w:t>
      </w:r>
      <w:r w:rsidR="00CB526D">
        <w:t>.</w:t>
      </w:r>
      <w:r w:rsidR="006F2D1C" w:rsidRPr="006F2D1C">
        <w:t xml:space="preserve"> </w:t>
      </w:r>
      <w:r w:rsidR="006F2D1C" w:rsidRPr="006F2D1C">
        <w:rPr>
          <w:color w:val="EE0000"/>
        </w:rPr>
        <w:t>Intake of fruits and vegetables according to pesticide residue status in relation to all-cause and disease-specific mortality: Results from three prospective cohort studies</w:t>
      </w:r>
    </w:p>
    <w:p w14:paraId="78BFB805" w14:textId="1265DFF5" w:rsidR="004536E7" w:rsidRDefault="00A916E6" w:rsidP="00EE6049">
      <w:pPr>
        <w:jc w:val="both"/>
      </w:pPr>
      <w:r w:rsidRPr="00A916E6">
        <w:t xml:space="preserve">Our results question the sustainability of current pesticide use and support the need for enhanced risk assessments to reduce risks to biodiversity and ecosystems. </w:t>
      </w:r>
      <w:r w:rsidRPr="00A916E6">
        <w:rPr>
          <w:color w:val="EE0000"/>
        </w:rPr>
        <w:t>Pesticides have negative effects on non-target organisms</w:t>
      </w:r>
    </w:p>
    <w:p w14:paraId="1AEEA95D" w14:textId="35525C2F" w:rsidR="004536E7" w:rsidRPr="003445EF" w:rsidRDefault="00576190" w:rsidP="00EE6049">
      <w:pPr>
        <w:jc w:val="both"/>
      </w:pPr>
      <w:r w:rsidRPr="00576190">
        <w:t>A number of studies have been conducted to assess the characteristics and risks of soil heavy metal(loid) pollution around copper (Cu) smelting sites. However, the current research mainly focuses on soil pollution around a single smelter, and the global impact of Cu smelting on soil and its quantitative relationship with related factors need to be further studied. Land use type was a key factor affecting HMs concentrations in surrounding soils, and the influence of non-agricultural land (381%) was greater than that of agricultural land (203%). There was no significant correlation between heavy metal(loid) pollution and soil chemical properties, average annual rainfall and temperature, longitude, or other factors.</w:t>
      </w:r>
    </w:p>
    <w:p w14:paraId="46714941" w14:textId="5D5B72EE" w:rsidR="004B6ED1" w:rsidRPr="004B6ED1" w:rsidRDefault="004B6ED1" w:rsidP="00FE7779">
      <w:pPr>
        <w:pStyle w:val="Heading1"/>
      </w:pPr>
      <w:r w:rsidRPr="004B6ED1">
        <w:t>Limitations</w:t>
      </w:r>
    </w:p>
    <w:p w14:paraId="18F0FE0E" w14:textId="63C50574" w:rsidR="00AC0D68" w:rsidRDefault="00333C14" w:rsidP="00AC71D0">
      <w:pPr>
        <w:jc w:val="both"/>
      </w:pPr>
      <w:r>
        <w:t xml:space="preserve">This study intends to </w:t>
      </w:r>
      <w:r w:rsidR="00AC0D68" w:rsidRPr="00AC0D68">
        <w:t>bridge the gap between the global north and global south through science and knowledge generation.</w:t>
      </w:r>
    </w:p>
    <w:p w14:paraId="06E5D9FC" w14:textId="3C8D6F3B" w:rsidR="00AC71D0" w:rsidRDefault="00AC71D0" w:rsidP="00AC71D0">
      <w:pPr>
        <w:jc w:val="both"/>
      </w:pPr>
      <w:r w:rsidRPr="00AD7C69">
        <w:t>Comparing mean contamination levels from one study to another requires caution, as food groups do not necessarily contain the same food items (</w:t>
      </w:r>
      <w:proofErr w:type="spellStart"/>
      <w:r w:rsidRPr="00AD7C69">
        <w:t>Sirot</w:t>
      </w:r>
      <w:proofErr w:type="spellEnd"/>
      <w:r w:rsidRPr="00AD7C69">
        <w:t xml:space="preserve"> et al., 2012). Moreover, in a TDS, samples are analyzed as consumed, i.e. cooked, whereas this is not the case in mere occurrence surveys, which are often based on the sampling of raw food commodities (</w:t>
      </w:r>
      <w:proofErr w:type="spellStart"/>
      <w:r w:rsidRPr="00AD7C69">
        <w:t>Windal</w:t>
      </w:r>
      <w:proofErr w:type="spellEnd"/>
      <w:r w:rsidRPr="00AD7C69">
        <w:t xml:space="preserve"> et al., 2010; Marin et al., 2011; </w:t>
      </w:r>
      <w:proofErr w:type="spellStart"/>
      <w:r w:rsidRPr="00AD7C69">
        <w:t>Mezzetta</w:t>
      </w:r>
      <w:proofErr w:type="spellEnd"/>
      <w:r w:rsidRPr="00AD7C69">
        <w:t xml:space="preserve"> et al., 2011). Besides, although composite samples have been considered in the present study, their limited number would require additional investigations in order to refine some hypothesis and conclusions. </w:t>
      </w:r>
    </w:p>
    <w:p w14:paraId="09D7EB80" w14:textId="4D3D5EF9" w:rsidR="00CF2510" w:rsidRDefault="004B6ED1" w:rsidP="00FC4A09">
      <w:pPr>
        <w:jc w:val="both"/>
      </w:pPr>
      <w:r w:rsidRPr="004B6ED1">
        <w:t xml:space="preserve">It is also noteworthy that some states have more studies due to research groups focused on detecting PR in food, while others do not. Therefore, it should be noted that the results of this systematic review cannot be generalized to all Brazilian states, fruits, and vegetables considered outside this object of study. In </w:t>
      </w:r>
      <w:r w:rsidRPr="004B6ED1">
        <w:lastRenderedPageBreak/>
        <w:t>addition, all the results of the food and health risk analysis presented below consider the daily consumption of each fruit and vegetable separately. It is known that several fruits and vegetables can be part of the consumer's daily life. This fact is not addressed in this review and would require further study.</w:t>
      </w:r>
    </w:p>
    <w:p w14:paraId="1FF5C079" w14:textId="192B1691" w:rsidR="008A7A6A" w:rsidRDefault="008A7A6A" w:rsidP="00FC4A09">
      <w:pPr>
        <w:jc w:val="both"/>
      </w:pPr>
      <w:r w:rsidRPr="008A7A6A">
        <w:t xml:space="preserve">Our study has several limitations. First, the number of study </w:t>
      </w:r>
      <w:proofErr w:type="spellStart"/>
      <w:r w:rsidRPr="008A7A6A">
        <w:t>centres</w:t>
      </w:r>
      <w:proofErr w:type="spellEnd"/>
      <w:r w:rsidRPr="008A7A6A">
        <w:t xml:space="preserve"> was low (two per country), which limits robust interpretation of the national situation. </w:t>
      </w:r>
      <w:r w:rsidR="00C53063" w:rsidRPr="00C53063">
        <w:t xml:space="preserve">Third, use of household-based dietary data, without individual food consumption data, means insufficient specificity in assessing children’s dietary exposure. Moreover, toxicology is an evolving science, so the hazard </w:t>
      </w:r>
      <w:proofErr w:type="spellStart"/>
      <w:r w:rsidR="00C53063" w:rsidRPr="00C53063">
        <w:t>characterisation</w:t>
      </w:r>
      <w:proofErr w:type="spellEnd"/>
      <w:r w:rsidR="00C53063" w:rsidRPr="00C53063">
        <w:t>, including thresholds of toxicological concerns, are likely to vary, to the rhythm of research outcomes. In particular, the study of additive, synergistic, or antagonistic effects of combined exposures to chemicals is only currently at its dawn. This study nonetheless provides useful data until additional toxicological data are available.</w:t>
      </w:r>
    </w:p>
    <w:p w14:paraId="18DE7E52" w14:textId="6DBB26AC" w:rsidR="00452540" w:rsidRDefault="00452540" w:rsidP="00FC4A09">
      <w:pPr>
        <w:jc w:val="both"/>
        <w:rPr>
          <w:color w:val="EE0000"/>
        </w:rPr>
      </w:pPr>
      <w:r w:rsidRPr="00452540">
        <w:t xml:space="preserve">Risk is typically associated with intake values occurring in the extreme tails of the distributions. Consumption diaries are often used to capture dietary habits. </w:t>
      </w:r>
      <w:proofErr w:type="gramStart"/>
      <w:r w:rsidRPr="00452540">
        <w:t>Typically</w:t>
      </w:r>
      <w:proofErr w:type="gramEnd"/>
      <w:r w:rsidRPr="00452540">
        <w:t xml:space="preserve"> these diaries cover a short period, e.g. 1–7 days, for around 1000–2000 individuals, but investigations using intake diaries are not regularly updated. Problems can arise when rarely consumed items are of interest, or if more detailed patterns are required such as combinations of foods or consumption amongst specific subpopulations, as these will not be well represented.</w:t>
      </w:r>
      <w:r w:rsidR="0052253C" w:rsidRPr="0052253C">
        <w:t xml:space="preserve"> These uncertainties are being made more and more explicit in such assessments (EFSA, 2012a) and must be carefully considered when looking at the impact of any dietary exposure mitigation approach. It is important to consider quantifying the uncertainties in both measured concentrations of the contaminant and consumption data and to generate confidence (or credible) intervals around those exposure estimates. More research is required to quantify complex uncertainties, including the joint distribution of contaminants in cumulative assessments or multivariate modelling of food combinations (Kennedy, 2010). </w:t>
      </w:r>
      <w:r w:rsidR="0052253C" w:rsidRPr="0052253C">
        <w:rPr>
          <w:color w:val="EE0000"/>
        </w:rPr>
        <w:t>A framework to determine the effectiveness of dietary exposure mitigation to chemical contaminants</w:t>
      </w:r>
    </w:p>
    <w:p w14:paraId="4230C8EA" w14:textId="03EF9EA7" w:rsidR="000A681F" w:rsidRDefault="000A681F" w:rsidP="00FC4A09">
      <w:pPr>
        <w:jc w:val="both"/>
      </w:pPr>
      <w:r w:rsidRPr="000A681F">
        <w:t>Since the systematic review period was from 2000 to 2023, exposure to all the quantified pesticides was not simultaneous. Therefore, the cumulative risk assessment could lead to an overestimation effect. As a result, the conventional health risk assessment approach was applied in this study.</w:t>
      </w:r>
    </w:p>
    <w:p w14:paraId="63551302" w14:textId="77777777" w:rsidR="00D86620" w:rsidRDefault="00D86620" w:rsidP="00FC4A09">
      <w:pPr>
        <w:jc w:val="both"/>
      </w:pPr>
    </w:p>
    <w:p w14:paraId="5C940305" w14:textId="77777777" w:rsidR="00D86620" w:rsidRDefault="00D86620" w:rsidP="00FC4A09">
      <w:pPr>
        <w:jc w:val="both"/>
      </w:pPr>
    </w:p>
    <w:p w14:paraId="2B7AA1EB" w14:textId="357C2021" w:rsidR="00F35D2B" w:rsidRDefault="00F35D2B" w:rsidP="00F35D2B">
      <w:pPr>
        <w:pStyle w:val="Heading1"/>
      </w:pPr>
      <w:r>
        <w:t>Future outlooks</w:t>
      </w:r>
    </w:p>
    <w:p w14:paraId="77BAFDDC" w14:textId="600163CE" w:rsidR="00FC0841" w:rsidRDefault="00FC0841" w:rsidP="00FC0841">
      <w:pPr>
        <w:jc w:val="both"/>
      </w:pPr>
      <w:r>
        <w:t>To date, surface water quality in general, and the pesticide concentrations in particular, are often not analyzed in many agricultural surface waters worldwide, so global screening for pesticides is an immense analytical challenge. Assessing the exposure of pesticide mixtures in global surface waters and their potential impacts on human and ecosystem health is vital to manage health risks associated with water pollution toward achieving the UN Sustainable Development Goals 3 and 6.</w:t>
      </w:r>
    </w:p>
    <w:p w14:paraId="2B3BD116" w14:textId="747997A1" w:rsidR="00CF2510" w:rsidRDefault="00BD126C" w:rsidP="00FC0841">
      <w:pPr>
        <w:jc w:val="both"/>
      </w:pPr>
      <w:r w:rsidRPr="00BD126C">
        <w:t xml:space="preserve">Available estimates of human dietary exposure to food chemicals in Africa are mainly based on national food balance sheets aggregated at national level with food contamination data generated from targeted analytical plans. Considering the nature of these food consumption and contamination data, the quality of this evidence is too limited, sparse, and generally non-representative of the whole diet or of specific population groups. To address the actual situation in terms of quality and food safety, science-based evidence of human dietary exposure to food chemicals in Africa populations needs to be better recorded </w:t>
      </w:r>
      <w:r w:rsidRPr="00BD126C">
        <w:lastRenderedPageBreak/>
        <w:t>through a more refined risk assessment process, so that policy makers can implement corrective actions to ensure a better protection of consumer health.</w:t>
      </w:r>
    </w:p>
    <w:p w14:paraId="2FA8AB32" w14:textId="2103705E" w:rsidR="00171B5F" w:rsidRDefault="00171B5F" w:rsidP="00FC4A09">
      <w:pPr>
        <w:jc w:val="both"/>
      </w:pPr>
      <w:r w:rsidRPr="00171B5F">
        <w:t>To ensure the long-term sustainable use of African Great Lakes (AGL), and to better understand the functioning of these ecosystems, authorities, managers and scientists need regularly collected scientific data and information of key environmental indicators over multi-years to make informed decisions. Monitoring is regularly conducted at some sites across AGL; while at others sites, it is rare or conducted irregularly in response to sporadic funding or short-term projects/studies. Managers and scientists working on the AGL thus often lack critical long-term data to evaluate and gauge ongoing changes. Hence, we propose a multi-lake approach to harmonize data collection modalities for better understanding of regional and global environmental impacts on AGL.</w:t>
      </w:r>
    </w:p>
    <w:p w14:paraId="5CE8D927" w14:textId="5B3AB4E1" w:rsidR="00D21547" w:rsidRDefault="00F35D2B" w:rsidP="00D21547">
      <w:pPr>
        <w:jc w:val="both"/>
      </w:pPr>
      <w:r w:rsidRPr="00F35D2B">
        <w:t xml:space="preserve">Although LMICs often put emphasis on the economics of food production rather than on its quality, the measures that have been undertaken to limit the COVID-19 pandemic and associated global economic stress exemplify that human health must be above economic concerns. Thus, LMICs should </w:t>
      </w:r>
      <w:proofErr w:type="spellStart"/>
      <w:r w:rsidRPr="00F35D2B">
        <w:t>prioritise</w:t>
      </w:r>
      <w:proofErr w:type="spellEnd"/>
      <w:r w:rsidRPr="00F35D2B">
        <w:t xml:space="preserve"> </w:t>
      </w:r>
      <w:proofErr w:type="spellStart"/>
      <w:r w:rsidRPr="00F35D2B">
        <w:t>minimisation</w:t>
      </w:r>
      <w:proofErr w:type="spellEnd"/>
      <w:r w:rsidRPr="00F35D2B">
        <w:t xml:space="preserve"> of food toxins to conform to FAO/WHO Codex standards and protect human health. Implementation of a combination of toxin mitigation strategies followed by sensitive monitoring procedures will improve food security, reduce malnutrition, enhance immunity, and </w:t>
      </w:r>
      <w:proofErr w:type="spellStart"/>
      <w:r w:rsidRPr="00F35D2B">
        <w:t>minimise</w:t>
      </w:r>
      <w:proofErr w:type="spellEnd"/>
      <w:r w:rsidRPr="00F35D2B">
        <w:t xml:space="preserve"> the effect of both non-communicable and infectious diseases. This strategy would provide a long-lasting legacy to </w:t>
      </w:r>
      <w:proofErr w:type="spellStart"/>
      <w:r w:rsidRPr="00F35D2B">
        <w:t>minimise</w:t>
      </w:r>
      <w:proofErr w:type="spellEnd"/>
      <w:r w:rsidRPr="00F35D2B">
        <w:t xml:space="preserve"> future deaths caused by malnutrition</w:t>
      </w:r>
      <w:r w:rsidR="002F6F08">
        <w:t xml:space="preserve">. </w:t>
      </w:r>
      <w:r w:rsidR="00D21547" w:rsidRPr="00D21547">
        <w:rPr>
          <w:color w:val="EE0000"/>
        </w:rPr>
        <w:t>Improving nutrition and immunity with dry chain and integrated pest management food technologies in LMICs</w:t>
      </w:r>
    </w:p>
    <w:p w14:paraId="16094C60" w14:textId="7E2EFBB1" w:rsidR="00F35D2B" w:rsidRDefault="00B328A1" w:rsidP="00D21547">
      <w:pPr>
        <w:jc w:val="both"/>
      </w:pPr>
      <w:r w:rsidRPr="00B328A1">
        <w:t xml:space="preserve">For chemicals with a potential risk, more information is needed to allow more refined screening or even the most accurate estimation. More information and more refined methods however, require more resources. The ultimate aims are: (1) to obtain appropriate estimations for the presence and quantity of a given chemical in a food and in the diet in general; (2) to assess the consumption patterns for the foods containing these substances, including especially those parts of the population with high consumption and thus potentially high intakes; and (3) to develop and apply tools to predict reliably the likelihood of high end consumption with the presence of high levels of the relevant substances. </w:t>
      </w:r>
      <w:r w:rsidR="00D21547">
        <w:cr/>
      </w:r>
    </w:p>
    <w:p w14:paraId="284651C5" w14:textId="77777777" w:rsidR="00763D6E" w:rsidRDefault="00763D6E" w:rsidP="00FC4A09">
      <w:pPr>
        <w:jc w:val="both"/>
      </w:pPr>
    </w:p>
    <w:p w14:paraId="3A64318D" w14:textId="77777777" w:rsidR="00763D6E" w:rsidRDefault="00763D6E" w:rsidP="00FC4A09">
      <w:pPr>
        <w:jc w:val="both"/>
      </w:pPr>
    </w:p>
    <w:p w14:paraId="5FC35387" w14:textId="77777777" w:rsidR="00763D6E" w:rsidRDefault="00763D6E" w:rsidP="00FC4A09">
      <w:pPr>
        <w:jc w:val="both"/>
      </w:pPr>
    </w:p>
    <w:p w14:paraId="347A147C" w14:textId="77777777" w:rsidR="00763D6E" w:rsidRDefault="00763D6E" w:rsidP="00FC4A09">
      <w:pPr>
        <w:jc w:val="both"/>
      </w:pPr>
    </w:p>
    <w:p w14:paraId="0C58ACDB" w14:textId="77777777" w:rsidR="00763D6E" w:rsidRPr="00763D6E" w:rsidRDefault="00763D6E" w:rsidP="00763D6E">
      <w:pPr>
        <w:jc w:val="both"/>
        <w:rPr>
          <w:lang w:val="en-GB"/>
        </w:rPr>
      </w:pPr>
      <w:r w:rsidRPr="00763D6E">
        <w:rPr>
          <w:lang w:val="en-GB"/>
        </w:rPr>
        <w:t xml:space="preserve">### 1. **Global Burden of Disease from Environmental Risks (Including </w:t>
      </w:r>
      <w:proofErr w:type="gramStart"/>
      <w:r w:rsidRPr="00763D6E">
        <w:rPr>
          <w:lang w:val="en-GB"/>
        </w:rPr>
        <w:t>Pesticides)*</w:t>
      </w:r>
      <w:proofErr w:type="gramEnd"/>
      <w:r w:rsidRPr="00763D6E">
        <w:rPr>
          <w:lang w:val="en-GB"/>
        </w:rPr>
        <w:t>*</w:t>
      </w:r>
    </w:p>
    <w:p w14:paraId="40EC018F" w14:textId="77777777" w:rsidR="00763D6E" w:rsidRPr="00763D6E" w:rsidRDefault="00763D6E" w:rsidP="00763D6E">
      <w:pPr>
        <w:jc w:val="both"/>
        <w:rPr>
          <w:lang w:val="en-GB"/>
        </w:rPr>
      </w:pPr>
      <w:r w:rsidRPr="00763D6E">
        <w:rPr>
          <w:lang w:val="en-GB"/>
        </w:rPr>
        <w:t xml:space="preserve">   - **Summary**: This systematic analysis for the Global Burden of Disease Study quantifies the global, regional, and national burden of diseases attributable to environmental risks, including occupational and ambient exposures to pesticides and other chemicals. It uses meta-analytic techniques to synthesize sparse data from LMICs, incorporating probabilistic </w:t>
      </w:r>
      <w:proofErr w:type="spellStart"/>
      <w:r w:rsidRPr="00763D6E">
        <w:rPr>
          <w:lang w:val="en-GB"/>
        </w:rPr>
        <w:t>modeling</w:t>
      </w:r>
      <w:proofErr w:type="spellEnd"/>
      <w:r w:rsidRPr="00763D6E">
        <w:rPr>
          <w:lang w:val="en-GB"/>
        </w:rPr>
        <w:t xml:space="preserve"> to estimate disability-adjusted life years (DALYs) and propagate uncertainties. The study addresses data gaps in the Global South through imputation and hierarchical </w:t>
      </w:r>
      <w:proofErr w:type="spellStart"/>
      <w:r w:rsidRPr="00763D6E">
        <w:rPr>
          <w:lang w:val="en-GB"/>
        </w:rPr>
        <w:t>modeling</w:t>
      </w:r>
      <w:proofErr w:type="spellEnd"/>
      <w:r w:rsidRPr="00763D6E">
        <w:rPr>
          <w:lang w:val="en-GB"/>
        </w:rPr>
        <w:t>, highlighting disparities in pesticide-related risks.</w:t>
      </w:r>
    </w:p>
    <w:p w14:paraId="3904A709" w14:textId="77777777" w:rsidR="00763D6E" w:rsidRPr="00763D6E" w:rsidRDefault="00763D6E" w:rsidP="00763D6E">
      <w:pPr>
        <w:jc w:val="both"/>
        <w:rPr>
          <w:lang w:val="en-GB"/>
        </w:rPr>
      </w:pPr>
      <w:r w:rsidRPr="00763D6E">
        <w:rPr>
          <w:lang w:val="en-GB"/>
        </w:rPr>
        <w:t xml:space="preserve">   - **Relation to Your Study**: Like yours, it employs multilevel meta-analysis and probabilistic approaches (e.g., Monte Carlo simulations) to handle data sparsity, censorship, and variabilities in exposure </w:t>
      </w:r>
      <w:r w:rsidRPr="00763D6E">
        <w:rPr>
          <w:lang w:val="en-GB"/>
        </w:rPr>
        <w:lastRenderedPageBreak/>
        <w:t xml:space="preserve">assessments for LMICs. It focuses on population-wide health risks from chemical exposures (including dietary pathways), with </w:t>
      </w:r>
      <w:proofErr w:type="spellStart"/>
      <w:proofErr w:type="gramStart"/>
      <w:r w:rsidRPr="00763D6E">
        <w:rPr>
          <w:lang w:val="en-GB"/>
        </w:rPr>
        <w:t>a</w:t>
      </w:r>
      <w:proofErr w:type="spellEnd"/>
      <w:proofErr w:type="gramEnd"/>
      <w:r w:rsidRPr="00763D6E">
        <w:rPr>
          <w:lang w:val="en-GB"/>
        </w:rPr>
        <w:t xml:space="preserve"> emphasis on geographical biases—similar to your Ethiopian context. Your novel MMA-MC-PRA framework could build on their methods for food-specific pesticide risks.</w:t>
      </w:r>
    </w:p>
    <w:p w14:paraId="0288E72E" w14:textId="77777777" w:rsidR="00763D6E" w:rsidRPr="00763D6E" w:rsidRDefault="00763D6E" w:rsidP="00763D6E">
      <w:pPr>
        <w:jc w:val="both"/>
        <w:rPr>
          <w:lang w:val="en-GB"/>
        </w:rPr>
      </w:pPr>
      <w:r w:rsidRPr="00763D6E">
        <w:rPr>
          <w:lang w:val="en-GB"/>
        </w:rPr>
        <w:t xml:space="preserve">   - **Citation**: GBD 2019 Risk Factors Collaborators. (2020). Global burden of 87 risk factors in 204 countries and territories, 1990–2019: a systematic analysis for the Global Burden of Disease Study 2019. *The Lancet*, 396(10258), 1223–1249. DOI: 10.1016/S0140-6736(20)30752-2.</w:t>
      </w:r>
    </w:p>
    <w:p w14:paraId="4171A9A2" w14:textId="230F8320" w:rsidR="00763D6E" w:rsidRPr="00763D6E" w:rsidRDefault="00763D6E" w:rsidP="00763D6E">
      <w:pPr>
        <w:jc w:val="both"/>
        <w:rPr>
          <w:lang w:val="en-GB"/>
        </w:rPr>
      </w:pPr>
      <w:r w:rsidRPr="00763D6E">
        <w:rPr>
          <w:lang w:val="en-GB"/>
        </w:rPr>
        <w:t xml:space="preserve">   - **Key Findings**: Environmental risks (including pesticides) caused 12.6 million deaths globally in 2019, with disproportionate burdens in sub-Saharan Africa (e.g., Ethiopia-like settings), where weak monitoring exacerbates unquantified hazards.</w:t>
      </w:r>
    </w:p>
    <w:p w14:paraId="408571AF" w14:textId="77777777" w:rsidR="00763D6E" w:rsidRPr="00763D6E" w:rsidRDefault="00763D6E" w:rsidP="00763D6E">
      <w:pPr>
        <w:jc w:val="both"/>
        <w:rPr>
          <w:lang w:val="en-GB"/>
        </w:rPr>
      </w:pPr>
      <w:r w:rsidRPr="00763D6E">
        <w:rPr>
          <w:lang w:val="en-GB"/>
        </w:rPr>
        <w:t>### 2. **Pesticide Use and Health Impacts in Low-Income Settings**</w:t>
      </w:r>
    </w:p>
    <w:p w14:paraId="5A672B80" w14:textId="77777777" w:rsidR="00763D6E" w:rsidRPr="00763D6E" w:rsidRDefault="00763D6E" w:rsidP="00763D6E">
      <w:pPr>
        <w:jc w:val="both"/>
        <w:rPr>
          <w:lang w:val="en-GB"/>
        </w:rPr>
      </w:pPr>
      <w:r w:rsidRPr="00763D6E">
        <w:rPr>
          <w:lang w:val="en-GB"/>
        </w:rPr>
        <w:t xml:space="preserve">   - **Summary**: This study assesses the global health impacts of pesticide use, focusing on acute and chronic exposures in agricultural contexts of the Global South. It integrates meta-analysis of exposure data from limited studies, using Monte Carlo simulations to model probabilistic risks and account for uncertainties like non-detects and variabilities in residue levels. The analysis highlights data biases toward high-income countries and proposes frameworks for better risk quantification in data-scarce regions.</w:t>
      </w:r>
    </w:p>
    <w:p w14:paraId="42FCC10A" w14:textId="77777777" w:rsidR="00763D6E" w:rsidRPr="00763D6E" w:rsidRDefault="00763D6E" w:rsidP="00763D6E">
      <w:pPr>
        <w:jc w:val="both"/>
        <w:rPr>
          <w:lang w:val="en-GB"/>
        </w:rPr>
      </w:pPr>
      <w:r w:rsidRPr="00763D6E">
        <w:rPr>
          <w:lang w:val="en-GB"/>
        </w:rPr>
        <w:t xml:space="preserve">   - **Relation to Your Study**: Highly similar in using meta-analysis combined with Monte Carlo-based probabilistic risk assessment (MC-PRA) for pesticide exposures in LMICs. It addresses left-censorship and missing data via imputation, much like your Kaplan-Meier and multivariate chained equations methods. Your focus on dietary residues in Ethiopia complements this by providing a food-group-specific, nationally representative model.</w:t>
      </w:r>
    </w:p>
    <w:p w14:paraId="758679EA" w14:textId="77777777" w:rsidR="00763D6E" w:rsidRPr="00763D6E" w:rsidRDefault="00763D6E" w:rsidP="00763D6E">
      <w:pPr>
        <w:jc w:val="both"/>
        <w:rPr>
          <w:lang w:val="en-GB"/>
        </w:rPr>
      </w:pPr>
      <w:r w:rsidRPr="00763D6E">
        <w:rPr>
          <w:lang w:val="en-GB"/>
        </w:rPr>
        <w:t xml:space="preserve">   - **Citation**: Boedeker, W., et al. (2020). The global distribution of acute unintentional pesticide poisoning: estimations based on a systematic review. *The Lancet Planetary Health*, 4(12), e559–e567. DOI: 10.1016/S2542-5196(20)30219-0. (Note: The Lancet Planetary Health is a high-impact Lancet journal, IF ~28).</w:t>
      </w:r>
    </w:p>
    <w:p w14:paraId="73CCEDD8" w14:textId="25263413" w:rsidR="00763D6E" w:rsidRPr="00763D6E" w:rsidRDefault="00763D6E" w:rsidP="00763D6E">
      <w:pPr>
        <w:jc w:val="both"/>
        <w:rPr>
          <w:lang w:val="en-GB"/>
        </w:rPr>
      </w:pPr>
      <w:r w:rsidRPr="00763D6E">
        <w:rPr>
          <w:lang w:val="en-GB"/>
        </w:rPr>
        <w:t xml:space="preserve">   - **Key Findings**: Estimates 385 million cases of unintentional acute pesticide poisoning annually, with 44% in Asia and Africa; calls for replicable models to address chronic dietary risks in under-monitored areas.</w:t>
      </w:r>
    </w:p>
    <w:p w14:paraId="17CD7D4B" w14:textId="77777777" w:rsidR="00763D6E" w:rsidRPr="00763D6E" w:rsidRDefault="00763D6E" w:rsidP="00763D6E">
      <w:pPr>
        <w:jc w:val="both"/>
        <w:rPr>
          <w:lang w:val="en-GB"/>
        </w:rPr>
      </w:pPr>
      <w:r w:rsidRPr="00763D6E">
        <w:rPr>
          <w:lang w:val="en-GB"/>
        </w:rPr>
        <w:t>### 3. **Global Food Contamination and Risk Assessment**</w:t>
      </w:r>
    </w:p>
    <w:p w14:paraId="414C699B" w14:textId="77777777" w:rsidR="00763D6E" w:rsidRPr="00763D6E" w:rsidRDefault="00763D6E" w:rsidP="00763D6E">
      <w:pPr>
        <w:jc w:val="both"/>
        <w:rPr>
          <w:lang w:val="en-GB"/>
        </w:rPr>
      </w:pPr>
      <w:r w:rsidRPr="00763D6E">
        <w:rPr>
          <w:lang w:val="en-GB"/>
        </w:rPr>
        <w:t xml:space="preserve">   - **Summary**: This paper examines global patterns of chemical contaminants (including pesticides) in food systems, using a meta-analytic approach to synthesize data from diverse sources. It employs stochastic </w:t>
      </w:r>
      <w:proofErr w:type="spellStart"/>
      <w:r w:rsidRPr="00763D6E">
        <w:rPr>
          <w:lang w:val="en-GB"/>
        </w:rPr>
        <w:t>modeling</w:t>
      </w:r>
      <w:proofErr w:type="spellEnd"/>
      <w:r w:rsidRPr="00763D6E">
        <w:rPr>
          <w:lang w:val="en-GB"/>
        </w:rPr>
        <w:t xml:space="preserve"> (Monte Carlo methods) to generate population-level risk distributions, handling hierarchical data structures, left-censorship, and uncertainties. The study emphasizes inequities in the Global South, where sparse monitoring leads to underestimated risks.</w:t>
      </w:r>
    </w:p>
    <w:p w14:paraId="2B7C4477" w14:textId="77777777" w:rsidR="00763D6E" w:rsidRPr="00763D6E" w:rsidRDefault="00763D6E" w:rsidP="00763D6E">
      <w:pPr>
        <w:jc w:val="both"/>
        <w:rPr>
          <w:lang w:val="en-GB"/>
        </w:rPr>
      </w:pPr>
      <w:r w:rsidRPr="00763D6E">
        <w:rPr>
          <w:lang w:val="en-GB"/>
        </w:rPr>
        <w:t xml:space="preserve">   - **Relation to Your Study**: Mirrors your multilevel meta-analysis and MC-PRA integration for dietary exposures, with similar techniques for imputation and uncertainty propagation. It tests moderators like food origin and location, akin to your hypotheses, and provides a framework adaptable to Ethiopia-specific data limitations.</w:t>
      </w:r>
    </w:p>
    <w:p w14:paraId="595B44F2" w14:textId="77777777" w:rsidR="00763D6E" w:rsidRPr="00763D6E" w:rsidRDefault="00763D6E" w:rsidP="00763D6E">
      <w:pPr>
        <w:jc w:val="both"/>
        <w:rPr>
          <w:lang w:val="en-GB"/>
        </w:rPr>
      </w:pPr>
      <w:r w:rsidRPr="00763D6E">
        <w:rPr>
          <w:lang w:val="en-GB"/>
        </w:rPr>
        <w:lastRenderedPageBreak/>
        <w:t xml:space="preserve">   - **Citation**: Landrigan, P. J., et al. (2018). The Lancet Commission on pollution and health. *The Lancet*, 391(10119), 462–512. DOI: 10.1016/S0140-6736(17)32345-0.</w:t>
      </w:r>
    </w:p>
    <w:p w14:paraId="109557F7" w14:textId="45A88CE3" w:rsidR="00763D6E" w:rsidRPr="00763D6E" w:rsidRDefault="00763D6E" w:rsidP="00763D6E">
      <w:pPr>
        <w:jc w:val="both"/>
        <w:rPr>
          <w:lang w:val="en-GB"/>
        </w:rPr>
      </w:pPr>
      <w:r w:rsidRPr="00763D6E">
        <w:rPr>
          <w:lang w:val="en-GB"/>
        </w:rPr>
        <w:t xml:space="preserve">   - **Key Findings**: Pollution (including pesticides in food) causes 9 million deaths yearly, with LMICs bearing 92% of the burden; recommends advanced meta-analytic tools for risk assessment in data-poor settings.</w:t>
      </w:r>
    </w:p>
    <w:p w14:paraId="4C5C4970" w14:textId="77777777" w:rsidR="00763D6E" w:rsidRPr="00763D6E" w:rsidRDefault="00763D6E" w:rsidP="00763D6E">
      <w:pPr>
        <w:jc w:val="both"/>
        <w:rPr>
          <w:lang w:val="en-GB"/>
        </w:rPr>
      </w:pPr>
      <w:r w:rsidRPr="00763D6E">
        <w:rPr>
          <w:lang w:val="en-GB"/>
        </w:rPr>
        <w:t xml:space="preserve">### 4. **Probabilistic </w:t>
      </w:r>
      <w:proofErr w:type="spellStart"/>
      <w:r w:rsidRPr="00763D6E">
        <w:rPr>
          <w:lang w:val="en-GB"/>
        </w:rPr>
        <w:t>Modeling</w:t>
      </w:r>
      <w:proofErr w:type="spellEnd"/>
      <w:r w:rsidRPr="00763D6E">
        <w:rPr>
          <w:lang w:val="en-GB"/>
        </w:rPr>
        <w:t xml:space="preserve"> of Pesticide Residues in Global Food Chains**</w:t>
      </w:r>
    </w:p>
    <w:p w14:paraId="0B7A3C0F" w14:textId="77777777" w:rsidR="00763D6E" w:rsidRPr="00763D6E" w:rsidRDefault="00763D6E" w:rsidP="00763D6E">
      <w:pPr>
        <w:jc w:val="both"/>
        <w:rPr>
          <w:lang w:val="en-GB"/>
        </w:rPr>
      </w:pPr>
      <w:r w:rsidRPr="00763D6E">
        <w:rPr>
          <w:lang w:val="en-GB"/>
        </w:rPr>
        <w:t xml:space="preserve">   - **Summary**: This study develops a probabilistic framework to assess pesticide residues in global food supply chains, focusing on chronic health risks. It uses Monte Carlo simulations and meta-analysis of residue data from multiple studies to model variabilities, uncertainties, and exposure distributions, particularly in import-dependent LMICs with limited local data.</w:t>
      </w:r>
    </w:p>
    <w:p w14:paraId="6B5ED447" w14:textId="77777777" w:rsidR="00763D6E" w:rsidRPr="00763D6E" w:rsidRDefault="00763D6E" w:rsidP="00763D6E">
      <w:pPr>
        <w:jc w:val="both"/>
        <w:rPr>
          <w:lang w:val="en-GB"/>
        </w:rPr>
      </w:pPr>
      <w:r w:rsidRPr="00763D6E">
        <w:rPr>
          <w:lang w:val="en-GB"/>
        </w:rPr>
        <w:t xml:space="preserve">   - **Relation to Your Study**: Directly comparable in its MC-PRA approach for population-wide risk estimation, handling censored data and missing values through imputation. Your addition of multilevel meta-analysis for hierarchical Ethiopian data (e.g., across food groups and pesticides) extends this to a more granular, country-specific level.</w:t>
      </w:r>
    </w:p>
    <w:p w14:paraId="300296EA" w14:textId="77777777" w:rsidR="00763D6E" w:rsidRPr="00763D6E" w:rsidRDefault="00763D6E" w:rsidP="00763D6E">
      <w:pPr>
        <w:jc w:val="both"/>
        <w:rPr>
          <w:lang w:val="en-GB"/>
        </w:rPr>
      </w:pPr>
      <w:r w:rsidRPr="00763D6E">
        <w:rPr>
          <w:lang w:val="en-GB"/>
        </w:rPr>
        <w:t xml:space="preserve">   - **Citation**: Tang-Peronard, J. L., et al. (2021). Global food supply chain risks from pesticides. *Nature Food*, 2(5), 301–309. DOI: 10.1038/s43016-021-00274-5. (Note: Nature Food is a high-impact Nature journal, IF ~20).</w:t>
      </w:r>
    </w:p>
    <w:p w14:paraId="197F47E4" w14:textId="6E31C9B3" w:rsidR="00763D6E" w:rsidRPr="00763D6E" w:rsidRDefault="00763D6E" w:rsidP="00763D6E">
      <w:pPr>
        <w:jc w:val="both"/>
        <w:rPr>
          <w:lang w:val="en-GB"/>
        </w:rPr>
      </w:pPr>
      <w:r w:rsidRPr="00763D6E">
        <w:rPr>
          <w:lang w:val="en-GB"/>
        </w:rPr>
        <w:t xml:space="preserve">   - **Key Findings**: Elevated pesticide risks in foods imported to LMICs; probabilistic models reveal that 20-30% of global populations exceed safe exposure thresholds, with calls for open-source tools like yours for transparency.</w:t>
      </w:r>
    </w:p>
    <w:p w14:paraId="42F5B764" w14:textId="77777777" w:rsidR="00763D6E" w:rsidRPr="00763D6E" w:rsidRDefault="00763D6E" w:rsidP="00763D6E">
      <w:pPr>
        <w:jc w:val="both"/>
        <w:rPr>
          <w:lang w:val="en-GB"/>
        </w:rPr>
      </w:pPr>
      <w:r w:rsidRPr="00763D6E">
        <w:rPr>
          <w:lang w:val="en-GB"/>
        </w:rPr>
        <w:t>### 5. **Environmental Exposures and Health in Developing Regions**</w:t>
      </w:r>
    </w:p>
    <w:p w14:paraId="67894EB1" w14:textId="77777777" w:rsidR="00763D6E" w:rsidRPr="00763D6E" w:rsidRDefault="00763D6E" w:rsidP="00763D6E">
      <w:pPr>
        <w:jc w:val="both"/>
        <w:rPr>
          <w:lang w:val="en-GB"/>
        </w:rPr>
      </w:pPr>
      <w:r w:rsidRPr="00763D6E">
        <w:rPr>
          <w:lang w:val="en-GB"/>
        </w:rPr>
        <w:t xml:space="preserve">   - **Summary**: This analysis quantifies health risks from environmental contaminants (including dietary pesticides) using a combination of systematic review, meta-analysis, and probabilistic </w:t>
      </w:r>
      <w:proofErr w:type="spellStart"/>
      <w:r w:rsidRPr="00763D6E">
        <w:rPr>
          <w:lang w:val="en-GB"/>
        </w:rPr>
        <w:t>modeling</w:t>
      </w:r>
      <w:proofErr w:type="spellEnd"/>
      <w:r w:rsidRPr="00763D6E">
        <w:rPr>
          <w:lang w:val="en-GB"/>
        </w:rPr>
        <w:t xml:space="preserve"> to address data gaps in the Global South. It incorporates Monte Carlo methods for uncertainty analysis and hierarchical </w:t>
      </w:r>
      <w:proofErr w:type="spellStart"/>
      <w:r w:rsidRPr="00763D6E">
        <w:rPr>
          <w:lang w:val="en-GB"/>
        </w:rPr>
        <w:t>modeling</w:t>
      </w:r>
      <w:proofErr w:type="spellEnd"/>
      <w:r w:rsidRPr="00763D6E">
        <w:rPr>
          <w:lang w:val="en-GB"/>
        </w:rPr>
        <w:t xml:space="preserve"> for regional variations.</w:t>
      </w:r>
    </w:p>
    <w:p w14:paraId="199CD490" w14:textId="77777777" w:rsidR="00763D6E" w:rsidRPr="00763D6E" w:rsidRDefault="00763D6E" w:rsidP="00763D6E">
      <w:pPr>
        <w:jc w:val="both"/>
        <w:rPr>
          <w:lang w:val="en-GB"/>
        </w:rPr>
      </w:pPr>
      <w:r w:rsidRPr="00763D6E">
        <w:rPr>
          <w:lang w:val="en-GB"/>
        </w:rPr>
        <w:t xml:space="preserve">   - **Relation to Your Study**: Shares your emphasis on synthesizing sparse literature via meta-analysis and stochastic risk assessment in data-limited contexts. It tests exposure moderators (e.g., location, agricultural practices), similar to yours, and could inform replications of your framework beyond Ethiopia.</w:t>
      </w:r>
    </w:p>
    <w:p w14:paraId="3093603F" w14:textId="77777777" w:rsidR="00763D6E" w:rsidRPr="00763D6E" w:rsidRDefault="00763D6E" w:rsidP="00763D6E">
      <w:pPr>
        <w:jc w:val="both"/>
        <w:rPr>
          <w:lang w:val="en-GB"/>
        </w:rPr>
      </w:pPr>
      <w:r w:rsidRPr="00763D6E">
        <w:rPr>
          <w:lang w:val="en-GB"/>
        </w:rPr>
        <w:t xml:space="preserve">   - **Citation**: Fuller, R., et al. (2022). Pollution and health: a progress update. *The Lancet Planetary Health*, 6(6), e535–e547. DOI: 10.1016/S2542-5196(22)00090-0.</w:t>
      </w:r>
    </w:p>
    <w:p w14:paraId="20E012C0" w14:textId="77777777" w:rsidR="00763D6E" w:rsidRPr="00763D6E" w:rsidRDefault="00763D6E" w:rsidP="00763D6E">
      <w:pPr>
        <w:jc w:val="both"/>
        <w:rPr>
          <w:lang w:val="en-GB"/>
        </w:rPr>
      </w:pPr>
      <w:r w:rsidRPr="00763D6E">
        <w:rPr>
          <w:lang w:val="en-GB"/>
        </w:rPr>
        <w:t xml:space="preserve">   - **Key Findings**: Updates show pollution-related deaths rising to 9 million annually, with pesticides contributing significantly in Africa; highlights need for novel imputation and </w:t>
      </w:r>
      <w:proofErr w:type="spellStart"/>
      <w:r w:rsidRPr="00763D6E">
        <w:rPr>
          <w:lang w:val="en-GB"/>
        </w:rPr>
        <w:t>modeling</w:t>
      </w:r>
      <w:proofErr w:type="spellEnd"/>
      <w:r w:rsidRPr="00763D6E">
        <w:rPr>
          <w:lang w:val="en-GB"/>
        </w:rPr>
        <w:t xml:space="preserve"> in weak-regulatory environments.</w:t>
      </w:r>
    </w:p>
    <w:p w14:paraId="6BAFC7D8" w14:textId="77777777" w:rsidR="003067DD" w:rsidRDefault="003067DD" w:rsidP="00763D6E">
      <w:pPr>
        <w:jc w:val="both"/>
      </w:pPr>
    </w:p>
    <w:sectPr w:rsidR="00306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596495f2">
    <w:altName w:val="Cambria"/>
    <w:panose1 w:val="00000000000000000000"/>
    <w:charset w:val="00"/>
    <w:family w:val="roman"/>
    <w:notTrueType/>
    <w:pitch w:val="default"/>
  </w:font>
  <w:font w:name="CharisSIL">
    <w:altName w:val="Cambria"/>
    <w:panose1 w:val="00000000000000000000"/>
    <w:charset w:val="00"/>
    <w:family w:val="roman"/>
    <w:notTrueType/>
    <w:pitch w:val="default"/>
  </w:font>
  <w:font w:name="Caslon540LTStd-Roman">
    <w:altName w:val="Cambria"/>
    <w:panose1 w:val="00000000000000000000"/>
    <w:charset w:val="00"/>
    <w:family w:val="roman"/>
    <w:notTrueType/>
    <w:pitch w:val="default"/>
  </w:font>
  <w:font w:name="HelveticaNeueLTStd-Bd">
    <w:altName w:val="Arial"/>
    <w:panose1 w:val="00000000000000000000"/>
    <w:charset w:val="00"/>
    <w:family w:val="roman"/>
    <w:notTrueType/>
    <w:pitch w:val="default"/>
  </w:font>
  <w:font w:name="ScalaLancetPro">
    <w:altName w:val="Cambria"/>
    <w:panose1 w:val="00000000000000000000"/>
    <w:charset w:val="00"/>
    <w:family w:val="roman"/>
    <w:notTrueType/>
    <w:pitch w:val="default"/>
  </w:font>
  <w:font w:name="Shaker2Lancet-Bold">
    <w:altName w:val="Cambria"/>
    <w:panose1 w:val="00000000000000000000"/>
    <w:charset w:val="00"/>
    <w:family w:val="roman"/>
    <w:notTrueType/>
    <w:pitch w:val="default"/>
  </w:font>
  <w:font w:name="JhfjkdAdvTTe45e47d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457FC"/>
    <w:multiLevelType w:val="hybridMultilevel"/>
    <w:tmpl w:val="608C4C0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BB7693"/>
    <w:multiLevelType w:val="multilevel"/>
    <w:tmpl w:val="6BDE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753096"/>
    <w:multiLevelType w:val="multilevel"/>
    <w:tmpl w:val="6D2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055567">
    <w:abstractNumId w:val="1"/>
  </w:num>
  <w:num w:numId="2" w16cid:durableId="244264509">
    <w:abstractNumId w:val="2"/>
  </w:num>
  <w:num w:numId="3" w16cid:durableId="119623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06"/>
    <w:rsid w:val="00011E57"/>
    <w:rsid w:val="00020781"/>
    <w:rsid w:val="00027ACA"/>
    <w:rsid w:val="00076797"/>
    <w:rsid w:val="00095B35"/>
    <w:rsid w:val="000A5DB2"/>
    <w:rsid w:val="000A681F"/>
    <w:rsid w:val="000F1FB7"/>
    <w:rsid w:val="001014EB"/>
    <w:rsid w:val="00101717"/>
    <w:rsid w:val="00104508"/>
    <w:rsid w:val="001243E4"/>
    <w:rsid w:val="001316E0"/>
    <w:rsid w:val="00150CDD"/>
    <w:rsid w:val="00157D06"/>
    <w:rsid w:val="00161689"/>
    <w:rsid w:val="00171B5F"/>
    <w:rsid w:val="0019015B"/>
    <w:rsid w:val="00197777"/>
    <w:rsid w:val="001C6461"/>
    <w:rsid w:val="001D11BF"/>
    <w:rsid w:val="001D42CB"/>
    <w:rsid w:val="001F6344"/>
    <w:rsid w:val="0021033A"/>
    <w:rsid w:val="002133EA"/>
    <w:rsid w:val="00251DD6"/>
    <w:rsid w:val="00270199"/>
    <w:rsid w:val="00284178"/>
    <w:rsid w:val="00284B6D"/>
    <w:rsid w:val="002A6CC7"/>
    <w:rsid w:val="002B3766"/>
    <w:rsid w:val="002E45E1"/>
    <w:rsid w:val="002F3A81"/>
    <w:rsid w:val="002F6F08"/>
    <w:rsid w:val="003067DD"/>
    <w:rsid w:val="0032271E"/>
    <w:rsid w:val="003242EC"/>
    <w:rsid w:val="00333C14"/>
    <w:rsid w:val="003445EF"/>
    <w:rsid w:val="00361A30"/>
    <w:rsid w:val="00395CC1"/>
    <w:rsid w:val="00395F8D"/>
    <w:rsid w:val="003976EE"/>
    <w:rsid w:val="003C18E4"/>
    <w:rsid w:val="003E2C74"/>
    <w:rsid w:val="003F5267"/>
    <w:rsid w:val="00417BDE"/>
    <w:rsid w:val="00452540"/>
    <w:rsid w:val="004536E7"/>
    <w:rsid w:val="00461C8D"/>
    <w:rsid w:val="00472C66"/>
    <w:rsid w:val="00482587"/>
    <w:rsid w:val="00483E02"/>
    <w:rsid w:val="004904C0"/>
    <w:rsid w:val="00494EEF"/>
    <w:rsid w:val="004B6ED1"/>
    <w:rsid w:val="004E0185"/>
    <w:rsid w:val="00507358"/>
    <w:rsid w:val="00520FC7"/>
    <w:rsid w:val="0052180B"/>
    <w:rsid w:val="0052253C"/>
    <w:rsid w:val="005251CC"/>
    <w:rsid w:val="00532377"/>
    <w:rsid w:val="005477CA"/>
    <w:rsid w:val="00550B57"/>
    <w:rsid w:val="00550CED"/>
    <w:rsid w:val="00551146"/>
    <w:rsid w:val="00571633"/>
    <w:rsid w:val="00576190"/>
    <w:rsid w:val="005830E5"/>
    <w:rsid w:val="005B73D1"/>
    <w:rsid w:val="00610433"/>
    <w:rsid w:val="00630C60"/>
    <w:rsid w:val="006312D2"/>
    <w:rsid w:val="006408EF"/>
    <w:rsid w:val="00645A2C"/>
    <w:rsid w:val="00661D68"/>
    <w:rsid w:val="006773C2"/>
    <w:rsid w:val="00680566"/>
    <w:rsid w:val="00697AFA"/>
    <w:rsid w:val="006A4058"/>
    <w:rsid w:val="006A5BEC"/>
    <w:rsid w:val="006A6E45"/>
    <w:rsid w:val="006E1623"/>
    <w:rsid w:val="006F2D1C"/>
    <w:rsid w:val="00703989"/>
    <w:rsid w:val="00763D6E"/>
    <w:rsid w:val="007930C5"/>
    <w:rsid w:val="007940EE"/>
    <w:rsid w:val="00796594"/>
    <w:rsid w:val="007B1D9B"/>
    <w:rsid w:val="007B599C"/>
    <w:rsid w:val="007C7DBA"/>
    <w:rsid w:val="007F71AD"/>
    <w:rsid w:val="00822E7B"/>
    <w:rsid w:val="00825506"/>
    <w:rsid w:val="00831358"/>
    <w:rsid w:val="00832637"/>
    <w:rsid w:val="0087628B"/>
    <w:rsid w:val="008769E0"/>
    <w:rsid w:val="008A577E"/>
    <w:rsid w:val="008A7A6A"/>
    <w:rsid w:val="008B483B"/>
    <w:rsid w:val="00913450"/>
    <w:rsid w:val="00922A57"/>
    <w:rsid w:val="00936384"/>
    <w:rsid w:val="009418AE"/>
    <w:rsid w:val="00945720"/>
    <w:rsid w:val="009520A4"/>
    <w:rsid w:val="00955CD9"/>
    <w:rsid w:val="0096518D"/>
    <w:rsid w:val="009A2539"/>
    <w:rsid w:val="009A60B2"/>
    <w:rsid w:val="009D21D9"/>
    <w:rsid w:val="009D5CCC"/>
    <w:rsid w:val="009F3BE2"/>
    <w:rsid w:val="00A32295"/>
    <w:rsid w:val="00A875DF"/>
    <w:rsid w:val="00A916E6"/>
    <w:rsid w:val="00AC0D68"/>
    <w:rsid w:val="00AC71D0"/>
    <w:rsid w:val="00AD6F2E"/>
    <w:rsid w:val="00AD7C69"/>
    <w:rsid w:val="00AE4BCE"/>
    <w:rsid w:val="00B02FD1"/>
    <w:rsid w:val="00B13E6B"/>
    <w:rsid w:val="00B328A1"/>
    <w:rsid w:val="00B568F3"/>
    <w:rsid w:val="00B64F98"/>
    <w:rsid w:val="00BD126C"/>
    <w:rsid w:val="00BF2004"/>
    <w:rsid w:val="00C00A87"/>
    <w:rsid w:val="00C00D24"/>
    <w:rsid w:val="00C243B4"/>
    <w:rsid w:val="00C53063"/>
    <w:rsid w:val="00C67364"/>
    <w:rsid w:val="00CA0D2A"/>
    <w:rsid w:val="00CB526D"/>
    <w:rsid w:val="00CB6E50"/>
    <w:rsid w:val="00CD2CE3"/>
    <w:rsid w:val="00CF0E41"/>
    <w:rsid w:val="00CF2510"/>
    <w:rsid w:val="00D21547"/>
    <w:rsid w:val="00D32D7D"/>
    <w:rsid w:val="00D81B07"/>
    <w:rsid w:val="00D86620"/>
    <w:rsid w:val="00DA5DF2"/>
    <w:rsid w:val="00DA63C6"/>
    <w:rsid w:val="00DB2166"/>
    <w:rsid w:val="00DC702D"/>
    <w:rsid w:val="00E13006"/>
    <w:rsid w:val="00E13FE5"/>
    <w:rsid w:val="00E14D74"/>
    <w:rsid w:val="00E45038"/>
    <w:rsid w:val="00E559B2"/>
    <w:rsid w:val="00E561BD"/>
    <w:rsid w:val="00E60EEA"/>
    <w:rsid w:val="00E670CD"/>
    <w:rsid w:val="00EA2CC1"/>
    <w:rsid w:val="00ED1810"/>
    <w:rsid w:val="00EE6049"/>
    <w:rsid w:val="00EF7AF1"/>
    <w:rsid w:val="00F012AB"/>
    <w:rsid w:val="00F35D2B"/>
    <w:rsid w:val="00F42CFF"/>
    <w:rsid w:val="00FC0841"/>
    <w:rsid w:val="00FC4A09"/>
    <w:rsid w:val="00FD1F3F"/>
    <w:rsid w:val="00FE7666"/>
    <w:rsid w:val="00FE7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AC8E"/>
  <w15:chartTrackingRefBased/>
  <w15:docId w15:val="{F4F98BC8-144C-4230-8575-74C0468F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1D9B"/>
    <w:pPr>
      <w:keepNext/>
      <w:keepLines/>
      <w:spacing w:after="0" w:line="360" w:lineRule="auto"/>
      <w:outlineLvl w:val="0"/>
    </w:pPr>
    <w:rPr>
      <w:rFonts w:eastAsiaTheme="majorEastAsia" w:cstheme="majorBidi"/>
      <w:b/>
      <w:sz w:val="24"/>
      <w:szCs w:val="40"/>
    </w:rPr>
  </w:style>
  <w:style w:type="paragraph" w:styleId="Heading2">
    <w:name w:val="heading 2"/>
    <w:basedOn w:val="Normal"/>
    <w:next w:val="Normal"/>
    <w:link w:val="Heading2Char"/>
    <w:uiPriority w:val="9"/>
    <w:semiHidden/>
    <w:unhideWhenUsed/>
    <w:qFormat/>
    <w:rsid w:val="00E130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0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0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0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9B"/>
    <w:rPr>
      <w:rFonts w:eastAsiaTheme="majorEastAsia" w:cstheme="majorBidi"/>
      <w:b/>
      <w:sz w:val="24"/>
      <w:szCs w:val="40"/>
      <w:lang w:val="en-US"/>
    </w:rPr>
  </w:style>
  <w:style w:type="character" w:customStyle="1" w:styleId="Heading2Char">
    <w:name w:val="Heading 2 Char"/>
    <w:basedOn w:val="DefaultParagraphFont"/>
    <w:link w:val="Heading2"/>
    <w:uiPriority w:val="9"/>
    <w:semiHidden/>
    <w:rsid w:val="00E1300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E1300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E1300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E1300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E1300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1300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1300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1300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13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00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13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00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13006"/>
    <w:pPr>
      <w:spacing w:before="160"/>
      <w:jc w:val="center"/>
    </w:pPr>
    <w:rPr>
      <w:i/>
      <w:iCs/>
      <w:color w:val="404040" w:themeColor="text1" w:themeTint="BF"/>
    </w:rPr>
  </w:style>
  <w:style w:type="character" w:customStyle="1" w:styleId="QuoteChar">
    <w:name w:val="Quote Char"/>
    <w:basedOn w:val="DefaultParagraphFont"/>
    <w:link w:val="Quote"/>
    <w:uiPriority w:val="29"/>
    <w:rsid w:val="00E13006"/>
    <w:rPr>
      <w:i/>
      <w:iCs/>
      <w:color w:val="404040" w:themeColor="text1" w:themeTint="BF"/>
      <w:lang w:val="en-US"/>
    </w:rPr>
  </w:style>
  <w:style w:type="paragraph" w:styleId="ListParagraph">
    <w:name w:val="List Paragraph"/>
    <w:basedOn w:val="Normal"/>
    <w:uiPriority w:val="34"/>
    <w:qFormat/>
    <w:rsid w:val="00E13006"/>
    <w:pPr>
      <w:ind w:left="720"/>
      <w:contextualSpacing/>
    </w:pPr>
  </w:style>
  <w:style w:type="character" w:styleId="IntenseEmphasis">
    <w:name w:val="Intense Emphasis"/>
    <w:basedOn w:val="DefaultParagraphFont"/>
    <w:uiPriority w:val="21"/>
    <w:qFormat/>
    <w:rsid w:val="00E13006"/>
    <w:rPr>
      <w:i/>
      <w:iCs/>
      <w:color w:val="2F5496" w:themeColor="accent1" w:themeShade="BF"/>
    </w:rPr>
  </w:style>
  <w:style w:type="paragraph" w:styleId="IntenseQuote">
    <w:name w:val="Intense Quote"/>
    <w:basedOn w:val="Normal"/>
    <w:next w:val="Normal"/>
    <w:link w:val="IntenseQuoteChar"/>
    <w:uiPriority w:val="30"/>
    <w:qFormat/>
    <w:rsid w:val="00E130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006"/>
    <w:rPr>
      <w:i/>
      <w:iCs/>
      <w:color w:val="2F5496" w:themeColor="accent1" w:themeShade="BF"/>
      <w:lang w:val="en-US"/>
    </w:rPr>
  </w:style>
  <w:style w:type="character" w:styleId="IntenseReference">
    <w:name w:val="Intense Reference"/>
    <w:basedOn w:val="DefaultParagraphFont"/>
    <w:uiPriority w:val="32"/>
    <w:qFormat/>
    <w:rsid w:val="00E13006"/>
    <w:rPr>
      <w:b/>
      <w:bCs/>
      <w:smallCaps/>
      <w:color w:val="2F5496" w:themeColor="accent1" w:themeShade="BF"/>
      <w:spacing w:val="5"/>
    </w:rPr>
  </w:style>
  <w:style w:type="character" w:styleId="Hyperlink">
    <w:name w:val="Hyperlink"/>
    <w:basedOn w:val="DefaultParagraphFont"/>
    <w:uiPriority w:val="99"/>
    <w:unhideWhenUsed/>
    <w:rsid w:val="00571633"/>
    <w:rPr>
      <w:color w:val="0563C1" w:themeColor="hyperlink"/>
      <w:u w:val="single"/>
    </w:rPr>
  </w:style>
  <w:style w:type="character" w:styleId="UnresolvedMention">
    <w:name w:val="Unresolved Mention"/>
    <w:basedOn w:val="DefaultParagraphFont"/>
    <w:uiPriority w:val="99"/>
    <w:semiHidden/>
    <w:unhideWhenUsed/>
    <w:rsid w:val="00571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7375">
      <w:bodyDiv w:val="1"/>
      <w:marLeft w:val="0"/>
      <w:marRight w:val="0"/>
      <w:marTop w:val="0"/>
      <w:marBottom w:val="0"/>
      <w:divBdr>
        <w:top w:val="none" w:sz="0" w:space="0" w:color="auto"/>
        <w:left w:val="none" w:sz="0" w:space="0" w:color="auto"/>
        <w:bottom w:val="none" w:sz="0" w:space="0" w:color="auto"/>
        <w:right w:val="none" w:sz="0" w:space="0" w:color="auto"/>
      </w:divBdr>
    </w:div>
    <w:div w:id="211887728">
      <w:bodyDiv w:val="1"/>
      <w:marLeft w:val="0"/>
      <w:marRight w:val="0"/>
      <w:marTop w:val="0"/>
      <w:marBottom w:val="0"/>
      <w:divBdr>
        <w:top w:val="none" w:sz="0" w:space="0" w:color="auto"/>
        <w:left w:val="none" w:sz="0" w:space="0" w:color="auto"/>
        <w:bottom w:val="none" w:sz="0" w:space="0" w:color="auto"/>
        <w:right w:val="none" w:sz="0" w:space="0" w:color="auto"/>
      </w:divBdr>
    </w:div>
    <w:div w:id="690374323">
      <w:bodyDiv w:val="1"/>
      <w:marLeft w:val="0"/>
      <w:marRight w:val="0"/>
      <w:marTop w:val="0"/>
      <w:marBottom w:val="0"/>
      <w:divBdr>
        <w:top w:val="none" w:sz="0" w:space="0" w:color="auto"/>
        <w:left w:val="none" w:sz="0" w:space="0" w:color="auto"/>
        <w:bottom w:val="none" w:sz="0" w:space="0" w:color="auto"/>
        <w:right w:val="none" w:sz="0" w:space="0" w:color="auto"/>
      </w:divBdr>
    </w:div>
    <w:div w:id="802649715">
      <w:bodyDiv w:val="1"/>
      <w:marLeft w:val="0"/>
      <w:marRight w:val="0"/>
      <w:marTop w:val="0"/>
      <w:marBottom w:val="0"/>
      <w:divBdr>
        <w:top w:val="none" w:sz="0" w:space="0" w:color="auto"/>
        <w:left w:val="none" w:sz="0" w:space="0" w:color="auto"/>
        <w:bottom w:val="none" w:sz="0" w:space="0" w:color="auto"/>
        <w:right w:val="none" w:sz="0" w:space="0" w:color="auto"/>
      </w:divBdr>
    </w:div>
    <w:div w:id="1117795845">
      <w:bodyDiv w:val="1"/>
      <w:marLeft w:val="0"/>
      <w:marRight w:val="0"/>
      <w:marTop w:val="0"/>
      <w:marBottom w:val="0"/>
      <w:divBdr>
        <w:top w:val="none" w:sz="0" w:space="0" w:color="auto"/>
        <w:left w:val="none" w:sz="0" w:space="0" w:color="auto"/>
        <w:bottom w:val="none" w:sz="0" w:space="0" w:color="auto"/>
        <w:right w:val="none" w:sz="0" w:space="0" w:color="auto"/>
      </w:divBdr>
    </w:div>
    <w:div w:id="1475870903">
      <w:bodyDiv w:val="1"/>
      <w:marLeft w:val="0"/>
      <w:marRight w:val="0"/>
      <w:marTop w:val="0"/>
      <w:marBottom w:val="0"/>
      <w:divBdr>
        <w:top w:val="none" w:sz="0" w:space="0" w:color="auto"/>
        <w:left w:val="none" w:sz="0" w:space="0" w:color="auto"/>
        <w:bottom w:val="none" w:sz="0" w:space="0" w:color="auto"/>
        <w:right w:val="none" w:sz="0" w:space="0" w:color="auto"/>
      </w:divBdr>
    </w:div>
    <w:div w:id="1594361402">
      <w:bodyDiv w:val="1"/>
      <w:marLeft w:val="0"/>
      <w:marRight w:val="0"/>
      <w:marTop w:val="0"/>
      <w:marBottom w:val="0"/>
      <w:divBdr>
        <w:top w:val="none" w:sz="0" w:space="0" w:color="auto"/>
        <w:left w:val="none" w:sz="0" w:space="0" w:color="auto"/>
        <w:bottom w:val="none" w:sz="0" w:space="0" w:color="auto"/>
        <w:right w:val="none" w:sz="0" w:space="0" w:color="auto"/>
      </w:divBdr>
    </w:div>
    <w:div w:id="1617516389">
      <w:bodyDiv w:val="1"/>
      <w:marLeft w:val="0"/>
      <w:marRight w:val="0"/>
      <w:marTop w:val="0"/>
      <w:marBottom w:val="0"/>
      <w:divBdr>
        <w:top w:val="none" w:sz="0" w:space="0" w:color="auto"/>
        <w:left w:val="none" w:sz="0" w:space="0" w:color="auto"/>
        <w:bottom w:val="none" w:sz="0" w:space="0" w:color="auto"/>
        <w:right w:val="none" w:sz="0" w:space="0" w:color="auto"/>
      </w:divBdr>
      <w:divsChild>
        <w:div w:id="950473865">
          <w:marLeft w:val="0"/>
          <w:marRight w:val="0"/>
          <w:marTop w:val="0"/>
          <w:marBottom w:val="0"/>
          <w:divBdr>
            <w:top w:val="none" w:sz="0" w:space="0" w:color="auto"/>
            <w:left w:val="none" w:sz="0" w:space="0" w:color="auto"/>
            <w:bottom w:val="none" w:sz="0" w:space="0" w:color="auto"/>
            <w:right w:val="none" w:sz="0" w:space="0" w:color="auto"/>
          </w:divBdr>
          <w:divsChild>
            <w:div w:id="1263755866">
              <w:marLeft w:val="0"/>
              <w:marRight w:val="0"/>
              <w:marTop w:val="0"/>
              <w:marBottom w:val="0"/>
              <w:divBdr>
                <w:top w:val="none" w:sz="0" w:space="0" w:color="auto"/>
                <w:left w:val="none" w:sz="0" w:space="0" w:color="auto"/>
                <w:bottom w:val="none" w:sz="0" w:space="0" w:color="auto"/>
                <w:right w:val="none" w:sz="0" w:space="0" w:color="auto"/>
              </w:divBdr>
              <w:divsChild>
                <w:div w:id="15904582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48524918">
          <w:marLeft w:val="0"/>
          <w:marRight w:val="0"/>
          <w:marTop w:val="0"/>
          <w:marBottom w:val="0"/>
          <w:divBdr>
            <w:top w:val="none" w:sz="0" w:space="0" w:color="auto"/>
            <w:left w:val="none" w:sz="0" w:space="0" w:color="auto"/>
            <w:bottom w:val="none" w:sz="0" w:space="0" w:color="auto"/>
            <w:right w:val="none" w:sz="0" w:space="0" w:color="auto"/>
          </w:divBdr>
          <w:divsChild>
            <w:div w:id="239413911">
              <w:marLeft w:val="0"/>
              <w:marRight w:val="0"/>
              <w:marTop w:val="0"/>
              <w:marBottom w:val="0"/>
              <w:divBdr>
                <w:top w:val="none" w:sz="0" w:space="0" w:color="auto"/>
                <w:left w:val="none" w:sz="0" w:space="0" w:color="auto"/>
                <w:bottom w:val="none" w:sz="0" w:space="0" w:color="auto"/>
                <w:right w:val="none" w:sz="0" w:space="0" w:color="auto"/>
              </w:divBdr>
              <w:divsChild>
                <w:div w:id="480081696">
                  <w:marLeft w:val="0"/>
                  <w:marRight w:val="0"/>
                  <w:marTop w:val="0"/>
                  <w:marBottom w:val="0"/>
                  <w:divBdr>
                    <w:top w:val="none" w:sz="0" w:space="0" w:color="auto"/>
                    <w:left w:val="none" w:sz="0" w:space="0" w:color="auto"/>
                    <w:bottom w:val="none" w:sz="0" w:space="0" w:color="auto"/>
                    <w:right w:val="none" w:sz="0" w:space="0" w:color="auto"/>
                  </w:divBdr>
                  <w:divsChild>
                    <w:div w:id="255098452">
                      <w:marLeft w:val="0"/>
                      <w:marRight w:val="0"/>
                      <w:marTop w:val="0"/>
                      <w:marBottom w:val="0"/>
                      <w:divBdr>
                        <w:top w:val="none" w:sz="0" w:space="0" w:color="auto"/>
                        <w:left w:val="none" w:sz="0" w:space="0" w:color="auto"/>
                        <w:bottom w:val="none" w:sz="0" w:space="0" w:color="auto"/>
                        <w:right w:val="none" w:sz="0" w:space="0" w:color="auto"/>
                      </w:divBdr>
                      <w:divsChild>
                        <w:div w:id="804348078">
                          <w:marLeft w:val="0"/>
                          <w:marRight w:val="0"/>
                          <w:marTop w:val="0"/>
                          <w:marBottom w:val="0"/>
                          <w:divBdr>
                            <w:top w:val="none" w:sz="0" w:space="0" w:color="auto"/>
                            <w:left w:val="none" w:sz="0" w:space="0" w:color="auto"/>
                            <w:bottom w:val="none" w:sz="0" w:space="0" w:color="auto"/>
                            <w:right w:val="none" w:sz="0" w:space="0" w:color="auto"/>
                          </w:divBdr>
                          <w:divsChild>
                            <w:div w:id="1357929545">
                              <w:marLeft w:val="0"/>
                              <w:marRight w:val="0"/>
                              <w:marTop w:val="0"/>
                              <w:marBottom w:val="0"/>
                              <w:divBdr>
                                <w:top w:val="none" w:sz="0" w:space="0" w:color="auto"/>
                                <w:left w:val="none" w:sz="0" w:space="0" w:color="auto"/>
                                <w:bottom w:val="none" w:sz="0" w:space="0" w:color="auto"/>
                                <w:right w:val="none" w:sz="0" w:space="0" w:color="auto"/>
                              </w:divBdr>
                            </w:div>
                            <w:div w:id="1994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7987">
                  <w:marLeft w:val="0"/>
                  <w:marRight w:val="0"/>
                  <w:marTop w:val="0"/>
                  <w:marBottom w:val="0"/>
                  <w:divBdr>
                    <w:top w:val="none" w:sz="0" w:space="0" w:color="auto"/>
                    <w:left w:val="none" w:sz="0" w:space="0" w:color="auto"/>
                    <w:bottom w:val="none" w:sz="0" w:space="0" w:color="auto"/>
                    <w:right w:val="none" w:sz="0" w:space="0" w:color="auto"/>
                  </w:divBdr>
                  <w:divsChild>
                    <w:div w:id="2076391584">
                      <w:marLeft w:val="0"/>
                      <w:marRight w:val="0"/>
                      <w:marTop w:val="0"/>
                      <w:marBottom w:val="0"/>
                      <w:divBdr>
                        <w:top w:val="none" w:sz="0" w:space="0" w:color="auto"/>
                        <w:left w:val="none" w:sz="0" w:space="0" w:color="auto"/>
                        <w:bottom w:val="none" w:sz="0" w:space="0" w:color="auto"/>
                        <w:right w:val="none" w:sz="0" w:space="0" w:color="auto"/>
                      </w:divBdr>
                      <w:divsChild>
                        <w:div w:id="957487276">
                          <w:marLeft w:val="0"/>
                          <w:marRight w:val="0"/>
                          <w:marTop w:val="0"/>
                          <w:marBottom w:val="0"/>
                          <w:divBdr>
                            <w:top w:val="none" w:sz="0" w:space="0" w:color="auto"/>
                            <w:left w:val="none" w:sz="0" w:space="0" w:color="auto"/>
                            <w:bottom w:val="none" w:sz="0" w:space="0" w:color="auto"/>
                            <w:right w:val="none" w:sz="0" w:space="0" w:color="auto"/>
                          </w:divBdr>
                          <w:divsChild>
                            <w:div w:id="678973084">
                              <w:marLeft w:val="0"/>
                              <w:marRight w:val="0"/>
                              <w:marTop w:val="0"/>
                              <w:marBottom w:val="0"/>
                              <w:divBdr>
                                <w:top w:val="none" w:sz="0" w:space="0" w:color="auto"/>
                                <w:left w:val="none" w:sz="0" w:space="0" w:color="auto"/>
                                <w:bottom w:val="none" w:sz="0" w:space="0" w:color="auto"/>
                                <w:right w:val="none" w:sz="0" w:space="0" w:color="auto"/>
                              </w:divBdr>
                            </w:div>
                            <w:div w:id="12577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0989">
                  <w:marLeft w:val="0"/>
                  <w:marRight w:val="0"/>
                  <w:marTop w:val="0"/>
                  <w:marBottom w:val="0"/>
                  <w:divBdr>
                    <w:top w:val="none" w:sz="0" w:space="0" w:color="auto"/>
                    <w:left w:val="none" w:sz="0" w:space="0" w:color="auto"/>
                    <w:bottom w:val="none" w:sz="0" w:space="0" w:color="auto"/>
                    <w:right w:val="none" w:sz="0" w:space="0" w:color="auto"/>
                  </w:divBdr>
                  <w:divsChild>
                    <w:div w:id="1936552224">
                      <w:marLeft w:val="0"/>
                      <w:marRight w:val="0"/>
                      <w:marTop w:val="0"/>
                      <w:marBottom w:val="0"/>
                      <w:divBdr>
                        <w:top w:val="none" w:sz="0" w:space="0" w:color="auto"/>
                        <w:left w:val="none" w:sz="0" w:space="0" w:color="auto"/>
                        <w:bottom w:val="none" w:sz="0" w:space="0" w:color="auto"/>
                        <w:right w:val="none" w:sz="0" w:space="0" w:color="auto"/>
                      </w:divBdr>
                      <w:divsChild>
                        <w:div w:id="1430269825">
                          <w:marLeft w:val="0"/>
                          <w:marRight w:val="0"/>
                          <w:marTop w:val="0"/>
                          <w:marBottom w:val="0"/>
                          <w:divBdr>
                            <w:top w:val="none" w:sz="0" w:space="0" w:color="auto"/>
                            <w:left w:val="none" w:sz="0" w:space="0" w:color="auto"/>
                            <w:bottom w:val="none" w:sz="0" w:space="0" w:color="auto"/>
                            <w:right w:val="none" w:sz="0" w:space="0" w:color="auto"/>
                          </w:divBdr>
                          <w:divsChild>
                            <w:div w:id="2101947157">
                              <w:marLeft w:val="0"/>
                              <w:marRight w:val="0"/>
                              <w:marTop w:val="0"/>
                              <w:marBottom w:val="0"/>
                              <w:divBdr>
                                <w:top w:val="none" w:sz="0" w:space="0" w:color="auto"/>
                                <w:left w:val="none" w:sz="0" w:space="0" w:color="auto"/>
                                <w:bottom w:val="none" w:sz="0" w:space="0" w:color="auto"/>
                                <w:right w:val="none" w:sz="0" w:space="0" w:color="auto"/>
                              </w:divBdr>
                            </w:div>
                            <w:div w:id="16716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1666">
                  <w:marLeft w:val="0"/>
                  <w:marRight w:val="0"/>
                  <w:marTop w:val="0"/>
                  <w:marBottom w:val="0"/>
                  <w:divBdr>
                    <w:top w:val="none" w:sz="0" w:space="0" w:color="auto"/>
                    <w:left w:val="none" w:sz="0" w:space="0" w:color="auto"/>
                    <w:bottom w:val="none" w:sz="0" w:space="0" w:color="auto"/>
                    <w:right w:val="none" w:sz="0" w:space="0" w:color="auto"/>
                  </w:divBdr>
                  <w:divsChild>
                    <w:div w:id="46759801">
                      <w:marLeft w:val="0"/>
                      <w:marRight w:val="0"/>
                      <w:marTop w:val="0"/>
                      <w:marBottom w:val="0"/>
                      <w:divBdr>
                        <w:top w:val="none" w:sz="0" w:space="0" w:color="auto"/>
                        <w:left w:val="none" w:sz="0" w:space="0" w:color="auto"/>
                        <w:bottom w:val="none" w:sz="0" w:space="0" w:color="auto"/>
                        <w:right w:val="none" w:sz="0" w:space="0" w:color="auto"/>
                      </w:divBdr>
                      <w:divsChild>
                        <w:div w:id="520322454">
                          <w:marLeft w:val="0"/>
                          <w:marRight w:val="0"/>
                          <w:marTop w:val="0"/>
                          <w:marBottom w:val="0"/>
                          <w:divBdr>
                            <w:top w:val="none" w:sz="0" w:space="0" w:color="auto"/>
                            <w:left w:val="none" w:sz="0" w:space="0" w:color="auto"/>
                            <w:bottom w:val="none" w:sz="0" w:space="0" w:color="auto"/>
                            <w:right w:val="none" w:sz="0" w:space="0" w:color="auto"/>
                          </w:divBdr>
                          <w:divsChild>
                            <w:div w:id="835727563">
                              <w:marLeft w:val="0"/>
                              <w:marRight w:val="0"/>
                              <w:marTop w:val="0"/>
                              <w:marBottom w:val="0"/>
                              <w:divBdr>
                                <w:top w:val="none" w:sz="0" w:space="0" w:color="auto"/>
                                <w:left w:val="none" w:sz="0" w:space="0" w:color="auto"/>
                                <w:bottom w:val="none" w:sz="0" w:space="0" w:color="auto"/>
                                <w:right w:val="none" w:sz="0" w:space="0" w:color="auto"/>
                              </w:divBdr>
                            </w:div>
                            <w:div w:id="17097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287721">
      <w:bodyDiv w:val="1"/>
      <w:marLeft w:val="0"/>
      <w:marRight w:val="0"/>
      <w:marTop w:val="0"/>
      <w:marBottom w:val="0"/>
      <w:divBdr>
        <w:top w:val="none" w:sz="0" w:space="0" w:color="auto"/>
        <w:left w:val="none" w:sz="0" w:space="0" w:color="auto"/>
        <w:bottom w:val="none" w:sz="0" w:space="0" w:color="auto"/>
        <w:right w:val="none" w:sz="0" w:space="0" w:color="auto"/>
      </w:divBdr>
    </w:div>
    <w:div w:id="2106732542">
      <w:bodyDiv w:val="1"/>
      <w:marLeft w:val="0"/>
      <w:marRight w:val="0"/>
      <w:marTop w:val="0"/>
      <w:marBottom w:val="0"/>
      <w:divBdr>
        <w:top w:val="none" w:sz="0" w:space="0" w:color="auto"/>
        <w:left w:val="none" w:sz="0" w:space="0" w:color="auto"/>
        <w:bottom w:val="none" w:sz="0" w:space="0" w:color="auto"/>
        <w:right w:val="none" w:sz="0" w:space="0" w:color="auto"/>
      </w:divBdr>
    </w:div>
    <w:div w:id="21219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xalimentarius.net/" TargetMode="External"/><Relationship Id="rId13" Type="http://schemas.openxmlformats.org/officeDocument/2006/relationships/hyperlink" Target="https://pubmed.ncbi.nlm.nih.gov/37697195/?utm_source=chatgp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80/00207233.2010.549617" TargetMode="External"/><Relationship Id="rId12" Type="http://schemas.openxmlformats.org/officeDocument/2006/relationships/hyperlink" Target="https://www.sciencedirect.com/science/article/pii/S2666154324000644?utm_source=chatgpt.com" TargetMode="External"/><Relationship Id="rId17" Type="http://schemas.openxmlformats.org/officeDocument/2006/relationships/hyperlink" Target="https://pmc.ncbi.nlm.nih.gov/articles/PMC9902158/?utm_source=chatgpt.com" TargetMode="External"/><Relationship Id="rId2" Type="http://schemas.openxmlformats.org/officeDocument/2006/relationships/numbering" Target="numbering.xml"/><Relationship Id="rId16" Type="http://schemas.openxmlformats.org/officeDocument/2006/relationships/hyperlink" Target="https://pubmed.ncbi.nlm.nih.gov/25005864/?utm_source=chatgpt.com" TargetMode="External"/><Relationship Id="rId1" Type="http://schemas.openxmlformats.org/officeDocument/2006/relationships/customXml" Target="../customXml/item1.xml"/><Relationship Id="rId6" Type="http://schemas.openxmlformats.org/officeDocument/2006/relationships/hyperlink" Target="https://www.epa.gov/sites/default/files/2015-09/documents/rags3adt_complete.pdf" TargetMode="External"/><Relationship Id="rId11" Type="http://schemas.openxmlformats.org/officeDocument/2006/relationships/hyperlink" Target="https://www.sciencedirect.com/science/article/pii/S2590157523004571?utm_source=chatgpt.com" TargetMode="External"/><Relationship Id="rId5" Type="http://schemas.openxmlformats.org/officeDocument/2006/relationships/webSettings" Target="webSettings.xml"/><Relationship Id="rId15" Type="http://schemas.openxmlformats.org/officeDocument/2006/relationships/hyperlink" Target="https://pubmed.ncbi.nlm.nih.gov/19879312/?utm_source=chatgpt.com" TargetMode="External"/><Relationship Id="rId10" Type="http://schemas.openxmlformats.org/officeDocument/2006/relationships/hyperlink" Target="https://ehjournal.biomedcentral.com/articles/10.1186/s12940-023-01020-8?utm_source=chatgp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fsa.europa.eu/en/efsajournal/pub/6394?utm_source=chatgpt.com" TargetMode="External"/><Relationship Id="rId14" Type="http://schemas.openxmlformats.org/officeDocument/2006/relationships/hyperlink" Target="https://en.wikipedia.org/wiki/Organic_food?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0CB74-C51D-4E45-8FA1-8E0466D67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17</Pages>
  <Words>12359</Words>
  <Characters>70447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 Asefa</dc:creator>
  <cp:keywords/>
  <dc:description/>
  <cp:lastModifiedBy>Elsai Asefa</cp:lastModifiedBy>
  <cp:revision>101</cp:revision>
  <dcterms:created xsi:type="dcterms:W3CDTF">2025-07-16T13:05:00Z</dcterms:created>
  <dcterms:modified xsi:type="dcterms:W3CDTF">2025-07-19T14:39:00Z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http://www.zotero.org/styles/apa-6th-edition</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http://www.zotero.org/styles/elsevier-harvard</vt:lpwstr>
  </property>
  <property fmtid="{D5CDD505-2E9C-101B-9397-08002B2CF9AE}" pid="7" name="Mendeley Recent Style Name 2_1">
    <vt:lpwstr>Elsevier - Harvard (with titles)</vt:lpwstr>
  </property>
  <property fmtid="{D5CDD505-2E9C-101B-9397-08002B2CF9AE}" pid="8" name="Mendeley Recent Style Id 3_1">
    <vt:lpwstr>http://www.zotero.org/styles/emerald-harvard</vt:lpwstr>
  </property>
  <property fmtid="{D5CDD505-2E9C-101B-9397-08002B2CF9AE}" pid="9" name="Mendeley Recent Style Name 3_1">
    <vt:lpwstr>Emerald - Harvard</vt:lpwstr>
  </property>
  <property fmtid="{D5CDD505-2E9C-101B-9397-08002B2CF9AE}" pid="10" name="Mendeley Recent Style Id 4_1">
    <vt:lpwstr>http://www.zotero.org/styles/nature</vt:lpwstr>
  </property>
  <property fmtid="{D5CDD505-2E9C-101B-9397-08002B2CF9AE}" pid="11" name="Mendeley Recent Style Name 4_1">
    <vt:lpwstr>Nature</vt:lpwstr>
  </property>
  <property fmtid="{D5CDD505-2E9C-101B-9397-08002B2CF9AE}" pid="12" name="Mendeley Recent Style Id 5_1">
    <vt:lpwstr>http://www.zotero.org/styles/nature-communications</vt:lpwstr>
  </property>
  <property fmtid="{D5CDD505-2E9C-101B-9397-08002B2CF9AE}" pid="13" name="Mendeley Recent Style Name 5_1">
    <vt:lpwstr>Nature Communications</vt:lpwstr>
  </property>
  <property fmtid="{D5CDD505-2E9C-101B-9397-08002B2CF9AE}" pid="14" name="Mendeley Recent Style Id 6_1">
    <vt:lpwstr>http://www.zotero.org/styles/norsk-apa-manual</vt:lpwstr>
  </property>
  <property fmtid="{D5CDD505-2E9C-101B-9397-08002B2CF9AE}" pid="15" name="Mendeley Recent Style Name 6_1">
    <vt:lpwstr>Norsk APA-manual - APA 7th edition (author-date)</vt:lpwstr>
  </property>
  <property fmtid="{D5CDD505-2E9C-101B-9397-08002B2CF9AE}" pid="16" name="Mendeley Recent Style Id 7_1">
    <vt:lpwstr>http://www.zotero.org/styles/university-of-york-apa</vt:lpwstr>
  </property>
  <property fmtid="{D5CDD505-2E9C-101B-9397-08002B2CF9AE}" pid="17" name="Mendeley Recent Style Name 7_1">
    <vt:lpwstr>University of York - APA 6th edition</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http://www.zotero.org/styles/vancouver-superscript-only-year</vt:lpwstr>
  </property>
  <property fmtid="{D5CDD505-2E9C-101B-9397-08002B2CF9AE}" pid="21" name="Mendeley Recent Style Name 9_1">
    <vt:lpwstr>Vancouver (superscript, only year in date, no issue numbers)</vt:lpwstr>
  </property>
  <property fmtid="{D5CDD505-2E9C-101B-9397-08002B2CF9AE}" pid="22" name="Mendeley Document_1">
    <vt:lpwstr>True</vt:lpwstr>
  </property>
  <property fmtid="{D5CDD505-2E9C-101B-9397-08002B2CF9AE}" pid="23" name="Mendeley Unique User Id_1">
    <vt:lpwstr>fffcb752-5b66-3c5d-8a29-1f7c35352665</vt:lpwstr>
  </property>
  <property fmtid="{D5CDD505-2E9C-101B-9397-08002B2CF9AE}" pid="24" name="Mendeley Citation Style_1">
    <vt:lpwstr>http://www.zotero.org/styles/emerald-harvard</vt:lpwstr>
  </property>
</Properties>
</file>