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87694" w14:textId="6F324EFA" w:rsidR="0014135C" w:rsidRPr="00FA550D" w:rsidRDefault="0014135C" w:rsidP="00FA550D">
      <w:pPr>
        <w:spacing w:line="360" w:lineRule="auto"/>
        <w:jc w:val="center"/>
        <w:rPr>
          <w:rFonts w:ascii="Times New Roman" w:hAnsi="Times New Roman" w:cs="Times New Roman"/>
          <w:b/>
          <w:bCs/>
          <w:sz w:val="28"/>
          <w:szCs w:val="28"/>
        </w:rPr>
      </w:pPr>
      <w:r w:rsidRPr="0014135C">
        <w:rPr>
          <w:rFonts w:ascii="Times New Roman" w:hAnsi="Times New Roman" w:cs="Times New Roman"/>
          <w:b/>
          <w:bCs/>
          <w:sz w:val="28"/>
          <w:szCs w:val="28"/>
        </w:rPr>
        <w:t>Multilevel Meta-Analysis and Probabilistic Population-Wide Health Risk Assessment of Dietary Pesticide Exposure in Ethiopia</w:t>
      </w:r>
    </w:p>
    <w:p w14:paraId="2C96145D" w14:textId="764C982C" w:rsidR="00835361" w:rsidRPr="00FA550D" w:rsidRDefault="00FA550D" w:rsidP="00FA550D">
      <w:pPr>
        <w:spacing w:line="360" w:lineRule="auto"/>
        <w:jc w:val="center"/>
        <w:rPr>
          <w:rFonts w:ascii="Times New Roman" w:hAnsi="Times New Roman" w:cs="Times New Roman"/>
          <w:i/>
          <w:iCs/>
          <w:sz w:val="24"/>
          <w:szCs w:val="24"/>
        </w:rPr>
      </w:pPr>
      <w:r w:rsidRPr="00FA550D">
        <w:rPr>
          <w:rFonts w:ascii="Times New Roman" w:hAnsi="Times New Roman" w:cs="Times New Roman"/>
          <w:i/>
          <w:iCs/>
          <w:sz w:val="24"/>
          <w:szCs w:val="24"/>
        </w:rPr>
        <w:t>Asefa</w:t>
      </w:r>
      <w:r>
        <w:rPr>
          <w:rFonts w:ascii="Times New Roman" w:hAnsi="Times New Roman" w:cs="Times New Roman"/>
          <w:i/>
          <w:iCs/>
          <w:sz w:val="24"/>
          <w:szCs w:val="24"/>
        </w:rPr>
        <w:t xml:space="preserve"> </w:t>
      </w:r>
      <w:r w:rsidRPr="00FA550D">
        <w:rPr>
          <w:rFonts w:ascii="Times New Roman" w:hAnsi="Times New Roman" w:cs="Times New Roman"/>
          <w:i/>
          <w:iCs/>
          <w:sz w:val="24"/>
          <w:szCs w:val="24"/>
        </w:rPr>
        <w:t>et al.</w:t>
      </w:r>
    </w:p>
    <w:p w14:paraId="626CD124" w14:textId="77777777" w:rsidR="00FA550D" w:rsidRDefault="00FA550D" w:rsidP="00FA550D">
      <w:pPr>
        <w:spacing w:line="360" w:lineRule="auto"/>
        <w:rPr>
          <w:rFonts w:ascii="Times New Roman" w:hAnsi="Times New Roman" w:cs="Times New Roman"/>
          <w:sz w:val="24"/>
          <w:szCs w:val="24"/>
        </w:rPr>
      </w:pPr>
    </w:p>
    <w:p w14:paraId="7ADEEDE2" w14:textId="497442D0" w:rsidR="00E07E62" w:rsidRDefault="00E07E62" w:rsidP="00822CE6">
      <w:pPr>
        <w:spacing w:after="120" w:line="360" w:lineRule="auto"/>
        <w:jc w:val="both"/>
        <w:rPr>
          <w:rFonts w:ascii="Times New Roman" w:hAnsi="Times New Roman" w:cs="Times New Roman"/>
          <w:b/>
          <w:bCs/>
          <w:i/>
          <w:iCs/>
          <w:sz w:val="24"/>
          <w:szCs w:val="24"/>
        </w:rPr>
      </w:pPr>
      <w:r w:rsidRPr="00E07E62">
        <w:rPr>
          <w:rFonts w:ascii="Times New Roman" w:hAnsi="Times New Roman" w:cs="Times New Roman"/>
          <w:b/>
          <w:bCs/>
          <w:i/>
          <w:iCs/>
          <w:sz w:val="24"/>
          <w:szCs w:val="24"/>
        </w:rPr>
        <w:t>Evidence before this study</w:t>
      </w:r>
    </w:p>
    <w:p w14:paraId="42BFD9BE" w14:textId="2E23781D" w:rsidR="00E07E62" w:rsidRDefault="00E07E62" w:rsidP="00822CE6">
      <w:pPr>
        <w:spacing w:after="120" w:line="360" w:lineRule="auto"/>
        <w:jc w:val="both"/>
        <w:rPr>
          <w:rFonts w:ascii="Times New Roman" w:hAnsi="Times New Roman" w:cs="Times New Roman"/>
          <w:b/>
          <w:bCs/>
          <w:i/>
          <w:iCs/>
          <w:sz w:val="24"/>
          <w:szCs w:val="24"/>
        </w:rPr>
      </w:pPr>
      <w:r w:rsidRPr="00E07E62">
        <w:rPr>
          <w:rFonts w:ascii="Times New Roman" w:hAnsi="Times New Roman" w:cs="Times New Roman"/>
          <w:b/>
          <w:bCs/>
          <w:i/>
          <w:iCs/>
          <w:sz w:val="24"/>
          <w:szCs w:val="24"/>
        </w:rPr>
        <w:t>Added value of this study</w:t>
      </w:r>
    </w:p>
    <w:p w14:paraId="6ED01B33" w14:textId="619175DA" w:rsidR="00E07E62" w:rsidRDefault="00E07E62" w:rsidP="00822CE6">
      <w:pPr>
        <w:spacing w:after="120" w:line="360" w:lineRule="auto"/>
        <w:jc w:val="both"/>
        <w:rPr>
          <w:rFonts w:ascii="Times New Roman" w:hAnsi="Times New Roman" w:cs="Times New Roman"/>
          <w:b/>
          <w:bCs/>
          <w:i/>
          <w:iCs/>
          <w:sz w:val="24"/>
          <w:szCs w:val="24"/>
        </w:rPr>
      </w:pPr>
      <w:r w:rsidRPr="00E07E62">
        <w:rPr>
          <w:rFonts w:ascii="Times New Roman" w:hAnsi="Times New Roman" w:cs="Times New Roman"/>
          <w:b/>
          <w:bCs/>
          <w:i/>
          <w:iCs/>
          <w:sz w:val="24"/>
          <w:szCs w:val="24"/>
        </w:rPr>
        <w:t>Implications of all the available evidence</w:t>
      </w:r>
    </w:p>
    <w:p w14:paraId="7B476016" w14:textId="2F30B6BB" w:rsidR="00822CE6" w:rsidRPr="00822CE6" w:rsidRDefault="00822CE6" w:rsidP="00822CE6">
      <w:pPr>
        <w:spacing w:after="120" w:line="360" w:lineRule="auto"/>
        <w:jc w:val="both"/>
        <w:rPr>
          <w:rFonts w:ascii="Times New Roman" w:hAnsi="Times New Roman" w:cs="Times New Roman"/>
          <w:b/>
          <w:bCs/>
          <w:i/>
          <w:iCs/>
          <w:sz w:val="24"/>
          <w:szCs w:val="24"/>
        </w:rPr>
      </w:pPr>
      <w:r w:rsidRPr="00822CE6">
        <w:rPr>
          <w:rFonts w:ascii="Times New Roman" w:hAnsi="Times New Roman" w:cs="Times New Roman"/>
          <w:b/>
          <w:bCs/>
          <w:i/>
          <w:iCs/>
          <w:sz w:val="24"/>
          <w:szCs w:val="24"/>
        </w:rPr>
        <w:t>Why even this study?</w:t>
      </w:r>
    </w:p>
    <w:p w14:paraId="372E4450" w14:textId="32B3208D" w:rsidR="003F25FC" w:rsidRDefault="003F25FC" w:rsidP="00822CE6">
      <w:pPr>
        <w:spacing w:after="120" w:line="360" w:lineRule="auto"/>
        <w:jc w:val="both"/>
        <w:rPr>
          <w:rFonts w:ascii="Times New Roman" w:hAnsi="Times New Roman" w:cs="Times New Roman"/>
          <w:sz w:val="24"/>
          <w:szCs w:val="24"/>
        </w:rPr>
      </w:pPr>
      <w:r w:rsidRPr="003F25FC">
        <w:rPr>
          <w:rFonts w:ascii="Times New Roman" w:hAnsi="Times New Roman" w:cs="Times New Roman"/>
          <w:sz w:val="24"/>
          <w:szCs w:val="24"/>
        </w:rPr>
        <w:t>Geographical biases in global food safety research skew understanding and policy toward high-income regions, perpetuating exposure and risk disparities that disproportionately burden the Global South</w:t>
      </w:r>
      <w:r>
        <w:rPr>
          <w:rFonts w:ascii="Times New Roman" w:hAnsi="Times New Roman" w:cs="Times New Roman"/>
          <w:sz w:val="24"/>
          <w:szCs w:val="24"/>
        </w:rPr>
        <w:t xml:space="preserve">, </w:t>
      </w:r>
      <w:r w:rsidRPr="003F25FC">
        <w:rPr>
          <w:rFonts w:ascii="Times New Roman" w:hAnsi="Times New Roman" w:cs="Times New Roman"/>
          <w:sz w:val="24"/>
          <w:szCs w:val="24"/>
        </w:rPr>
        <w:t>where inadequate monitoring and weak regulations leave the true magnitude of pesticide hazards unquantified. Sparse literature data can be synthesized via systematic review and meta-analys</w:t>
      </w:r>
      <w:r w:rsidR="00C35643">
        <w:rPr>
          <w:rFonts w:ascii="Times New Roman" w:hAnsi="Times New Roman" w:cs="Times New Roman"/>
          <w:sz w:val="24"/>
          <w:szCs w:val="24"/>
        </w:rPr>
        <w:t>i</w:t>
      </w:r>
      <w:r w:rsidRPr="003F25FC">
        <w:rPr>
          <w:rFonts w:ascii="Times New Roman" w:hAnsi="Times New Roman" w:cs="Times New Roman"/>
          <w:sz w:val="24"/>
          <w:szCs w:val="24"/>
        </w:rPr>
        <w:t>s in such settings, but conventional methods falter on hierarchical structures, left-censorship, missing data, variabilities, and uncertainties. To bridge these gaps, our study developed a</w:t>
      </w:r>
      <w:r w:rsidR="00C35643">
        <w:rPr>
          <w:rFonts w:ascii="Times New Roman" w:hAnsi="Times New Roman" w:cs="Times New Roman"/>
          <w:sz w:val="24"/>
          <w:szCs w:val="24"/>
        </w:rPr>
        <w:t xml:space="preserve"> novel multilevel meta-analytic </w:t>
      </w:r>
      <w:r w:rsidR="0011126A">
        <w:rPr>
          <w:rFonts w:ascii="Times New Roman" w:hAnsi="Times New Roman" w:cs="Times New Roman"/>
          <w:sz w:val="24"/>
          <w:szCs w:val="24"/>
        </w:rPr>
        <w:t xml:space="preserve">Monte Carlo-based probabilistic risk assessment </w:t>
      </w:r>
      <w:r w:rsidRPr="003F25FC">
        <w:rPr>
          <w:rFonts w:ascii="Times New Roman" w:hAnsi="Times New Roman" w:cs="Times New Roman"/>
          <w:sz w:val="24"/>
          <w:szCs w:val="24"/>
        </w:rPr>
        <w:t xml:space="preserve">framework, modeling data dependencies and propagating uncertainties to generate robust, population-level </w:t>
      </w:r>
      <w:r w:rsidR="0011126A">
        <w:rPr>
          <w:rFonts w:ascii="Times New Roman" w:hAnsi="Times New Roman" w:cs="Times New Roman"/>
          <w:sz w:val="24"/>
          <w:szCs w:val="24"/>
        </w:rPr>
        <w:t xml:space="preserve">dietary pesticide </w:t>
      </w:r>
      <w:r w:rsidRPr="003F25FC">
        <w:rPr>
          <w:rFonts w:ascii="Times New Roman" w:hAnsi="Times New Roman" w:cs="Times New Roman"/>
          <w:sz w:val="24"/>
          <w:szCs w:val="24"/>
        </w:rPr>
        <w:t>risk distributions, while employing state-of-the-art imputation for non-detects and missing values</w:t>
      </w:r>
      <w:r w:rsidR="008212D7">
        <w:rPr>
          <w:rFonts w:ascii="Times New Roman" w:hAnsi="Times New Roman" w:cs="Times New Roman"/>
          <w:sz w:val="24"/>
          <w:szCs w:val="24"/>
        </w:rPr>
        <w:t>.</w:t>
      </w:r>
    </w:p>
    <w:p w14:paraId="6B24D211" w14:textId="29BA1E44" w:rsidR="008212D7" w:rsidRPr="008212D7" w:rsidRDefault="008212D7" w:rsidP="00822CE6">
      <w:pPr>
        <w:spacing w:after="120" w:line="360" w:lineRule="auto"/>
        <w:jc w:val="both"/>
        <w:rPr>
          <w:rFonts w:ascii="Times New Roman" w:hAnsi="Times New Roman" w:cs="Times New Roman"/>
          <w:b/>
          <w:bCs/>
          <w:i/>
          <w:iCs/>
          <w:sz w:val="24"/>
          <w:szCs w:val="24"/>
        </w:rPr>
      </w:pPr>
      <w:r w:rsidRPr="008212D7">
        <w:rPr>
          <w:rFonts w:ascii="Times New Roman" w:hAnsi="Times New Roman" w:cs="Times New Roman"/>
          <w:b/>
          <w:bCs/>
          <w:i/>
          <w:iCs/>
          <w:sz w:val="24"/>
          <w:szCs w:val="24"/>
        </w:rPr>
        <w:t>Abstract</w:t>
      </w:r>
    </w:p>
    <w:p w14:paraId="69E8917B" w14:textId="6837ABE9" w:rsidR="00CE052B" w:rsidRDefault="00CE052B" w:rsidP="00822CE6">
      <w:pPr>
        <w:spacing w:after="120" w:line="360" w:lineRule="auto"/>
        <w:jc w:val="both"/>
        <w:rPr>
          <w:rFonts w:ascii="Times New Roman" w:hAnsi="Times New Roman" w:cs="Times New Roman"/>
          <w:sz w:val="24"/>
          <w:szCs w:val="24"/>
        </w:rPr>
      </w:pPr>
      <w:r w:rsidRPr="00CE052B">
        <w:rPr>
          <w:rFonts w:ascii="Times New Roman" w:hAnsi="Times New Roman" w:cs="Times New Roman"/>
          <w:sz w:val="24"/>
          <w:szCs w:val="24"/>
        </w:rPr>
        <w:t>This study introduces a novel meta-analytic–stochastic framework integrating multilevel meta-analysis (MMA) with Monte Carlo-based probabilistic risk assessment (MC-PRA) to estimate nationally representative pesticide residue levels in Ethiopian foods and quantify chronic population-wide health risks. Drawing from 40 studies encompassing 18,298 samples across 87 pesticides and 18 food groups, we addressed data challenges like hierarchical clustering, left-censorship, and missing values using advanced techniques (e.g., Kaplan-Meier imputation, multivariate imputation by chained equations). Applied to Ethiopia</w:t>
      </w:r>
      <w:r w:rsidR="008212D7">
        <w:rPr>
          <w:rFonts w:ascii="Times New Roman" w:hAnsi="Times New Roman" w:cs="Times New Roman"/>
          <w:sz w:val="24"/>
          <w:szCs w:val="24"/>
        </w:rPr>
        <w:t xml:space="preserve">, </w:t>
      </w:r>
      <w:r w:rsidRPr="00CE052B">
        <w:rPr>
          <w:rFonts w:ascii="Times New Roman" w:hAnsi="Times New Roman" w:cs="Times New Roman"/>
          <w:sz w:val="24"/>
          <w:szCs w:val="24"/>
        </w:rPr>
        <w:t>a data-limited Global South context with heavy pesticide reliance but weak monitoring</w:t>
      </w:r>
      <w:r w:rsidR="008212D7">
        <w:rPr>
          <w:rFonts w:ascii="Times New Roman" w:hAnsi="Times New Roman" w:cs="Times New Roman"/>
          <w:sz w:val="24"/>
          <w:szCs w:val="24"/>
        </w:rPr>
        <w:t xml:space="preserve">, </w:t>
      </w:r>
      <w:r w:rsidRPr="00CE052B">
        <w:rPr>
          <w:rFonts w:ascii="Times New Roman" w:hAnsi="Times New Roman" w:cs="Times New Roman"/>
          <w:sz w:val="24"/>
          <w:szCs w:val="24"/>
        </w:rPr>
        <w:t xml:space="preserve">the framework tested hypotheses on residue variations, moderators (e.g., food origin, location), and risk levels, revealing elevated </w:t>
      </w:r>
      <w:r w:rsidRPr="00CE052B">
        <w:rPr>
          <w:rFonts w:ascii="Times New Roman" w:hAnsi="Times New Roman" w:cs="Times New Roman"/>
          <w:sz w:val="24"/>
          <w:szCs w:val="24"/>
        </w:rPr>
        <w:lastRenderedPageBreak/>
        <w:t>exposures and providing a replicable model for equitable global food safety assessments. All analyses were conducted in R, with open-source data and scripts for transparency.</w:t>
      </w:r>
    </w:p>
    <w:p w14:paraId="13F4B281" w14:textId="71A42BFB" w:rsidR="008531EC" w:rsidRPr="002042E6" w:rsidRDefault="00314AF4" w:rsidP="00822CE6">
      <w:pPr>
        <w:spacing w:after="120" w:line="360" w:lineRule="auto"/>
        <w:jc w:val="both"/>
        <w:rPr>
          <w:rFonts w:ascii="Times New Roman" w:hAnsi="Times New Roman" w:cs="Times New Roman"/>
          <w:sz w:val="24"/>
          <w:szCs w:val="24"/>
        </w:rPr>
      </w:pPr>
      <w:r w:rsidRPr="00314AF4">
        <w:rPr>
          <w:rFonts w:ascii="Times New Roman" w:hAnsi="Times New Roman" w:cs="Times New Roman"/>
          <w:b/>
          <w:bCs/>
          <w:i/>
          <w:iCs/>
          <w:sz w:val="24"/>
          <w:szCs w:val="24"/>
        </w:rPr>
        <w:t>R</w:t>
      </w:r>
      <w:r w:rsidR="008212D7" w:rsidRPr="00314AF4">
        <w:rPr>
          <w:rFonts w:ascii="Times New Roman" w:hAnsi="Times New Roman" w:cs="Times New Roman"/>
          <w:b/>
          <w:bCs/>
          <w:i/>
          <w:iCs/>
          <w:sz w:val="24"/>
          <w:szCs w:val="24"/>
        </w:rPr>
        <w:t>esults</w:t>
      </w:r>
      <w:r w:rsidRPr="00314AF4">
        <w:rPr>
          <w:rFonts w:ascii="Times New Roman" w:hAnsi="Times New Roman" w:cs="Times New Roman"/>
          <w:b/>
          <w:bCs/>
          <w:i/>
          <w:iCs/>
          <w:sz w:val="24"/>
          <w:szCs w:val="24"/>
        </w:rPr>
        <w:t xml:space="preserve"> and discussion, and interpretations:</w:t>
      </w:r>
      <w:r>
        <w:rPr>
          <w:rFonts w:ascii="Times New Roman" w:hAnsi="Times New Roman" w:cs="Times New Roman"/>
          <w:sz w:val="24"/>
          <w:szCs w:val="24"/>
        </w:rPr>
        <w:t xml:space="preserve"> xx</w:t>
      </w:r>
    </w:p>
    <w:p w14:paraId="65057933" w14:textId="1C9C5458" w:rsidR="004C358E" w:rsidRPr="002042E6" w:rsidRDefault="004C358E" w:rsidP="006F1B36">
      <w:pPr>
        <w:pStyle w:val="Heading1"/>
        <w:numPr>
          <w:ilvl w:val="0"/>
          <w:numId w:val="11"/>
        </w:numPr>
        <w:jc w:val="both"/>
        <w:rPr>
          <w:rFonts w:cs="Times New Roman"/>
          <w:szCs w:val="24"/>
          <w:lang w:val="en-US"/>
        </w:rPr>
      </w:pPr>
      <w:r w:rsidRPr="002042E6">
        <w:rPr>
          <w:rFonts w:cs="Times New Roman"/>
          <w:szCs w:val="24"/>
          <w:lang w:val="en-US"/>
        </w:rPr>
        <w:t>Background</w:t>
      </w:r>
    </w:p>
    <w:p w14:paraId="6A7804F6" w14:textId="5A3F5852" w:rsidR="007E6DF1" w:rsidRDefault="007E6DF1" w:rsidP="001B5C3A">
      <w:pPr>
        <w:spacing w:line="360" w:lineRule="auto"/>
        <w:jc w:val="both"/>
        <w:rPr>
          <w:rFonts w:ascii="Times New Roman" w:hAnsi="Times New Roman" w:cs="Times New Roman"/>
          <w:sz w:val="24"/>
          <w:szCs w:val="24"/>
        </w:rPr>
      </w:pPr>
      <w:r w:rsidRPr="007E6DF1">
        <w:rPr>
          <w:rFonts w:ascii="Times New Roman" w:hAnsi="Times New Roman" w:cs="Times New Roman"/>
          <w:sz w:val="24"/>
          <w:szCs w:val="24"/>
        </w:rPr>
        <w:t>Pesticides are essential for boosting agricultural productivity, yet their toxicity threatens human health and environmental integrity. Globally, nearly two-thirds of agricultural land faces pesticide pollution risks, particularly in biodiversity hotspots and the Global South</w:t>
      </w:r>
      <w:r>
        <w:rPr>
          <w:rFonts w:ascii="Times New Roman" w:hAnsi="Times New Roman" w:cs="Times New Roman"/>
          <w:sz w:val="24"/>
          <w:szCs w:val="24"/>
        </w:rPr>
        <w:t xml:space="preserve"> </w:t>
      </w:r>
      <w:r w:rsidRPr="002042E6">
        <w:rPr>
          <w:rFonts w:ascii="Times New Roman" w:hAnsi="Times New Roman" w:cs="Times New Roman"/>
          <w:sz w:val="24"/>
          <w:szCs w:val="24"/>
        </w:rPr>
        <w:fldChar w:fldCharType="begin" w:fldLock="1"/>
      </w:r>
      <w:r w:rsidRPr="002042E6">
        <w:rPr>
          <w:rFonts w:ascii="Times New Roman" w:hAnsi="Times New Roman" w:cs="Times New Roman"/>
          <w:sz w:val="24"/>
          <w:szCs w:val="24"/>
        </w:rPr>
        <w:instrText>ADDIN CSL_CITATION {"citationItems":[{"id":"ITEM-1","itemData":{"DOI":"10.1038/s41561-021-00712-5","ISSN":"17520908","abstract":"Pesticides are widely used to protect food production and meet global food demand but are also ubiquitous environmental pollutants, causing adverse effects on water quality, biodiversity and human health. Here we use a global database of pesticide applications and a spatially explicit environmental model to estimate the world geography of environmental pollution risk caused by 92 active ingredients in 168 countries. We considered a region to be at risk of pollution if pesticide residues in the environment exceeded the no-effect concentrations, and to be at high risk if residues exceeded this by three orders of magnitude. We find that 64% of global agricultural land (approximately 24.5 million km2) is at risk of pesticide pollution by more than one active ingredient, and 31% is at high risk. Among the high-risk areas, about 34% are in high-biodiversity regions, 5% in water-scarce areas and 19% in low- and lower-middle-income nations. We identify watersheds in South Africa, China, India, Australia and Argentina as high-concern regions because they have high pesticide pollution risk, bear high biodiversity and suffer from water scarcity. Our study expands earlier pesticide risk assessments as it accounts for multiple active ingredients and integrates risks in different environmental compartments at a global scale.","author":[{"dropping-particle":"","family":"Tang","given":"Fiona H.M.","non-dropping-particle":"","parse-names":false,"suffix":""},{"dropping-particle":"","family":"Lenzen","given":"Manfred","non-dropping-particle":"","parse-names":false,"suffix":""},{"dropping-particle":"","family":"McBratney","given":"Alexander","non-dropping-particle":"","parse-names":false,"suffix":""},{"dropping-particle":"","family":"Maggi","given":"Federico","non-dropping-particle":"","parse-names":false,"suffix":""}],"container-title":"Nature Geoscience","id":"ITEM-1","issue":"4","issued":{"date-parts":[["2021","4","29"]]},"page":"206-210","title":"Risk of pesticide pollution at the global scale","type":"article-journal","volume":"14"},"uris":["http://www.mendeley.com/documents/?uuid=5fd176d3-1cdc-4d8a-8845-33016dce3eaa"]}],"mendeley":{"formattedCitation":"(Tang &lt;i&gt;et al.&lt;/i&gt;, 2021)","plainTextFormattedCitation":"(Tang et al., 2021)","previouslyFormattedCitation":"(Tang &lt;i&gt;et al.&lt;/i&gt;, 2021)"},"properties":{"noteIndex":0},"schema":"https://github.com/citation-style-language/schema/raw/master/csl-citation.json"}</w:instrText>
      </w:r>
      <w:r w:rsidRPr="002042E6">
        <w:rPr>
          <w:rFonts w:ascii="Times New Roman" w:hAnsi="Times New Roman" w:cs="Times New Roman"/>
          <w:sz w:val="24"/>
          <w:szCs w:val="24"/>
        </w:rPr>
        <w:fldChar w:fldCharType="separate"/>
      </w:r>
      <w:r w:rsidRPr="002042E6">
        <w:rPr>
          <w:rFonts w:ascii="Times New Roman" w:hAnsi="Times New Roman" w:cs="Times New Roman"/>
          <w:noProof/>
          <w:sz w:val="24"/>
          <w:szCs w:val="24"/>
        </w:rPr>
        <w:t xml:space="preserve">(Tang </w:t>
      </w:r>
      <w:r w:rsidRPr="002042E6">
        <w:rPr>
          <w:rFonts w:ascii="Times New Roman" w:hAnsi="Times New Roman" w:cs="Times New Roman"/>
          <w:i/>
          <w:noProof/>
          <w:sz w:val="24"/>
          <w:szCs w:val="24"/>
        </w:rPr>
        <w:t>et al.</w:t>
      </w:r>
      <w:r w:rsidRPr="002042E6">
        <w:rPr>
          <w:rFonts w:ascii="Times New Roman" w:hAnsi="Times New Roman" w:cs="Times New Roman"/>
          <w:noProof/>
          <w:sz w:val="24"/>
          <w:szCs w:val="24"/>
        </w:rPr>
        <w:t>, 2021)</w:t>
      </w:r>
      <w:r w:rsidRPr="002042E6">
        <w:rPr>
          <w:rFonts w:ascii="Times New Roman" w:hAnsi="Times New Roman" w:cs="Times New Roman"/>
          <w:sz w:val="24"/>
          <w:szCs w:val="24"/>
        </w:rPr>
        <w:fldChar w:fldCharType="end"/>
      </w:r>
      <w:r w:rsidRPr="007E6DF1">
        <w:rPr>
          <w:rFonts w:ascii="Times New Roman" w:hAnsi="Times New Roman" w:cs="Times New Roman"/>
          <w:sz w:val="24"/>
          <w:szCs w:val="24"/>
        </w:rPr>
        <w:t>, with an estimated footprint of 2 gigatons of body weight equivalent</w:t>
      </w:r>
      <w:r w:rsidR="00FE22B9">
        <w:rPr>
          <w:rFonts w:ascii="Times New Roman" w:hAnsi="Times New Roman" w:cs="Times New Roman"/>
          <w:sz w:val="24"/>
          <w:szCs w:val="24"/>
        </w:rPr>
        <w:t xml:space="preserve"> </w:t>
      </w:r>
      <w:r w:rsidR="00FE22B9">
        <w:rPr>
          <w:rFonts w:ascii="Times New Roman" w:hAnsi="Times New Roman" w:cs="Times New Roman"/>
          <w:sz w:val="24"/>
          <w:szCs w:val="24"/>
        </w:rPr>
        <w:fldChar w:fldCharType="begin" w:fldLock="1"/>
      </w:r>
      <w:r w:rsidR="00EF4871">
        <w:rPr>
          <w:rFonts w:ascii="Times New Roman" w:hAnsi="Times New Roman" w:cs="Times New Roman"/>
          <w:sz w:val="24"/>
          <w:szCs w:val="24"/>
        </w:rPr>
        <w:instrText>ADDIN CSL_CITATION {"citationItems":[{"id":"ITEM-1","itemData":{"DOI":"10.1038/s43247-022-00601-8","ISSN":"26624435","abstract":"Pesticides are well-recognised pollutants that threaten biodiversity and ecosystem functioning. Here we quantify the environmental footprints of pesticide use for 82 countries and territories and eight broad regions using top-down multi-region input-output analysis. Pesticide footprints are expressed as hazard loads that quantify the body weight (bw) of non-target organisms required to absorb pesticide residues without experiencing adverse effects. We show that the world’s consumption in 2015 resulted in 2 Gt-bw of pesticide footprints. Of these, 32% are traded internationally. The global average per-capita pesticide footprint is 0.27 t-bw capita−1 y−1, with high-income countries having the largest per-capita footprint. China, Germany, and United Kingdom are the top three net importers of pesticide hazard loads embodied in commodities, while the USA, Brazil, and Spain are the three largest net exporters. Our study highlights the need for policies to target pesticide use reduction while ensuring adverse impacts are not transferred to other nations.","author":[{"dropping-particle":"","family":"Tang","given":"Fiona H.M.","non-dropping-particle":"","parse-names":false,"suffix":""},{"dropping-particle":"","family":"Malik","given":"Arunima","non-dropping-particle":"","parse-names":false,"suffix":""},{"dropping-particle":"","family":"Li","given":"Mengyu","non-dropping-particle":"","parse-names":false,"suffix":""},{"dropping-particle":"","family":"Lenzen","given":"Manfred","non-dropping-particle":"","parse-names":false,"suffix":""},{"dropping-particle":"","family":"Maggi","given":"Federico","non-dropping-particle":"","parse-names":false,"suffix":""}],"container-title":"Communications Earth and Environment","id":"ITEM-1","issue":"1","issued":{"date-parts":[["2022","11","7"]]},"page":"272","title":"International demand for food and services drives environmental footprints of pesticide use","type":"article-journal","volume":"3"},"uris":["http://www.mendeley.com/documents/?uuid=1479f508-c07b-43f5-8d7b-d537d58a4143"]}],"mendeley":{"formattedCitation":"(Tang &lt;i&gt;et al.&lt;/i&gt;, 2022)","plainTextFormattedCitation":"(Tang et al., 2022)","previouslyFormattedCitation":"(Tang &lt;i&gt;et al.&lt;/i&gt;, 2022)"},"properties":{"noteIndex":0},"schema":"https://github.com/citation-style-language/schema/raw/master/csl-citation.json"}</w:instrText>
      </w:r>
      <w:r w:rsidR="00FE22B9">
        <w:rPr>
          <w:rFonts w:ascii="Times New Roman" w:hAnsi="Times New Roman" w:cs="Times New Roman"/>
          <w:sz w:val="24"/>
          <w:szCs w:val="24"/>
        </w:rPr>
        <w:fldChar w:fldCharType="separate"/>
      </w:r>
      <w:r w:rsidR="00FE22B9" w:rsidRPr="00FE22B9">
        <w:rPr>
          <w:rFonts w:ascii="Times New Roman" w:hAnsi="Times New Roman" w:cs="Times New Roman"/>
          <w:noProof/>
          <w:sz w:val="24"/>
          <w:szCs w:val="24"/>
        </w:rPr>
        <w:t xml:space="preserve">(Tang </w:t>
      </w:r>
      <w:r w:rsidR="00FE22B9" w:rsidRPr="00FE22B9">
        <w:rPr>
          <w:rFonts w:ascii="Times New Roman" w:hAnsi="Times New Roman" w:cs="Times New Roman"/>
          <w:i/>
          <w:noProof/>
          <w:sz w:val="24"/>
          <w:szCs w:val="24"/>
        </w:rPr>
        <w:t>et al.</w:t>
      </w:r>
      <w:r w:rsidR="00FE22B9" w:rsidRPr="00FE22B9">
        <w:rPr>
          <w:rFonts w:ascii="Times New Roman" w:hAnsi="Times New Roman" w:cs="Times New Roman"/>
          <w:noProof/>
          <w:sz w:val="24"/>
          <w:szCs w:val="24"/>
        </w:rPr>
        <w:t>, 2022)</w:t>
      </w:r>
      <w:r w:rsidR="00FE22B9">
        <w:rPr>
          <w:rFonts w:ascii="Times New Roman" w:hAnsi="Times New Roman" w:cs="Times New Roman"/>
          <w:sz w:val="24"/>
          <w:szCs w:val="24"/>
        </w:rPr>
        <w:fldChar w:fldCharType="end"/>
      </w:r>
      <w:r w:rsidRPr="007E6DF1">
        <w:rPr>
          <w:rFonts w:ascii="Times New Roman" w:hAnsi="Times New Roman" w:cs="Times New Roman"/>
          <w:sz w:val="24"/>
          <w:szCs w:val="24"/>
        </w:rPr>
        <w:t xml:space="preserve">. </w:t>
      </w:r>
      <w:r w:rsidR="00594894" w:rsidRPr="00594894">
        <w:rPr>
          <w:rFonts w:ascii="Times New Roman" w:hAnsi="Times New Roman" w:cs="Times New Roman"/>
          <w:sz w:val="24"/>
          <w:szCs w:val="24"/>
        </w:rPr>
        <w:t>Dietary intake is considered</w:t>
      </w:r>
      <w:r w:rsidR="00545E2E">
        <w:rPr>
          <w:rFonts w:ascii="Times New Roman" w:hAnsi="Times New Roman" w:cs="Times New Roman"/>
          <w:sz w:val="24"/>
          <w:szCs w:val="24"/>
        </w:rPr>
        <w:t xml:space="preserve"> </w:t>
      </w:r>
      <w:r w:rsidR="005B2A37">
        <w:rPr>
          <w:rFonts w:ascii="Times New Roman" w:hAnsi="Times New Roman" w:cs="Times New Roman"/>
          <w:sz w:val="24"/>
          <w:szCs w:val="24"/>
        </w:rPr>
        <w:t xml:space="preserve">the </w:t>
      </w:r>
      <w:r w:rsidR="00545E2E">
        <w:rPr>
          <w:rFonts w:ascii="Times New Roman" w:hAnsi="Times New Roman" w:cs="Times New Roman"/>
          <w:sz w:val="24"/>
          <w:szCs w:val="24"/>
        </w:rPr>
        <w:t>main pathway of general population exposure to pesticides,</w:t>
      </w:r>
      <w:r w:rsidR="00C83D0E">
        <w:rPr>
          <w:rFonts w:ascii="Times New Roman" w:hAnsi="Times New Roman" w:cs="Times New Roman"/>
          <w:sz w:val="24"/>
          <w:szCs w:val="24"/>
        </w:rPr>
        <w:t xml:space="preserve"> and it </w:t>
      </w:r>
      <w:r w:rsidR="00545E2E">
        <w:rPr>
          <w:rFonts w:ascii="Times New Roman" w:hAnsi="Times New Roman" w:cs="Times New Roman"/>
          <w:sz w:val="24"/>
          <w:szCs w:val="24"/>
        </w:rPr>
        <w:t xml:space="preserve">is </w:t>
      </w:r>
      <w:r w:rsidRPr="007E6DF1">
        <w:rPr>
          <w:rFonts w:ascii="Times New Roman" w:hAnsi="Times New Roman" w:cs="Times New Roman"/>
          <w:sz w:val="24"/>
          <w:szCs w:val="24"/>
        </w:rPr>
        <w:t xml:space="preserve">associated with </w:t>
      </w:r>
      <w:r w:rsidR="005B2A37">
        <w:rPr>
          <w:rFonts w:ascii="Times New Roman" w:hAnsi="Times New Roman" w:cs="Times New Roman"/>
          <w:sz w:val="24"/>
          <w:szCs w:val="24"/>
        </w:rPr>
        <w:t xml:space="preserve">a </w:t>
      </w:r>
      <w:r w:rsidR="0009028A">
        <w:rPr>
          <w:rFonts w:ascii="Times New Roman" w:hAnsi="Times New Roman" w:cs="Times New Roman"/>
          <w:sz w:val="24"/>
          <w:szCs w:val="24"/>
        </w:rPr>
        <w:t xml:space="preserve">range of health effects, including </w:t>
      </w:r>
      <w:r w:rsidRPr="007E6DF1">
        <w:rPr>
          <w:rFonts w:ascii="Times New Roman" w:hAnsi="Times New Roman" w:cs="Times New Roman"/>
          <w:sz w:val="24"/>
          <w:szCs w:val="24"/>
        </w:rPr>
        <w:t xml:space="preserve">neurodevelopmental disorders, endocrine disruption, and cancers </w:t>
      </w:r>
      <w:r w:rsidR="000D4180" w:rsidRPr="002042E6">
        <w:rPr>
          <w:rFonts w:ascii="Times New Roman" w:hAnsi="Times New Roman" w:cs="Times New Roman"/>
          <w:sz w:val="24"/>
          <w:szCs w:val="24"/>
        </w:rPr>
        <w:fldChar w:fldCharType="begin" w:fldLock="1"/>
      </w:r>
      <w:r w:rsidR="000D4180" w:rsidRPr="002042E6">
        <w:rPr>
          <w:rFonts w:ascii="Times New Roman" w:hAnsi="Times New Roman" w:cs="Times New Roman"/>
          <w:sz w:val="24"/>
          <w:szCs w:val="24"/>
        </w:rPr>
        <w:instrText>ADDIN CSL_CITATION {"citationItems":[{"id":"ITEM-1","itemData":{"DOI":"10.1016/j.scitotenv.2016.09.009","ISSN":"18791026","PMID":"27614863","abstract":"Pesticides are used widely to control weeds and insect infestation in agricultural fields and various pests and disease carriers (e.g., mosquitoes, ticks, rats, and mice) in houses, offices, malls, and streets. As the modes of action for pesticides are not species-specific, concerns have been raised about environmental risks associated with their exposure through various routes (e.g., residues in food and drinking water). Although such hazards range from short-term (e.g., skin and eye irritation, headaches, dizziness, and nausea) to chronic impacts (e.g., cancer, asthma, and diabetes), their risks are difficult to elucidate due to the involvement of various factors (e.g., period and level of exposure, type of pesticide (regarding toxicity and persistence), and the environmental characteristics of the affected areas). There are no groups in the human population that are completely unexposed to pesticides while most diseases are multi-causal to add considerable complexity to public health assessments. Hence, development of eco-friendly pesticide alternatives (e.g., EcoSMART) and Integrated Pest Management (IPM) techniques is desirable to reduce the impacts of pesticides. This paper was hence organized to present a comprehensive review on pesticides with respect to their types, environmental distribution, routes of exposure, and health impacts.","author":[{"dropping-particle":"","family":"Kim","given":"Ki Hyun","non-dropping-particle":"","parse-names":false,"suffix":""},{"dropping-particle":"","family":"Kabir","given":"Ehsanul","non-dropping-particle":"","parse-names":false,"suffix":""},{"dropping-particle":"","family":"Jahan","given":"Shamin Ara","non-dropping-particle":"","parse-names":false,"suffix":""}],"container-title":"Science of the Total Environment","id":"ITEM-1","issued":{"date-parts":[["2017","1"]]},"page":"525-535","title":"Exposure to pesticides and the associated human health effects","type":"article-journal","volume":"575"},"uris":["http://www.mendeley.com/documents/?uuid=a99987cc-515c-4d38-ae55-bb0c4ada5805"]},{"id":"ITEM-2","itemData":{"DOI":"10.1007/s44279-024-00141-z","ISSN":"2731-9598","abstract":"Pesticide residues in food crops have emerged as a significant concern due to their potential implications for food safety and human health. This comprehensive review evaluates the current state of knowledge regarding the presence of insecticide, herbicide, fungicide, and rodenticide residues in various crops, assessing their associated risks and mitigation strategies. The study highlights the widespread use of pesticides in agriculture, driven by the need to enhance crop yields and protect against pests. However, improper application, incorrect selection, and inadequate post-harvest intervals can accumulate harmful residues in produce. Through an extensive literature review, the study analyzes the levels of pesticide residues detected in diverse crops, scrutinizing the analytical methods employed for their determination. Furthermore, it delves into the potential adverse health effects associated with exposure to these residues, including neurotoxicity, endocrine disruption, reproductive issues, and increased cancer risk. The review underscores the need for stringent regulatory frameworks, adherence to maximum residue limits (MRLs), and adopting sustainable agricultural practices, such as Integrated Pest Management (IPM), to minimize pesticide reliance and safeguard human health and the environment. By synthesizing existing knowledge and highlighting areas for further research, this study contributes to the ongoing efforts towards ensuring food safety and promoting sustainable agricultural practices. Limitations include regional bias, as the review may not equally represent all regions, particularly developing countries. There is also variability in study methodologies and reporting standards, affecting the consistency and comparability of findings. Additionally, gaps exist in assessing long-term health impacts and these limitations highlight the need for more comprehensive and standardized research to fully understand the implications of pesticide residues on human health.","author":[{"dropping-particle":"","family":"Beyuo","given":"Janet","non-dropping-particle":"","parse-names":false,"suffix":""},{"dropping-particle":"","family":"Sackey","given":"Lyndon N. A.","non-dropping-particle":"","parse-names":false,"suffix":""},{"dropping-particle":"","family":"Yeboah","given":"Cornelius","non-dropping-particle":"","parse-names":false,"suffix":""},{"dropping-particle":"","family":"Kayoung","given":"Phebe Y.","non-dropping-particle":"","parse-names":false,"suffix":""},{"dropping-particle":"","family":"Koudadje","given":"Delphine","non-dropping-particle":"","parse-names":false,"suffix":""}],"container-title":"Discover Agriculture","id":"ITEM-2","issue":"1","issued":{"date-parts":[["2024","12","18"]]},"page":"123","title":"The implications of pesticide residue in food crops on human health: a critical review","type":"article-journal","volume":"2"},"uris":["http://www.mendeley.com/documents/?uuid=0ddc8110-da35-400e-87eb-a82d3a9e3b8d"]},{"id":"ITEM-3","itemData":{"DOI":"10.1016/j.tifs.2024.104340","ISSN":"09242244","abstract":"Background: The widespread application of pesticides in agricultural production often leads to the occurrence of multiple pesticide residues in food, which have the potential to accumulate within the human body and cause cumulative health risks. In order to address this matter, regulatory measures have been established to ensure the incorporation of cumulative effects in the risk assessment for pesticides. Scope and approach: This review provides an in-depth look at the current status of cumulative risk assessment (CRA) of multiple pesticide residues in food, highlighting recent advances in regulations, methods for grouping pesticides, characterization of the cumulative hazard and risk, and the suitability of dose-addition assumptions, as well as data requirements. In addition, case studies of CRA for pesticide residues that have been conducted globally are also collected, which effectively assist in assessing the actual cumulative exposure risks associated with pesticide residues and informing the establishment of maximum residue limits (MRLs) in food. Further, the development of new assessment methods is summarized, including the incorporation of mixture assessment factors (MAF), adverse outcome pathway (AOP) networks, as well as the methodologies for prioritizing the main drivers of the cumulative risk and grouping pesticides based on their interactions related to toxicokinetic interference. Key findings and conclusions: This review emphasizes the importance of regularly conducting retrospective and prospective cumulative risk assessments to incorporate changes in exposure patterns and updates to the cumulative assessment group (CAG). Global research has shown that significant health risks from cumulative pesticide exposure arise primarily under highly conservative assumptions, with a limited set of pesticides primarily affecting CRA outcomes. This finding suggests that future research focus on specific pesticide/commodity combinations and their cumulative effects. Finally, it is highlighted that incorporating the new assessment methods will allow for more accurate information for risk assessment, informing pesticide authorizations and regulatory limit settings.","author":[{"dropping-particle":"","family":"Yang","given":"Mengxue","non-dropping-particle":"","parse-names":false,"suffix":""},{"dropping-particle":"","family":"Wang","given":"Yihan","non-dropping-particle":"","parse-names":false,"suffix":""},{"dropping-particle":"","family":"Yang","given":"Guiling","non-dropping-particle":"","parse-names":false,"suffix":""},{"dropping-particle":"","family":"Wang","given":"Yanhua","non-dropping-particle":"","parse-names":false,"suffix":""},{"dropping-particle":"","family":"Liu","given":"Fengquan","non-dropping-particle":"","parse-names":false,"suffix":""},{"dropping-particle":"","family":"Chen","given":"Chen","non-dropping-particle":"","parse-names":false,"suffix":""}],"container-title":"Trends in Food Science and Technology","id":"ITEM-3","issued":{"date-parts":[["2024"]]},"title":"A review of cumulative risk assessment of multiple pesticide residues in food: Current status, approaches and future perspectives","type":"article-journal","volume":"144"},"uris":["http://www.mendeley.com/documents/?uuid=28bb6920-7fb4-4bd7-97bc-9d5537f332b0"]}],"mendeley":{"formattedCitation":"(Beyuo &lt;i&gt;et al.&lt;/i&gt;, 2024; Kim &lt;i&gt;et al.&lt;/i&gt;, 2017; Yang &lt;i&gt;et al.&lt;/i&gt;, 2024)","plainTextFormattedCitation":"(Beyuo et al., 2024; Kim et al., 2017; Yang et al., 2024)","previouslyFormattedCitation":"(Beyuo &lt;i&gt;et al.&lt;/i&gt;, 2024; Kim &lt;i&gt;et al.&lt;/i&gt;, 2017; Yang &lt;i&gt;et al.&lt;/i&gt;, 2024)"},"properties":{"noteIndex":0},"schema":"https://github.com/citation-style-language/schema/raw/master/csl-citation.json"}</w:instrText>
      </w:r>
      <w:r w:rsidR="000D4180" w:rsidRPr="002042E6">
        <w:rPr>
          <w:rFonts w:ascii="Times New Roman" w:hAnsi="Times New Roman" w:cs="Times New Roman"/>
          <w:sz w:val="24"/>
          <w:szCs w:val="24"/>
        </w:rPr>
        <w:fldChar w:fldCharType="separate"/>
      </w:r>
      <w:r w:rsidR="000D4180" w:rsidRPr="002042E6">
        <w:rPr>
          <w:rFonts w:ascii="Times New Roman" w:hAnsi="Times New Roman" w:cs="Times New Roman"/>
          <w:noProof/>
          <w:sz w:val="24"/>
          <w:szCs w:val="24"/>
        </w:rPr>
        <w:t xml:space="preserve">(Beyuo </w:t>
      </w:r>
      <w:r w:rsidR="000D4180" w:rsidRPr="002042E6">
        <w:rPr>
          <w:rFonts w:ascii="Times New Roman" w:hAnsi="Times New Roman" w:cs="Times New Roman"/>
          <w:i/>
          <w:noProof/>
          <w:sz w:val="24"/>
          <w:szCs w:val="24"/>
        </w:rPr>
        <w:t>et al.</w:t>
      </w:r>
      <w:r w:rsidR="000D4180" w:rsidRPr="002042E6">
        <w:rPr>
          <w:rFonts w:ascii="Times New Roman" w:hAnsi="Times New Roman" w:cs="Times New Roman"/>
          <w:noProof/>
          <w:sz w:val="24"/>
          <w:szCs w:val="24"/>
        </w:rPr>
        <w:t xml:space="preserve">, 2024; Kim </w:t>
      </w:r>
      <w:r w:rsidR="000D4180" w:rsidRPr="002042E6">
        <w:rPr>
          <w:rFonts w:ascii="Times New Roman" w:hAnsi="Times New Roman" w:cs="Times New Roman"/>
          <w:i/>
          <w:noProof/>
          <w:sz w:val="24"/>
          <w:szCs w:val="24"/>
        </w:rPr>
        <w:t>et al.</w:t>
      </w:r>
      <w:r w:rsidR="000D4180" w:rsidRPr="002042E6">
        <w:rPr>
          <w:rFonts w:ascii="Times New Roman" w:hAnsi="Times New Roman" w:cs="Times New Roman"/>
          <w:noProof/>
          <w:sz w:val="24"/>
          <w:szCs w:val="24"/>
        </w:rPr>
        <w:t xml:space="preserve">, 2017; Yang </w:t>
      </w:r>
      <w:r w:rsidR="000D4180" w:rsidRPr="002042E6">
        <w:rPr>
          <w:rFonts w:ascii="Times New Roman" w:hAnsi="Times New Roman" w:cs="Times New Roman"/>
          <w:i/>
          <w:noProof/>
          <w:sz w:val="24"/>
          <w:szCs w:val="24"/>
        </w:rPr>
        <w:t>et al.</w:t>
      </w:r>
      <w:r w:rsidR="000D4180" w:rsidRPr="002042E6">
        <w:rPr>
          <w:rFonts w:ascii="Times New Roman" w:hAnsi="Times New Roman" w:cs="Times New Roman"/>
          <w:noProof/>
          <w:sz w:val="24"/>
          <w:szCs w:val="24"/>
        </w:rPr>
        <w:t>, 2024)</w:t>
      </w:r>
      <w:r w:rsidR="000D4180" w:rsidRPr="002042E6">
        <w:rPr>
          <w:rFonts w:ascii="Times New Roman" w:hAnsi="Times New Roman" w:cs="Times New Roman"/>
          <w:sz w:val="24"/>
          <w:szCs w:val="24"/>
        </w:rPr>
        <w:fldChar w:fldCharType="end"/>
      </w:r>
      <w:r w:rsidRPr="007E6DF1">
        <w:rPr>
          <w:rFonts w:ascii="Times New Roman" w:hAnsi="Times New Roman" w:cs="Times New Roman"/>
          <w:sz w:val="24"/>
          <w:szCs w:val="24"/>
        </w:rPr>
        <w:t xml:space="preserve">. </w:t>
      </w:r>
      <w:r w:rsidR="005B2A37" w:rsidRPr="005B2A37">
        <w:rPr>
          <w:rFonts w:ascii="Times New Roman" w:hAnsi="Times New Roman" w:cs="Times New Roman"/>
          <w:sz w:val="24"/>
          <w:szCs w:val="24"/>
        </w:rPr>
        <w:t>Regulatory agencies aim to mitigate these risks by establishing maximum residue limits (MRLs), which set the legally acceptable levels of pesticide residues in food</w:t>
      </w:r>
      <w:r w:rsidR="005B2A37">
        <w:rPr>
          <w:rFonts w:ascii="Times New Roman" w:hAnsi="Times New Roman" w:cs="Times New Roman"/>
          <w:sz w:val="24"/>
          <w:szCs w:val="24"/>
        </w:rPr>
        <w:t xml:space="preserve"> </w:t>
      </w:r>
      <w:r w:rsidR="00EF4871">
        <w:rPr>
          <w:rFonts w:ascii="Times New Roman" w:hAnsi="Times New Roman" w:cs="Times New Roman"/>
          <w:sz w:val="24"/>
          <w:szCs w:val="24"/>
        </w:rPr>
        <w:fldChar w:fldCharType="begin" w:fldLock="1"/>
      </w:r>
      <w:r w:rsidR="003140A2">
        <w:rPr>
          <w:rFonts w:ascii="Times New Roman" w:hAnsi="Times New Roman" w:cs="Times New Roman"/>
          <w:sz w:val="24"/>
          <w:szCs w:val="24"/>
        </w:rPr>
        <w:instrText>ADDIN CSL_CITATION {"citationItems":[{"id":"ITEM-1","itemData":{"DOI":"10.1002/ieam.1635","ISSN":"15513793","PMID":"25765969","abstract":"Pesticide use is important in agriculture to protect crops and improve productivity. However, pesticides have the potential to cause adverse human health or environmental effects, depending on exposure levels. This review examines existing pesticide legislation worldwide, focusing on the level of harmonization and impacts of differing legislation on food safety and trade. Pesticide legislation varies greatly worldwide, because countries have different requirements, guidelines, and legal limits for plant protection. Developed nations have more stringent regulations than developing countries, which lack the resources and expertise to adequately implement and enforce legislation. Global differences in pesticide legislation act as a technical barrier to trade. International parties such as the European Union (EU), Codex Alimentarius Commission (Codex), and North American Free Trade Agreement (NAFTA) have attempted to harmonize pesticide legislation by providing maximum residue limits (MRLs), but globally these limits remain variable. Globally harmonized pesticide standards would serve to increase productivity, profits, and trade and also enhance the ability to protect public health and the environment. Integr Environ Assess Manag 2015;9999:1-12.","author":[{"dropping-particle":"","family":"Handford","given":"Caroline E.","non-dropping-particle":"","parse-names":false,"suffix":""},{"dropping-particle":"","family":"Elliott","given":"Christopher T.","non-dropping-particle":"","parse-names":false,"suffix":""},{"dropping-particle":"","family":"Campbell","given":"Katrina","non-dropping-particle":"","parse-names":false,"suffix":""}],"container-title":"Integrated Environmental Assessment and Management","id":"ITEM-1","issue":"4","issued":{"date-parts":[["2015"]]},"page":"525-536","title":"A review of the global pesticide legislation and the scale of challenge in reaching the global harmonization of food safety standards","type":"article-journal","volume":"11"},"uris":["http://www.mendeley.com/documents/?uuid=e9631904-b174-4245-8659-e52d6778bd74"]}],"mendeley":{"formattedCitation":"(Handford &lt;i&gt;et al.&lt;/i&gt;, 2015)","plainTextFormattedCitation":"(Handford et al., 2015)","previouslyFormattedCitation":"(Handford &lt;i&gt;et al.&lt;/i&gt;, 2015)"},"properties":{"noteIndex":0},"schema":"https://github.com/citation-style-language/schema/raw/master/csl-citation.json"}</w:instrText>
      </w:r>
      <w:r w:rsidR="00EF4871">
        <w:rPr>
          <w:rFonts w:ascii="Times New Roman" w:hAnsi="Times New Roman" w:cs="Times New Roman"/>
          <w:sz w:val="24"/>
          <w:szCs w:val="24"/>
        </w:rPr>
        <w:fldChar w:fldCharType="separate"/>
      </w:r>
      <w:r w:rsidR="00EF4871" w:rsidRPr="00EF4871">
        <w:rPr>
          <w:rFonts w:ascii="Times New Roman" w:hAnsi="Times New Roman" w:cs="Times New Roman"/>
          <w:noProof/>
          <w:sz w:val="24"/>
          <w:szCs w:val="24"/>
        </w:rPr>
        <w:t xml:space="preserve">(Handford </w:t>
      </w:r>
      <w:r w:rsidR="00EF4871" w:rsidRPr="00EF4871">
        <w:rPr>
          <w:rFonts w:ascii="Times New Roman" w:hAnsi="Times New Roman" w:cs="Times New Roman"/>
          <w:i/>
          <w:noProof/>
          <w:sz w:val="24"/>
          <w:szCs w:val="24"/>
        </w:rPr>
        <w:t>et al.</w:t>
      </w:r>
      <w:r w:rsidR="00EF4871" w:rsidRPr="00EF4871">
        <w:rPr>
          <w:rFonts w:ascii="Times New Roman" w:hAnsi="Times New Roman" w:cs="Times New Roman"/>
          <w:noProof/>
          <w:sz w:val="24"/>
          <w:szCs w:val="24"/>
        </w:rPr>
        <w:t>, 2015)</w:t>
      </w:r>
      <w:r w:rsidR="00EF4871">
        <w:rPr>
          <w:rFonts w:ascii="Times New Roman" w:hAnsi="Times New Roman" w:cs="Times New Roman"/>
          <w:sz w:val="24"/>
          <w:szCs w:val="24"/>
        </w:rPr>
        <w:fldChar w:fldCharType="end"/>
      </w:r>
      <w:r w:rsidRPr="007E6DF1">
        <w:rPr>
          <w:rFonts w:ascii="Times New Roman" w:hAnsi="Times New Roman" w:cs="Times New Roman"/>
          <w:sz w:val="24"/>
          <w:szCs w:val="24"/>
        </w:rPr>
        <w:t>.</w:t>
      </w:r>
    </w:p>
    <w:p w14:paraId="2A9158F8" w14:textId="77777777" w:rsidR="00D523CF" w:rsidRDefault="0009382F" w:rsidP="0009382F">
      <w:pPr>
        <w:spacing w:line="360" w:lineRule="auto"/>
        <w:jc w:val="both"/>
        <w:rPr>
          <w:rFonts w:ascii="Times New Roman" w:hAnsi="Times New Roman" w:cs="Times New Roman"/>
          <w:sz w:val="24"/>
          <w:szCs w:val="24"/>
        </w:rPr>
      </w:pPr>
      <w:r w:rsidRPr="0009382F">
        <w:rPr>
          <w:rFonts w:ascii="Times New Roman" w:hAnsi="Times New Roman" w:cs="Times New Roman"/>
          <w:sz w:val="24"/>
          <w:szCs w:val="24"/>
        </w:rPr>
        <w:t>Food safety concerns are escalating worldwide, but exposure and enforcement disparities persist.</w:t>
      </w:r>
      <w:r>
        <w:rPr>
          <w:rFonts w:ascii="Times New Roman" w:hAnsi="Times New Roman" w:cs="Times New Roman"/>
          <w:sz w:val="24"/>
          <w:szCs w:val="24"/>
        </w:rPr>
        <w:t xml:space="preserve"> </w:t>
      </w:r>
      <w:r w:rsidR="007E6DF1" w:rsidRPr="007E6DF1">
        <w:rPr>
          <w:rFonts w:ascii="Times New Roman" w:hAnsi="Times New Roman" w:cs="Times New Roman"/>
          <w:sz w:val="24"/>
          <w:szCs w:val="24"/>
        </w:rPr>
        <w:t>In the European Union, nearly half of foods lack detectable</w:t>
      </w:r>
      <w:r w:rsidR="00A27468">
        <w:rPr>
          <w:rFonts w:ascii="Times New Roman" w:hAnsi="Times New Roman" w:cs="Times New Roman"/>
          <w:sz w:val="24"/>
          <w:szCs w:val="24"/>
        </w:rPr>
        <w:t xml:space="preserve"> pesticide</w:t>
      </w:r>
      <w:r w:rsidR="007E6DF1" w:rsidRPr="007E6DF1">
        <w:rPr>
          <w:rFonts w:ascii="Times New Roman" w:hAnsi="Times New Roman" w:cs="Times New Roman"/>
          <w:sz w:val="24"/>
          <w:szCs w:val="24"/>
        </w:rPr>
        <w:t xml:space="preserve"> residues, with 98% complying with limits </w:t>
      </w:r>
      <w:r w:rsidR="00CF552B" w:rsidRPr="002042E6">
        <w:rPr>
          <w:rFonts w:ascii="Times New Roman" w:hAnsi="Times New Roman" w:cs="Times New Roman"/>
          <w:sz w:val="24"/>
          <w:szCs w:val="24"/>
        </w:rPr>
        <w:fldChar w:fldCharType="begin" w:fldLock="1"/>
      </w:r>
      <w:r w:rsidR="00CF552B" w:rsidRPr="002042E6">
        <w:rPr>
          <w:rFonts w:ascii="Times New Roman" w:hAnsi="Times New Roman" w:cs="Times New Roman"/>
          <w:sz w:val="24"/>
          <w:szCs w:val="24"/>
        </w:rPr>
        <w:instrText>ADDIN CSL_CITATION {"citationItems":[{"id":"ITEM-1","itemData":{"DOI":"10.2903/j.efsa.2024.8753","ISSN":"18314732","abstract":"Under European Union legislation (Article 32, Regulation (EC) No 396/2005), the European Food Safety Authority provides an annual report assessing the pesticide residue levels in foods on the European market. In 2022, 96.3% of the overall 110,829 samples analysed fell below the maximum residue level (MRL), 3.7% exceeded this level, of which 2.2% were non-compliant, i.e. results in a given sample exceeded the MRL after taking into account the measurement uncertainty. For the EU-coordinated multiannual control programme subset, 11,727 samples were analysed of which 0.9% were non-compliant. To assess acute and chronic risk to consumer health, dietary exposure to pesticide residues was estimated and compared with available health-based guidance values (HBGV). Continuation of the probabilistic assessment methodology was consolidated to all pesticides listed in the 2022 EU Regulation providing the probability of a consumer being exposed to an exceedance of the HBGV. Overall, the assessed risk to EU consumer's health is low. Recommendations to risk managers are given to increase the effectiveness of European control systems and to ensure a high level of consumer protection throughout the EU.","author":[{"dropping-particle":"","family":"Carrasco Cabrera","given":"Luis","non-dropping-particle":"","parse-names":false,"suffix":""},{"dropping-particle":"","family":"Di Piazza","given":"Giulio","non-dropping-particle":"","parse-names":false,"suffix":""},{"dropping-particle":"","family":"Dujardin","given":"Bruno","non-dropping-particle":"","parse-names":false,"suffix":""},{"dropping-particle":"","family":"Marchese","given":"Emanuela","non-dropping-particle":"","parse-names":false,"suffix":""},{"dropping-particle":"","family":"Medina Pastor","given":"Paula","non-dropping-particle":"","parse-names":false,"suffix":""}],"container-title":"EFSA Journal","id":"ITEM-1","issue":"4","issued":{"date-parts":[["2024","4"]]},"title":"The 2022 European Union report on pesticide residues in food","type":"article-journal","volume":"22"},"uris":["http://www.mendeley.com/documents/?uuid=8553f62c-de1f-44c9-868d-0e2e64737d08"]}],"mendeley":{"formattedCitation":"(Carrasco Cabrera &lt;i&gt;et al.&lt;/i&gt;, 2024)","plainTextFormattedCitation":"(Carrasco Cabrera et al., 2024)","previouslyFormattedCitation":"(Carrasco Cabrera &lt;i&gt;et al.&lt;/i&gt;, 2024)"},"properties":{"noteIndex":0},"schema":"https://github.com/citation-style-language/schema/raw/master/csl-citation.json"}</w:instrText>
      </w:r>
      <w:r w:rsidR="00CF552B" w:rsidRPr="002042E6">
        <w:rPr>
          <w:rFonts w:ascii="Times New Roman" w:hAnsi="Times New Roman" w:cs="Times New Roman"/>
          <w:sz w:val="24"/>
          <w:szCs w:val="24"/>
        </w:rPr>
        <w:fldChar w:fldCharType="separate"/>
      </w:r>
      <w:r w:rsidR="00CF552B" w:rsidRPr="002042E6">
        <w:rPr>
          <w:rFonts w:ascii="Times New Roman" w:hAnsi="Times New Roman" w:cs="Times New Roman"/>
          <w:noProof/>
          <w:sz w:val="24"/>
          <w:szCs w:val="24"/>
        </w:rPr>
        <w:t xml:space="preserve">(Carrasco Cabrera </w:t>
      </w:r>
      <w:r w:rsidR="00CF552B" w:rsidRPr="002042E6">
        <w:rPr>
          <w:rFonts w:ascii="Times New Roman" w:hAnsi="Times New Roman" w:cs="Times New Roman"/>
          <w:i/>
          <w:noProof/>
          <w:sz w:val="24"/>
          <w:szCs w:val="24"/>
        </w:rPr>
        <w:t>et al.</w:t>
      </w:r>
      <w:r w:rsidR="00CF552B" w:rsidRPr="002042E6">
        <w:rPr>
          <w:rFonts w:ascii="Times New Roman" w:hAnsi="Times New Roman" w:cs="Times New Roman"/>
          <w:noProof/>
          <w:sz w:val="24"/>
          <w:szCs w:val="24"/>
        </w:rPr>
        <w:t>, 2024)</w:t>
      </w:r>
      <w:r w:rsidR="00CF552B" w:rsidRPr="002042E6">
        <w:rPr>
          <w:rFonts w:ascii="Times New Roman" w:hAnsi="Times New Roman" w:cs="Times New Roman"/>
          <w:sz w:val="24"/>
          <w:szCs w:val="24"/>
        </w:rPr>
        <w:fldChar w:fldCharType="end"/>
      </w:r>
      <w:r w:rsidR="007E6DF1" w:rsidRPr="007E6DF1">
        <w:rPr>
          <w:rFonts w:ascii="Times New Roman" w:hAnsi="Times New Roman" w:cs="Times New Roman"/>
          <w:sz w:val="24"/>
          <w:szCs w:val="24"/>
        </w:rPr>
        <w:t xml:space="preserve">. Similarly, in the United States, 40% of foods are residue-free, and over 99% meet standards </w:t>
      </w:r>
      <w:r w:rsidR="00CF552B" w:rsidRPr="002042E6">
        <w:rPr>
          <w:rFonts w:ascii="Times New Roman" w:hAnsi="Times New Roman" w:cs="Times New Roman"/>
          <w:sz w:val="24"/>
          <w:szCs w:val="24"/>
        </w:rPr>
        <w:fldChar w:fldCharType="begin" w:fldLock="1"/>
      </w:r>
      <w:r w:rsidR="00CF552B" w:rsidRPr="002042E6">
        <w:rPr>
          <w:rFonts w:ascii="Times New Roman" w:hAnsi="Times New Roman" w:cs="Times New Roman"/>
          <w:sz w:val="24"/>
          <w:szCs w:val="24"/>
        </w:rPr>
        <w:instrText>ADDIN CSL_CITATION {"citationItems":[{"id":"ITEM-1","itemData":{"author":[{"dropping-particle":"","family":"USDA","given":"","non-dropping-particle":"","parse-names":false,"suffix":""}],"id":"ITEM-1","issued":{"date-parts":[["2024"]]},"page":"246","title":"Pesticide Data Program Annual Summary - 2023","type":"article-journal"},"uris":["http://www.mendeley.com/documents/?uuid=3f03ce74-9a2f-431d-ae9b-cec6ba74a3a8"]}],"mendeley":{"formattedCitation":"(USDA, 2024)","plainTextFormattedCitation":"(USDA, 2024)","previouslyFormattedCitation":"(USDA, 2024)"},"properties":{"noteIndex":0},"schema":"https://github.com/citation-style-language/schema/raw/master/csl-citation.json"}</w:instrText>
      </w:r>
      <w:r w:rsidR="00CF552B" w:rsidRPr="002042E6">
        <w:rPr>
          <w:rFonts w:ascii="Times New Roman" w:hAnsi="Times New Roman" w:cs="Times New Roman"/>
          <w:sz w:val="24"/>
          <w:szCs w:val="24"/>
        </w:rPr>
        <w:fldChar w:fldCharType="separate"/>
      </w:r>
      <w:r w:rsidR="00CF552B" w:rsidRPr="002042E6">
        <w:rPr>
          <w:rFonts w:ascii="Times New Roman" w:hAnsi="Times New Roman" w:cs="Times New Roman"/>
          <w:noProof/>
          <w:sz w:val="24"/>
          <w:szCs w:val="24"/>
        </w:rPr>
        <w:t>(USDA, 2024)</w:t>
      </w:r>
      <w:r w:rsidR="00CF552B" w:rsidRPr="002042E6">
        <w:rPr>
          <w:rFonts w:ascii="Times New Roman" w:hAnsi="Times New Roman" w:cs="Times New Roman"/>
          <w:sz w:val="24"/>
          <w:szCs w:val="24"/>
        </w:rPr>
        <w:fldChar w:fldCharType="end"/>
      </w:r>
      <w:r w:rsidR="007E6DF1" w:rsidRPr="007E6DF1">
        <w:rPr>
          <w:rFonts w:ascii="Times New Roman" w:hAnsi="Times New Roman" w:cs="Times New Roman"/>
          <w:sz w:val="24"/>
          <w:szCs w:val="24"/>
        </w:rPr>
        <w:t xml:space="preserve">. </w:t>
      </w:r>
      <w:r w:rsidR="009A62EF" w:rsidRPr="009A62EF">
        <w:rPr>
          <w:rFonts w:ascii="Times New Roman" w:hAnsi="Times New Roman" w:cs="Times New Roman"/>
          <w:sz w:val="24"/>
          <w:szCs w:val="24"/>
        </w:rPr>
        <w:t>In contrast, residue detections in food, including banned highly hazardous pesticides (HHPs), are widespread and often exceed limits in the Global South. For example, detection frequencies reaching up to 100% were reported in Africa, the Middle East, Asia, and Latin America, with non-compliance rates of 100%, 78%, 61%, and 41%, respectively</w:t>
      </w:r>
      <w:r w:rsidR="009A62EF">
        <w:rPr>
          <w:rFonts w:ascii="Times New Roman" w:hAnsi="Times New Roman" w:cs="Times New Roman"/>
          <w:sz w:val="24"/>
          <w:szCs w:val="24"/>
        </w:rPr>
        <w:t xml:space="preserve"> </w:t>
      </w:r>
      <w:r w:rsidR="003140A2">
        <w:rPr>
          <w:rFonts w:ascii="Times New Roman" w:hAnsi="Times New Roman" w:cs="Times New Roman"/>
          <w:sz w:val="24"/>
          <w:szCs w:val="24"/>
        </w:rPr>
        <w:fldChar w:fldCharType="begin" w:fldLock="1"/>
      </w:r>
      <w:r w:rsidR="00D37391">
        <w:rPr>
          <w:rFonts w:ascii="Times New Roman" w:hAnsi="Times New Roman" w:cs="Times New Roman"/>
          <w:sz w:val="24"/>
          <w:szCs w:val="24"/>
        </w:rPr>
        <w:instrText>ADDIN CSL_CITATION {"citationItems":[{"id":"ITEM-1","itemData":{"DOI":"10.1038/s43017-025-00673-y","ISSN":"2662-138X","abstract":"Approximately 3.7 Tg of pesticides are used annually in global crop production to help protect yield, but pesticides pose risks to ecosystem and human health. In this Review, we summarize the pathways causing transboundary environmental and human health impacts of pesticide use in food production, and explore strategies to reduce reliance on pesticides. Once applied to crops, pesticides are transported through surface and groundwater flows, atmospheric dispersion and wildlife migration. Globally, 7.2% of pesticide input leaches below the root zone potentially reaching groundwater, with atmospheric droplets (10–50 µm in size) transported between 250 m and several kilometres from the point of application. International food trade drives pesticide use and, of all food products, fruit and vegetables have the highest embodiment of pesticide impacts, including risk to consumers through dietary intake of residues. Pesticide residues are found on 62% of rice from Pakistan and on 85% of harvested fruits, berries, pulses and leafy vegetables in Western countries. Moreover, residues on ~2–4% of domestic foods in China, New Zealand, the European Union and the USA exceed legal safety limits. Through stringent regulations on pesticide use and enforced compliance with pesticide residue limits, international trade can encourage adoption of low-pesticide cropping strategies and decision support systems that prioritize biodiversity and human health while maintaining yield. Future research should focus on quantifying transboundary pesticide impacts, constraining the environmental fate and transport of pesticides, and increasing environmental monitoring, especially in the Global South.","author":[{"dropping-particle":"","family":"Tang","given":"Fiona H. M.","non-dropping-particle":"","parse-names":false,"suffix":""},{"dropping-particle":"","family":"Wyckhuys","given":"Kris A. G.","non-dropping-particle":"","parse-names":false,"suffix":""},{"dropping-particle":"","family":"Li","given":"Zijian","non-dropping-particle":"","parse-names":false,"suffix":""},{"dropping-particle":"","family":"Maggi","given":"Federico","non-dropping-particle":"","parse-names":false,"suffix":""},{"dropping-particle":"","family":"Silva","given":"Vera","non-dropping-particle":"","parse-names":false,"suffix":""}],"container-title":"Nature Reviews Earth &amp; Environment","id":"ITEM-1","issue":"6","issued":{"date-parts":[["2025","5","29"]]},"page":"383-400","title":"Transboundary impacts of pesticide use in food production","type":"article-journal","volume":"6"},"uris":["http://www.mendeley.com/documents/?uuid=f8f7d2cd-5c9a-4891-b7ae-6d9a6a6dd750"]}],"mendeley":{"formattedCitation":"(Tang &lt;i&gt;et al.&lt;/i&gt;, 2025)","plainTextFormattedCitation":"(Tang et al., 2025)","previouslyFormattedCitation":"(Tang &lt;i&gt;et al.&lt;/i&gt;, 2025)"},"properties":{"noteIndex":0},"schema":"https://github.com/citation-style-language/schema/raw/master/csl-citation.json"}</w:instrText>
      </w:r>
      <w:r w:rsidR="003140A2">
        <w:rPr>
          <w:rFonts w:ascii="Times New Roman" w:hAnsi="Times New Roman" w:cs="Times New Roman"/>
          <w:sz w:val="24"/>
          <w:szCs w:val="24"/>
        </w:rPr>
        <w:fldChar w:fldCharType="separate"/>
      </w:r>
      <w:r w:rsidR="003140A2" w:rsidRPr="003140A2">
        <w:rPr>
          <w:rFonts w:ascii="Times New Roman" w:hAnsi="Times New Roman" w:cs="Times New Roman"/>
          <w:noProof/>
          <w:sz w:val="24"/>
          <w:szCs w:val="24"/>
        </w:rPr>
        <w:t xml:space="preserve">(Tang </w:t>
      </w:r>
      <w:r w:rsidR="003140A2" w:rsidRPr="003140A2">
        <w:rPr>
          <w:rFonts w:ascii="Times New Roman" w:hAnsi="Times New Roman" w:cs="Times New Roman"/>
          <w:i/>
          <w:noProof/>
          <w:sz w:val="24"/>
          <w:szCs w:val="24"/>
        </w:rPr>
        <w:t>et al.</w:t>
      </w:r>
      <w:r w:rsidR="003140A2" w:rsidRPr="003140A2">
        <w:rPr>
          <w:rFonts w:ascii="Times New Roman" w:hAnsi="Times New Roman" w:cs="Times New Roman"/>
          <w:noProof/>
          <w:sz w:val="24"/>
          <w:szCs w:val="24"/>
        </w:rPr>
        <w:t>, 2025)</w:t>
      </w:r>
      <w:r w:rsidR="003140A2">
        <w:rPr>
          <w:rFonts w:ascii="Times New Roman" w:hAnsi="Times New Roman" w:cs="Times New Roman"/>
          <w:sz w:val="24"/>
          <w:szCs w:val="24"/>
        </w:rPr>
        <w:fldChar w:fldCharType="end"/>
      </w:r>
      <w:r w:rsidR="003140A2">
        <w:rPr>
          <w:rFonts w:ascii="Times New Roman" w:hAnsi="Times New Roman" w:cs="Times New Roman"/>
          <w:sz w:val="24"/>
          <w:szCs w:val="24"/>
        </w:rPr>
        <w:t>.</w:t>
      </w:r>
      <w:r w:rsidR="00D94579">
        <w:rPr>
          <w:rFonts w:ascii="Times New Roman" w:hAnsi="Times New Roman" w:cs="Times New Roman"/>
          <w:sz w:val="24"/>
          <w:szCs w:val="24"/>
        </w:rPr>
        <w:t xml:space="preserve"> </w:t>
      </w:r>
      <w:r w:rsidR="009A62EF" w:rsidRPr="009A62EF">
        <w:rPr>
          <w:rFonts w:ascii="Times New Roman" w:hAnsi="Times New Roman" w:cs="Times New Roman"/>
          <w:sz w:val="24"/>
          <w:szCs w:val="24"/>
        </w:rPr>
        <w:t>Yet, studies addressing the issue are sparse, and findings are inconsistent or conflicting. For instance, although residue detection was relatively low (29%) in Bangladesh, high exceedance (73%) was reported</w:t>
      </w:r>
      <w:r w:rsidR="009A62EF">
        <w:rPr>
          <w:rFonts w:ascii="Times New Roman" w:hAnsi="Times New Roman" w:cs="Times New Roman"/>
          <w:sz w:val="24"/>
          <w:szCs w:val="24"/>
        </w:rPr>
        <w:t xml:space="preserve"> </w:t>
      </w:r>
      <w:r w:rsidR="00571ABD" w:rsidRPr="002042E6">
        <w:rPr>
          <w:rFonts w:ascii="Times New Roman" w:hAnsi="Times New Roman" w:cs="Times New Roman"/>
          <w:sz w:val="24"/>
          <w:szCs w:val="24"/>
        </w:rPr>
        <w:fldChar w:fldCharType="begin" w:fldLock="1"/>
      </w:r>
      <w:r w:rsidR="00571ABD" w:rsidRPr="002042E6">
        <w:rPr>
          <w:rFonts w:ascii="Times New Roman" w:hAnsi="Times New Roman" w:cs="Times New Roman"/>
          <w:sz w:val="24"/>
          <w:szCs w:val="24"/>
        </w:rPr>
        <w:instrText>ADDIN CSL_CITATION {"citationItems":[{"id":"ITEM-1","itemData":{"DOI":"10.1016/j.toxrep.2023.09.003","ISSN":"22147500","abstract":"This paper reviewed the published data on the levels of different pesticide residues in vegetables (tomato, eggplant, beans, gourds, cauliflower, cabbage, cucumber, potato, carrot, onion, red chilli, red amaranth, lady's finger, spinach, coriander, and lettuce) from Bangladesh in the last decade. Vegetable production in Bangladesh has increased tremendously (37.63%) compared to the last decades, along with its pesticide use. The most observed pesticide groups used in vegetable production were organophosphorus, pyrethroids, carbamate, organochlorine, nereistoxin analogue group, and neonicotinoids. More specifically, chlorpyrifos, dimethoate, diazinon, and malathion were the most used pesticides. More than 29% of the vegetable samples (1577) were contaminated with pesticide residue; among the contaminated samples (458), most cases (73%) exceeded the maximum residue limits (MRLs). The pesticide-contaminated vegetables were cucumber (51%), tomato (41%), cauliflower (31%), miscellaneous vegetables (36%), eggplant (29%), beans (23%), cabbage (18%), and gourds (16%). Among the pesticide-contaminated samples, vegetables with above MRL were gourds (100%), beans (92), tomato (78%), eggplant (73%), miscellaneous vegetables (69%), cucumber (62%), cabbage (50%), cauliflower (50%) (p &lt; 0.05). It was also observed that a single vegetable was often contaminated with multiple pesticides, and farmers did not follow a proper withdrawal period while using pesticides. Hazard quotation (HQ&gt;1) was observed in adolescents and adults in tomato, eggplant, beans, cauliflower, cabbage, cucumber, lady's finger, lettuce, and coriander. There was no health risk observed (HQ&lt;1) in gourds, potato, carrot, onion, red chilli, red amaranth, spinach, and okra. The highest acute and chronic HQ (aHQ, cHQ) was observed for cypermethrin (bean) in adolescents (aHQ=255, cHQ= 510) and adults (aHQ=131, cHQ=263). It was also observed that these pesticides harmed air, soil, water, and non-target organisms. Nevertheless, the review will help the government develop policies that reduce pesticide use and raise people's awareness of its harmful effects.","author":[{"dropping-particle":"","family":"Khatun","given":"Popy","non-dropping-particle":"","parse-names":false,"suffix":""},{"dropping-particle":"","family":"Islam","given":"Arup","non-dropping-particle":"","parse-names":false,"suffix":""},{"dropping-particle":"","family":"Sachi","given":"Sabbya","non-dropping-particle":"","parse-names":false,"suffix":""},{"dropping-particle":"","family":"Islam","given":"Md Zahorul","non-dropping-particle":"","parse-names":false,"suffix":""},{"dropping-particle":"","family":"Islam","given":"Purba","non-dropping-particle":"","parse-names":false,"suffix":""}],"container-title":"Toxicology Reports","id":"ITEM-1","issued":{"date-parts":[["2023"]]},"page":"199-211","title":"Pesticides in vegetable production in Bangladesh: A systemic review of contamination levels and associated health risks in the last decade","type":"article-journal","volume":"11"},"uris":["http://www.mendeley.com/documents/?uuid=c2ad1afd-5037-4800-b378-6f1bf62e7b1f"]}],"mendeley":{"formattedCitation":"(Khatun &lt;i&gt;et al.&lt;/i&gt;, 2023)","plainTextFormattedCitation":"(Khatun et al., 2023)","previouslyFormattedCitation":"(Khatun &lt;i&gt;et al.&lt;/i&gt;, 2023)"},"properties":{"noteIndex":0},"schema":"https://github.com/citation-style-language/schema/raw/master/csl-citation.json"}</w:instrText>
      </w:r>
      <w:r w:rsidR="00571ABD" w:rsidRPr="002042E6">
        <w:rPr>
          <w:rFonts w:ascii="Times New Roman" w:hAnsi="Times New Roman" w:cs="Times New Roman"/>
          <w:sz w:val="24"/>
          <w:szCs w:val="24"/>
        </w:rPr>
        <w:fldChar w:fldCharType="separate"/>
      </w:r>
      <w:r w:rsidR="00571ABD" w:rsidRPr="002042E6">
        <w:rPr>
          <w:rFonts w:ascii="Times New Roman" w:hAnsi="Times New Roman" w:cs="Times New Roman"/>
          <w:noProof/>
          <w:sz w:val="24"/>
          <w:szCs w:val="24"/>
        </w:rPr>
        <w:t xml:space="preserve">(Khatun </w:t>
      </w:r>
      <w:r w:rsidR="00571ABD" w:rsidRPr="002042E6">
        <w:rPr>
          <w:rFonts w:ascii="Times New Roman" w:hAnsi="Times New Roman" w:cs="Times New Roman"/>
          <w:i/>
          <w:noProof/>
          <w:sz w:val="24"/>
          <w:szCs w:val="24"/>
        </w:rPr>
        <w:t>et al.</w:t>
      </w:r>
      <w:r w:rsidR="00571ABD" w:rsidRPr="002042E6">
        <w:rPr>
          <w:rFonts w:ascii="Times New Roman" w:hAnsi="Times New Roman" w:cs="Times New Roman"/>
          <w:noProof/>
          <w:sz w:val="24"/>
          <w:szCs w:val="24"/>
        </w:rPr>
        <w:t>, 2023)</w:t>
      </w:r>
      <w:r w:rsidR="00571ABD" w:rsidRPr="002042E6">
        <w:rPr>
          <w:rFonts w:ascii="Times New Roman" w:hAnsi="Times New Roman" w:cs="Times New Roman"/>
          <w:sz w:val="24"/>
          <w:szCs w:val="24"/>
        </w:rPr>
        <w:fldChar w:fldCharType="end"/>
      </w:r>
      <w:r w:rsidR="007307D9">
        <w:rPr>
          <w:rFonts w:ascii="Times New Roman" w:hAnsi="Times New Roman" w:cs="Times New Roman"/>
          <w:sz w:val="24"/>
          <w:szCs w:val="24"/>
        </w:rPr>
        <w:t xml:space="preserve">; </w:t>
      </w:r>
      <w:r w:rsidR="00C6025B">
        <w:rPr>
          <w:rFonts w:ascii="Times New Roman" w:hAnsi="Times New Roman" w:cs="Times New Roman"/>
          <w:sz w:val="24"/>
          <w:szCs w:val="24"/>
        </w:rPr>
        <w:t xml:space="preserve">similarly, exceedance </w:t>
      </w:r>
      <w:r w:rsidR="00082DAA">
        <w:rPr>
          <w:rFonts w:ascii="Times New Roman" w:hAnsi="Times New Roman" w:cs="Times New Roman"/>
          <w:sz w:val="24"/>
          <w:szCs w:val="24"/>
        </w:rPr>
        <w:t xml:space="preserve">reached </w:t>
      </w:r>
      <w:r w:rsidR="00C6025B">
        <w:rPr>
          <w:rFonts w:ascii="Times New Roman" w:hAnsi="Times New Roman" w:cs="Times New Roman"/>
          <w:sz w:val="24"/>
          <w:szCs w:val="24"/>
        </w:rPr>
        <w:t xml:space="preserve">70% </w:t>
      </w:r>
      <w:r w:rsidR="00082DAA">
        <w:rPr>
          <w:rFonts w:ascii="Times New Roman" w:hAnsi="Times New Roman" w:cs="Times New Roman"/>
          <w:sz w:val="24"/>
          <w:szCs w:val="24"/>
        </w:rPr>
        <w:t xml:space="preserve">in </w:t>
      </w:r>
      <w:r w:rsidR="007E6DF1" w:rsidRPr="007E6DF1">
        <w:rPr>
          <w:rFonts w:ascii="Times New Roman" w:hAnsi="Times New Roman" w:cs="Times New Roman"/>
          <w:sz w:val="24"/>
          <w:szCs w:val="24"/>
        </w:rPr>
        <w:t>Pakistan</w:t>
      </w:r>
      <w:r w:rsidR="00571ABD">
        <w:rPr>
          <w:rFonts w:ascii="Times New Roman" w:hAnsi="Times New Roman" w:cs="Times New Roman"/>
          <w:sz w:val="24"/>
          <w:szCs w:val="24"/>
        </w:rPr>
        <w:t xml:space="preserve"> </w:t>
      </w:r>
      <w:r w:rsidR="00571ABD" w:rsidRPr="002042E6">
        <w:rPr>
          <w:rFonts w:ascii="Times New Roman" w:hAnsi="Times New Roman" w:cs="Times New Roman"/>
          <w:sz w:val="24"/>
          <w:szCs w:val="24"/>
        </w:rPr>
        <w:fldChar w:fldCharType="begin" w:fldLock="1"/>
      </w:r>
      <w:r w:rsidR="00571ABD" w:rsidRPr="002042E6">
        <w:rPr>
          <w:rFonts w:ascii="Times New Roman" w:hAnsi="Times New Roman" w:cs="Times New Roman"/>
          <w:sz w:val="24"/>
          <w:szCs w:val="24"/>
        </w:rPr>
        <w:instrText>ADDIN CSL_CITATION {"citationItems":[{"id":"ITEM-1","itemData":{"DOI":"10.1007/s10661-024-13220-x","ISSN":"0167-6369","PMID":"39414624","abstract":"Pesticide residues have become an escalating concern in Pakistan, raising significant risks to both public health and the environment. This review overviews the current status of pesticide contamination in the country, with a specific focus on residue levels in relation to Maximum Residue Limits (MRLs) and a comparative analysis with regional and global counterparts. Several studies reveal that 30% to 70% of tested food products, including fruits, vegetables, and animal-derived products, especially in Punjab and Sindh, exceed established MRLs. This level of contamination is considerably higher than in neighboring countries such as India, where MRL exceedance ranges from 20 to 30%, and Bangladesh, which reports lower levels due to stricter regulatory efforts. In comparison, developed countries, including those in the European Union and the United States, report less than 5% of food samples exceeding MRLs, often falling below 1% due to stringent safety standards. The high prevalence of pesticide residues in Pakistan poses severe health risks, including neurological disorders, reproductive problems, and cancer, particularly in vulnerable groups like children and pregnant women. Key factors contributing to these elevated pesticide levels include insufficient knowledge of safe pesticide use, the unregulated application of banned or expired products, improper safety protocols, and malfunctioning equipment. A prevailing reliance on pesticides as the sole pest control method further hinders the adoption of Integrated Pest Management (IPM) strategies. In conclusion, pesticide residue levels in Pakistan are above permissible MRLs compared to regional and global standards, underscoring the need for urgent improvements in pesticide regulation, enforcement, and the promotion of sustainable pest control methods like IPM to better protect human health and the environment. Graphical Abstract: (Figure presented.)","author":[{"dropping-particle":"","family":"Abbas","given":"Muneer","non-dropping-particle":"","parse-names":false,"suffix":""},{"dropping-particle":"","family":"Abbas","given":"Sohail","non-dropping-particle":"","parse-names":false,"suffix":""},{"dropping-particle":"","family":"Hussain","given":"Niaz","non-dropping-particle":"","parse-names":false,"suffix":""},{"dropping-particle":"","family":"Javeed","given":"Muhammad Tariq","non-dropping-particle":"","parse-names":false,"suffix":""},{"dropping-particle":"","family":"Ghaffar","given":"Abdul","non-dropping-particle":"","parse-names":false,"suffix":""},{"dropping-particle":"","family":"Nadeem","given":"Muhammad","non-dropping-particle":"","parse-names":false,"suffix":""},{"dropping-particle":"","family":"Khaliq","given":"Mudassar","non-dropping-particle":"","parse-names":false,"suffix":""},{"dropping-particle":"","family":"Ullah","given":"Sana","non-dropping-particle":"","parse-names":false,"suffix":""},{"dropping-particle":"","family":"Parveen","given":"Zubeda","non-dropping-particle":"","parse-names":false,"suffix":""},{"dropping-particle":"","family":"Khan","given":"Khalid Ali","non-dropping-particle":"","parse-names":false,"suffix":""},{"dropping-particle":"","family":"Ghramh","given":"Hamed A.","non-dropping-particle":"","parse-names":false,"suffix":""}],"container-title":"Environmental Monitoring and Assessment","id":"ITEM-1","issue":"11","issued":{"date-parts":[["2024","11","16"]]},"page":"1061","title":"Assessment of residues from common pesticides and associated risks in Pakistan","type":"article-journal","volume":"196"},"uris":["http://www.mendeley.com/documents/?uuid=c5effa99-28e7-48eb-b311-528993611193"]}],"mendeley":{"formattedCitation":"(Abbas &lt;i&gt;et al.&lt;/i&gt;, 2024)","plainTextFormattedCitation":"(Abbas et al., 2024)","previouslyFormattedCitation":"(Abbas &lt;i&gt;et al.&lt;/i&gt;, 2024)"},"properties":{"noteIndex":0},"schema":"https://github.com/citation-style-language/schema/raw/master/csl-citation.json"}</w:instrText>
      </w:r>
      <w:r w:rsidR="00571ABD" w:rsidRPr="002042E6">
        <w:rPr>
          <w:rFonts w:ascii="Times New Roman" w:hAnsi="Times New Roman" w:cs="Times New Roman"/>
          <w:sz w:val="24"/>
          <w:szCs w:val="24"/>
        </w:rPr>
        <w:fldChar w:fldCharType="separate"/>
      </w:r>
      <w:r w:rsidR="00571ABD" w:rsidRPr="002042E6">
        <w:rPr>
          <w:rFonts w:ascii="Times New Roman" w:hAnsi="Times New Roman" w:cs="Times New Roman"/>
          <w:noProof/>
          <w:sz w:val="24"/>
          <w:szCs w:val="24"/>
        </w:rPr>
        <w:t>(Abbas et al., 2024)</w:t>
      </w:r>
      <w:r w:rsidR="00571ABD" w:rsidRPr="002042E6">
        <w:rPr>
          <w:rFonts w:ascii="Times New Roman" w:hAnsi="Times New Roman" w:cs="Times New Roman"/>
          <w:sz w:val="24"/>
          <w:szCs w:val="24"/>
        </w:rPr>
        <w:fldChar w:fldCharType="end"/>
      </w:r>
      <w:r w:rsidR="007E6DF1" w:rsidRPr="007E6DF1">
        <w:rPr>
          <w:rFonts w:ascii="Times New Roman" w:hAnsi="Times New Roman" w:cs="Times New Roman"/>
          <w:sz w:val="24"/>
          <w:szCs w:val="24"/>
        </w:rPr>
        <w:t xml:space="preserve"> </w:t>
      </w:r>
      <w:r w:rsidR="007307D9">
        <w:rPr>
          <w:rFonts w:ascii="Times New Roman" w:hAnsi="Times New Roman" w:cs="Times New Roman"/>
          <w:sz w:val="24"/>
          <w:szCs w:val="24"/>
        </w:rPr>
        <w:t>and</w:t>
      </w:r>
      <w:r w:rsidR="00082DAA">
        <w:rPr>
          <w:rFonts w:ascii="Times New Roman" w:hAnsi="Times New Roman" w:cs="Times New Roman"/>
          <w:sz w:val="24"/>
          <w:szCs w:val="24"/>
        </w:rPr>
        <w:t xml:space="preserve"> 40% in </w:t>
      </w:r>
      <w:r w:rsidR="007E6DF1" w:rsidRPr="007E6DF1">
        <w:rPr>
          <w:rFonts w:ascii="Times New Roman" w:hAnsi="Times New Roman" w:cs="Times New Roman"/>
          <w:sz w:val="24"/>
          <w:szCs w:val="24"/>
        </w:rPr>
        <w:t>Uganda</w:t>
      </w:r>
      <w:r w:rsidR="00571ABD">
        <w:rPr>
          <w:rFonts w:ascii="Times New Roman" w:hAnsi="Times New Roman" w:cs="Times New Roman"/>
          <w:sz w:val="24"/>
          <w:szCs w:val="24"/>
        </w:rPr>
        <w:t xml:space="preserve"> </w:t>
      </w:r>
      <w:r w:rsidR="00571ABD" w:rsidRPr="002042E6">
        <w:rPr>
          <w:rFonts w:ascii="Times New Roman" w:hAnsi="Times New Roman" w:cs="Times New Roman"/>
          <w:sz w:val="24"/>
          <w:szCs w:val="24"/>
        </w:rPr>
        <w:fldChar w:fldCharType="begin" w:fldLock="1"/>
      </w:r>
      <w:r w:rsidR="00571ABD" w:rsidRPr="002042E6">
        <w:rPr>
          <w:rFonts w:ascii="Times New Roman" w:hAnsi="Times New Roman" w:cs="Times New Roman"/>
          <w:sz w:val="24"/>
          <w:szCs w:val="24"/>
        </w:rPr>
        <w:instrText>ADDIN CSL_CITATION {"citationItems":[{"id":"ITEM-1","itemData":{"DOI":"10.3390/molecules27228072","ISSN":"1420-3049","PMID":"36432173","abstract":"The use of pesticides leads to an increase in agricultural production but also causes harmful effects on human health when excessively used. For safe consumption, pesticide residues should be below the maximum residual limits (MRLs). In this study, the residual levels of pesticides in vegetables and fruits collected from farmers’ markets in Sharkia Governorate, Egypt were investigated using LC-MS/MS and GC-MS/MS. A total number of 40 pesticides were detected in the tested vegetable and fruit samples. Insecticides were the highest group in detection frequency with 85% and 69% appearance in vegetables and fruits, respectively. Cucumber and apple samples were found to have the highest number of pesticide residues. The mean residue levels ranged from 7 to 951 µg kg−1 (in vegetable samples) and from 8 to 775 µg kg−1 (in fruit samples). It was found that 35 (40.7%) out of 86 pesticide residues detected in vegetables and 35 (38.9%) out of 90 pesticide residues detected in fruits exceeded MRLs. Results for lambda-cyhalothrin, fipronil, dimothoate, and omethoate in spinach, zucchini, kaki, and strawberry, respectively, can cause acute or chronic risks when consumed at 0.1 and 0.2 kg day−1. Therefore, it is necessary for food safety and security to continuously monitor pesticide residues in fruits and vegetables in markets.","author":[{"dropping-particle":"","family":"El-Sheikh","given":"El-Sayed A.","non-dropping-particle":"","parse-names":false,"suffix":""},{"dropping-particle":"","family":"Ramadan","given":"Mahmoud M.","non-dropping-particle":"","parse-names":false,"suffix":""},{"dropping-particle":"","family":"El-Sobki","given":"Ahmed E.","non-dropping-particle":"","parse-names":false,"suffix":""},{"dropping-particle":"","family":"Shalaby","given":"Ali A.","non-dropping-particle":"","parse-names":false,"suffix":""},{"dropping-particle":"","family":"McCoy","given":"Mark R.","non-dropping-particle":"","parse-names":false,"suffix":""},{"dropping-particle":"","family":"Hamed","given":"Ibrahim A.","non-dropping-particle":"","parse-names":false,"suffix":""},{"dropping-particle":"","family":"Ashour","given":"Mohamed-Bassem","non-dropping-particle":"","parse-names":false,"suffix":""},{"dropping-particle":"","family":"Hammock","given":"Bruce D.","non-dropping-particle":"","parse-names":false,"suffix":""}],"container-title":"Molecules","id":"ITEM-1","issue":"22","issued":{"date-parts":[["2022","11","21"]]},"page":"8072","title":"Pesticide Residues in Vegetables and Fruits from Farmer Markets and Associated Dietary Risks","type":"article-journal","volume":"27"},"uris":["http://www.mendeley.com/documents/?uuid=c522083e-fffa-423b-9cc0-4f6af88522a0"]}],"mendeley":{"formattedCitation":"(El-Sheikh &lt;i&gt;et al.&lt;/i&gt;, 2022)","plainTextFormattedCitation":"(El-Sheikh et al., 2022)","previouslyFormattedCitation":"(El-Sheikh &lt;i&gt;et al.&lt;/i&gt;, 2022)"},"properties":{"noteIndex":0},"schema":"https://github.com/citation-style-language/schema/raw/master/csl-citation.json"}</w:instrText>
      </w:r>
      <w:r w:rsidR="00571ABD" w:rsidRPr="002042E6">
        <w:rPr>
          <w:rFonts w:ascii="Times New Roman" w:hAnsi="Times New Roman" w:cs="Times New Roman"/>
          <w:sz w:val="24"/>
          <w:szCs w:val="24"/>
        </w:rPr>
        <w:fldChar w:fldCharType="separate"/>
      </w:r>
      <w:r w:rsidR="00571ABD" w:rsidRPr="002042E6">
        <w:rPr>
          <w:rFonts w:ascii="Times New Roman" w:hAnsi="Times New Roman" w:cs="Times New Roman"/>
          <w:noProof/>
          <w:sz w:val="24"/>
          <w:szCs w:val="24"/>
        </w:rPr>
        <w:t>(El-Sheikh et al., 2022)</w:t>
      </w:r>
      <w:r w:rsidR="00571ABD" w:rsidRPr="002042E6">
        <w:rPr>
          <w:rFonts w:ascii="Times New Roman" w:hAnsi="Times New Roman" w:cs="Times New Roman"/>
          <w:sz w:val="24"/>
          <w:szCs w:val="24"/>
        </w:rPr>
        <w:fldChar w:fldCharType="end"/>
      </w:r>
      <w:r w:rsidR="00082DAA">
        <w:rPr>
          <w:rFonts w:ascii="Times New Roman" w:hAnsi="Times New Roman" w:cs="Times New Roman"/>
          <w:sz w:val="24"/>
          <w:szCs w:val="24"/>
        </w:rPr>
        <w:t>.</w:t>
      </w:r>
      <w:r w:rsidR="007E6DF1" w:rsidRPr="007E6DF1">
        <w:rPr>
          <w:rFonts w:ascii="Times New Roman" w:hAnsi="Times New Roman" w:cs="Times New Roman"/>
          <w:sz w:val="24"/>
          <w:szCs w:val="24"/>
        </w:rPr>
        <w:t xml:space="preserve"> </w:t>
      </w:r>
      <w:r w:rsidR="00A46BDA" w:rsidRPr="007E6DF1">
        <w:rPr>
          <w:rFonts w:ascii="Times New Roman" w:hAnsi="Times New Roman" w:cs="Times New Roman"/>
          <w:sz w:val="24"/>
          <w:szCs w:val="24"/>
        </w:rPr>
        <w:t xml:space="preserve">In Brazil, 30% of EU-banned pesticides remain in use, often at MRLs 400 times higher </w:t>
      </w:r>
      <w:r w:rsidR="00571ABD" w:rsidRPr="002042E6">
        <w:rPr>
          <w:rFonts w:ascii="Times New Roman" w:hAnsi="Times New Roman" w:cs="Times New Roman"/>
          <w:sz w:val="24"/>
          <w:szCs w:val="24"/>
        </w:rPr>
        <w:fldChar w:fldCharType="begin" w:fldLock="1"/>
      </w:r>
      <w:r w:rsidR="00571ABD" w:rsidRPr="002042E6">
        <w:rPr>
          <w:rFonts w:ascii="Times New Roman" w:hAnsi="Times New Roman" w:cs="Times New Roman"/>
          <w:sz w:val="24"/>
          <w:szCs w:val="24"/>
        </w:rPr>
        <w:instrText>ADDIN CSL_CITATION {"citationItems":[{"id":"ITEM-1","itemData":{"DOI":"10.3389/ftox.2025.1442801","ISSN":"26733080","abstract":"The benefits of pesticides in enhancing agricultural yields are widely accepted by the general public. However, it is essential to address the limitations of the current agricultural model to develop more sustainable practices that prioritize environmental and human health. Brazil, a major global agricultural player, ranks among the top five agro-food producers and exporters, making it one of the largest consumers of pesticides worldwide. Notably, approximately 30% of pesticides used in Brazil are banned in the European Union. Paradoxically, some of these banned agrochemicals re-enter Northern markets through imported agro-food products. Addressing the regulatory disparities between Northern and Southern countries necessitates global initiatives and research to better understand the real biological risks associated with pesticide exposure, particularly concerning reproductive health, endocrine disruption, and carcinogenesis—key targets of these chemicals. Since 2001, the Brazilian Health Regulatory Agency (ANVISA) has operated the “Reports on Pesticide Residue Analysis in Food (RPRAF)” program to evaluate pesticide residues in food samples collected across Brazil. Despite its limitations, the program has been crucial in identifying the chemical exposome related to Brazilian agro-foods, facilitating studies on relevant pesticides, their doses, routes, and exposure schedules, and enabling the development of pre-clinical studies based on real-life exposure scenarios. A thorough understanding of the main mechanism of toxicity is crucial for raising awareness about the health risks associated with pesticide exposure, fostering tailored health strategies and guiding informed regulatory policies.","author":[{"dropping-particle":"","family":"Perobelli","given":"Juliana E.","non-dropping-particle":"","parse-names":false,"suffix":""}],"container-title":"Frontiers in Toxicology","id":"ITEM-1","issued":{"date-parts":[["2025","3","13"]]},"title":"Pesticides and public health: discussing risks in Brazilian agro-industrial growth","type":"article-journal","volume":"7"},"uris":["http://www.mendeley.com/documents/?uuid=29dd3cbe-b4c6-48c7-8990-23edb8fd50fe"]}],"mendeley":{"formattedCitation":"(Perobelli, 2025)","plainTextFormattedCitation":"(Perobelli, 2025)","previouslyFormattedCitation":"(Perobelli, 2025)"},"properties":{"noteIndex":0},"schema":"https://github.com/citation-style-language/schema/raw/master/csl-citation.json"}</w:instrText>
      </w:r>
      <w:r w:rsidR="00571ABD" w:rsidRPr="002042E6">
        <w:rPr>
          <w:rFonts w:ascii="Times New Roman" w:hAnsi="Times New Roman" w:cs="Times New Roman"/>
          <w:sz w:val="24"/>
          <w:szCs w:val="24"/>
        </w:rPr>
        <w:fldChar w:fldCharType="separate"/>
      </w:r>
      <w:r w:rsidR="00571ABD" w:rsidRPr="002042E6">
        <w:rPr>
          <w:rFonts w:ascii="Times New Roman" w:hAnsi="Times New Roman" w:cs="Times New Roman"/>
          <w:noProof/>
          <w:sz w:val="24"/>
          <w:szCs w:val="24"/>
        </w:rPr>
        <w:t>(Perobelli, 2025)</w:t>
      </w:r>
      <w:r w:rsidR="00571ABD" w:rsidRPr="002042E6">
        <w:rPr>
          <w:rFonts w:ascii="Times New Roman" w:hAnsi="Times New Roman" w:cs="Times New Roman"/>
          <w:sz w:val="24"/>
          <w:szCs w:val="24"/>
        </w:rPr>
        <w:fldChar w:fldCharType="end"/>
      </w:r>
      <w:r w:rsidR="00A46BDA" w:rsidRPr="007E6DF1">
        <w:rPr>
          <w:rFonts w:ascii="Times New Roman" w:hAnsi="Times New Roman" w:cs="Times New Roman"/>
          <w:sz w:val="24"/>
          <w:szCs w:val="24"/>
        </w:rPr>
        <w:t xml:space="preserve">. </w:t>
      </w:r>
      <w:r w:rsidR="00D523CF" w:rsidRPr="00D523CF">
        <w:rPr>
          <w:rFonts w:ascii="Times New Roman" w:hAnsi="Times New Roman" w:cs="Times New Roman"/>
          <w:sz w:val="24"/>
          <w:szCs w:val="24"/>
        </w:rPr>
        <w:t xml:space="preserve">Tang et al. (2025) concluded that over one-third of domestically produced foods in Africa are unsafe due to pesticide contamination. However, </w:t>
      </w:r>
      <w:r w:rsidR="00BE48DC" w:rsidRPr="002042E6">
        <w:rPr>
          <w:rFonts w:ascii="Times New Roman" w:hAnsi="Times New Roman" w:cs="Times New Roman"/>
          <w:sz w:val="24"/>
          <w:szCs w:val="24"/>
        </w:rPr>
        <w:fldChar w:fldCharType="begin" w:fldLock="1"/>
      </w:r>
      <w:r w:rsidR="00BE48DC" w:rsidRPr="002042E6">
        <w:rPr>
          <w:rFonts w:ascii="Times New Roman" w:hAnsi="Times New Roman" w:cs="Times New Roman"/>
          <w:sz w:val="24"/>
          <w:szCs w:val="24"/>
        </w:rPr>
        <w:instrText>ADDIN CSL_CITATION {"citationItems":[{"id":"ITEM-1","itemData":{"DOI":"10.1016/S2542-5196(20)30104-2","ISSN":"25425196","PMID":"32681900","abstract":"Background: Human dietary exposure to chemicals can result in a wide range of adverse health effects. Some substances might cause non-communicable diseases, including cancer and coronary heart diseases, and could be nephrotoxic. Food is the main human exposure route for many chemicals. We aimed to assess human dietary exposure to a wide range of food chemicals. Methods: We did a total diet study in Benin, Cameroon, Mali, and Nigeria. We assessed 4020 representative samples of foods, prepared as consumed, which covered more than 90% of the diet of 7291 households from eight study centres. By combining representative dietary surveys of countries with findings for concentrations of 872 chemicals in foods, we characterised human dietary exposure. Findings: Exposure to lead could result in increases in adult blood pressure up to 2·0 mm Hg, whereas children might lose 8·8–13·3 IQ points (95th percentile in Kano, Nigeria). Morbidity factors caused by coexposure to aflatoxin B1 and hepatitis B virus, and sterigmatocystin and fumonisins, suggest several thousands of additional liver cancer cases per year, and a substantial contribution to the burden of chronic malnutrition in childhood. Exposure to 13 polycyclic aromatic hydrocarbons from consumption of smoked fish and edible oils exceeded levels associated with possible carcinogenicity and genotoxicity health concerns in all study centres. Exposure to aluminium, ochratoxin A, and citrinin indicated a public health concern about nephropathies. From 470 pesticides tested across the four countries, only high concentrations of chlorpyrifos in smoked fish (unauthorised practice identified in Mali) could pose a human health risk. Interpretation: Risks characterised by this total diet study underscore specific priorities in terms of food safety management in sub-Saharan Africa. Similar investigations specifically targeting children are crucially needed. Funding: Standards and Trade Development Facility.","author":[{"dropping-particle":"","family":"Ingenbleek","given":"Luc","non-dropping-particle":"","parse-names":false,"suffix":""},{"dropping-particle":"","family":"Verger","given":"Philippe","non-dropping-particle":"","parse-names":false,"suffix":""},{"dropping-particle":"","family":"Gimou","given":"Marie Madeleine","non-dropping-particle":"","parse-names":false,"suffix":""},{"dropping-particle":"","family":"Adegboye","given":"Abimbola","non-dropping-particle":"","parse-names":false,"suffix":""},{"dropping-particle":"","family":"Adebayo","given":"Samson B.","non-dropping-particle":"","parse-names":false,"suffix":""},{"dropping-particle":"","family":"Hossou","given":"Sètondji Epiphane","non-dropping-particle":"","parse-names":false,"suffix":""},{"dropping-particle":"","family":"Koné","given":"Abdoulaye Zié","non-dropping-particle":"","parse-names":false,"suffix":""},{"dropping-particle":"","family":"Jazet","given":"Eric","non-dropping-particle":"","parse-names":false,"suffix":""},{"dropping-particle":"","family":"Dzossa","given":"Anaclet D.","non-dropping-particle":"","parse-names":false,"suffix":""},{"dropping-particle":"","family":"Ogungbangbe","given":"Julius","non-dropping-particle":"","parse-names":false,"suffix":""},{"dropping-particle":"","family":"Dansou","given":"Sylvestre","non-dropping-particle":"","parse-names":false,"suffix":""},{"dropping-particle":"","family":"Diallo","given":"Zima J.","non-dropping-particle":"","parse-names":false,"suffix":""},{"dropping-particle":"","family":"Jitaru","given":"Petru","non-dropping-particle":"","parse-names":false,"suffix":""},{"dropping-particle":"","family":"Guérin","given":"Thierry","non-dropping-particle":"","parse-names":false,"suffix":""},{"dropping-particle":"","family":"Lopes-Pereira","given":"Lionel","non-dropping-particle":"","parse-names":false,"suffix":""},{"dropping-particle":"","family":"Hu","given":"Renwei","non-dropping-particle":"","parse-names":false,"suffix":""},{"dropping-particle":"","family":"Sulyok","given":"Michael","non-dropping-particle":"","parse-names":false,"suffix":""},{"dropping-particle":"","family":"Krska","given":"Rudolf","non-dropping-particle":"","parse-names":false,"suffix":""},{"dropping-particle":"","family":"Marchand","given":"Philippe","non-dropping-particle":"","parse-names":false,"suffix":""},{"dropping-particle":"","family":"Bizec","given":"Bruno","non-dropping-particle":"Le","parse-names":false,"suffix":""},{"dropping-particle":"","family":"Eyangoh","given":"Sara","non-dropping-particle":"","parse-names":false,"suffix":""},{"dropping-particle":"","family":"Kamanzi","given":"Jean","non-dropping-particle":"","parse-names":false,"suffix":""},{"dropping-particle":"","family":"Ouattara","given":"Blaise","non-dropping-particle":"","parse-names":false,"suffix":""},{"dropping-particle":"","family":"Merten","given":"Caroline","non-dropping-particle":"","parse-names":false,"suffix":""},{"dropping-particle":"","family":"Lipp","given":"Markus","non-dropping-particle":"","parse-names":false,"suffix":""},{"dropping-particle":"","family":"Clarke","given":"Renata","non-dropping-particle":"","parse-names":false,"suffix":""},{"dropping-particle":"","family":"Leblanc","given":"Jean Charles","non-dropping-particle":"","parse-names":false,"suffix":""}],"container-title":"The Lancet Planetary Health","id":"ITEM-1","issue":"7","issued":{"date-parts":[["2020","7"]]},"page":"e292-e300","title":"Human dietary exposure to chemicals in sub-Saharan Africa: safety assessment through a total diet study","type":"article-journal","volume":"4"},"uris":["http://www.mendeley.com/documents/?uuid=b09cda3d-51b6-4827-86b8-0ad6b2ed1a66"]}],"mendeley":{"formattedCitation":"(Ingenbleek &lt;i&gt;et al.&lt;/i&gt;, 2020)","manualFormatting":"Ingenbleek et al. (2020)","plainTextFormattedCitation":"(Ingenbleek et al., 2020)","previouslyFormattedCitation":"(Ingenbleek &lt;i&gt;et al.&lt;/i&gt;, 2020)"},"properties":{"noteIndex":0},"schema":"https://github.com/citation-style-language/schema/raw/master/csl-citation.json"}</w:instrText>
      </w:r>
      <w:r w:rsidR="00BE48DC" w:rsidRPr="002042E6">
        <w:rPr>
          <w:rFonts w:ascii="Times New Roman" w:hAnsi="Times New Roman" w:cs="Times New Roman"/>
          <w:sz w:val="24"/>
          <w:szCs w:val="24"/>
        </w:rPr>
        <w:fldChar w:fldCharType="separate"/>
      </w:r>
      <w:r w:rsidR="00BE48DC" w:rsidRPr="002042E6">
        <w:rPr>
          <w:rFonts w:ascii="Times New Roman" w:hAnsi="Times New Roman" w:cs="Times New Roman"/>
          <w:noProof/>
          <w:sz w:val="24"/>
          <w:szCs w:val="24"/>
        </w:rPr>
        <w:t>Ingenbleek et al. (2020)</w:t>
      </w:r>
      <w:r w:rsidR="00BE48DC" w:rsidRPr="002042E6">
        <w:rPr>
          <w:rFonts w:ascii="Times New Roman" w:hAnsi="Times New Roman" w:cs="Times New Roman"/>
          <w:sz w:val="24"/>
          <w:szCs w:val="24"/>
        </w:rPr>
        <w:fldChar w:fldCharType="end"/>
      </w:r>
      <w:r w:rsidR="00E21548">
        <w:rPr>
          <w:rFonts w:ascii="Times New Roman" w:hAnsi="Times New Roman" w:cs="Times New Roman"/>
          <w:sz w:val="24"/>
          <w:szCs w:val="24"/>
        </w:rPr>
        <w:t xml:space="preserve"> </w:t>
      </w:r>
      <w:r w:rsidR="00D523CF" w:rsidRPr="00D523CF">
        <w:rPr>
          <w:rFonts w:ascii="Times New Roman" w:hAnsi="Times New Roman" w:cs="Times New Roman"/>
          <w:sz w:val="24"/>
          <w:szCs w:val="24"/>
        </w:rPr>
        <w:t>found that foods in multiple African countries are generally safe from pesticide risks, except for chlorpyrifos in smoked fish</w:t>
      </w:r>
      <w:r w:rsidR="00FB44F3">
        <w:rPr>
          <w:rFonts w:ascii="Times New Roman" w:hAnsi="Times New Roman" w:cs="Times New Roman"/>
          <w:sz w:val="24"/>
          <w:szCs w:val="24"/>
        </w:rPr>
        <w:t>.</w:t>
      </w:r>
      <w:r w:rsidR="00A62DC2">
        <w:rPr>
          <w:rFonts w:ascii="Times New Roman" w:hAnsi="Times New Roman" w:cs="Times New Roman"/>
          <w:sz w:val="24"/>
          <w:szCs w:val="24"/>
        </w:rPr>
        <w:t xml:space="preserve"> </w:t>
      </w:r>
    </w:p>
    <w:p w14:paraId="6C901D56" w14:textId="74B2D1D8" w:rsidR="0009382F" w:rsidRDefault="00CA4D26" w:rsidP="0009382F">
      <w:pPr>
        <w:spacing w:line="360" w:lineRule="auto"/>
        <w:jc w:val="both"/>
        <w:rPr>
          <w:rFonts w:ascii="Times New Roman" w:hAnsi="Times New Roman" w:cs="Times New Roman"/>
          <w:sz w:val="24"/>
          <w:szCs w:val="24"/>
        </w:rPr>
      </w:pPr>
      <w:r w:rsidRPr="00CA4D26">
        <w:rPr>
          <w:rFonts w:ascii="Times New Roman" w:hAnsi="Times New Roman" w:cs="Times New Roman"/>
          <w:sz w:val="24"/>
          <w:szCs w:val="24"/>
        </w:rPr>
        <w:lastRenderedPageBreak/>
        <w:t>Overall, these evident disparities leave the Global South</w:t>
      </w:r>
      <w:r w:rsidR="004B0BE3">
        <w:rPr>
          <w:rFonts w:ascii="Times New Roman" w:hAnsi="Times New Roman" w:cs="Times New Roman"/>
          <w:sz w:val="24"/>
          <w:szCs w:val="24"/>
        </w:rPr>
        <w:t xml:space="preserve">, </w:t>
      </w:r>
      <w:r w:rsidRPr="00CA4D26">
        <w:rPr>
          <w:rFonts w:ascii="Times New Roman" w:hAnsi="Times New Roman" w:cs="Times New Roman"/>
          <w:sz w:val="24"/>
          <w:szCs w:val="24"/>
        </w:rPr>
        <w:t>home to over 80% of the world’s population</w:t>
      </w:r>
      <w:r w:rsidR="004B0BE3">
        <w:rPr>
          <w:rFonts w:ascii="Times New Roman" w:hAnsi="Times New Roman" w:cs="Times New Roman"/>
          <w:sz w:val="24"/>
          <w:szCs w:val="24"/>
        </w:rPr>
        <w:t xml:space="preserve">, </w:t>
      </w:r>
      <w:r w:rsidRPr="00CA4D26">
        <w:rPr>
          <w:rFonts w:ascii="Times New Roman" w:hAnsi="Times New Roman" w:cs="Times New Roman"/>
          <w:sz w:val="24"/>
          <w:szCs w:val="24"/>
        </w:rPr>
        <w:t>facing the highest burdens, even though the true magnitude of exposure and associated health risks largely remains unquantified. Additionally, existing geographical biases in the global understanding of food safety continue to skew policy toward high-income regions. These factors, combined with the highlighted data inconsistencies, indicate an urgent need for harmonized, context-specific analyses.</w:t>
      </w:r>
    </w:p>
    <w:p w14:paraId="6438C051" w14:textId="7A3817FA" w:rsidR="00B52B21" w:rsidRDefault="00131F81" w:rsidP="00E6176B">
      <w:pPr>
        <w:spacing w:line="360" w:lineRule="auto"/>
        <w:jc w:val="both"/>
        <w:rPr>
          <w:rFonts w:ascii="Times New Roman" w:hAnsi="Times New Roman" w:cs="Times New Roman"/>
          <w:sz w:val="24"/>
          <w:szCs w:val="24"/>
        </w:rPr>
      </w:pPr>
      <w:r w:rsidRPr="00131F81">
        <w:rPr>
          <w:rFonts w:ascii="Times New Roman" w:hAnsi="Times New Roman" w:cs="Times New Roman"/>
          <w:sz w:val="24"/>
          <w:szCs w:val="24"/>
        </w:rPr>
        <w:t>Systematic review and meta-analysis methodologies can be leveraged in data-limited settings to compile exposure data for use in dietary risk assessments and to inform regulatory decision-making</w:t>
      </w:r>
      <w:r w:rsidR="00F90445">
        <w:rPr>
          <w:rFonts w:ascii="Times New Roman" w:hAnsi="Times New Roman" w:cs="Times New Roman"/>
          <w:sz w:val="24"/>
          <w:szCs w:val="24"/>
        </w:rPr>
        <w:t xml:space="preserve"> </w:t>
      </w:r>
      <w:r w:rsidR="00D56510">
        <w:rPr>
          <w:rFonts w:ascii="Times New Roman" w:hAnsi="Times New Roman" w:cs="Times New Roman"/>
          <w:sz w:val="24"/>
          <w:szCs w:val="24"/>
        </w:rPr>
        <w:fldChar w:fldCharType="begin" w:fldLock="1"/>
      </w:r>
      <w:r w:rsidR="002266A7">
        <w:rPr>
          <w:rFonts w:ascii="Times New Roman" w:hAnsi="Times New Roman" w:cs="Times New Roman"/>
          <w:sz w:val="24"/>
          <w:szCs w:val="24"/>
        </w:rPr>
        <w:instrText>ADDIN CSL_CITATION {"citationItems":[{"id":"ITEM-1","itemData":{"ISBN":"9789241572408","abstract":"Risk assessment and its role in risk analysis -- Chemical characterization, analytical methods and the development of specifications -- Hazard identification and characterization: toxicology and human studies -- Dose-response assessment and derivation of health-based guidance values -- Dietary exposure assessment of chemicals in food -- Risk characterization -- Maximum residue limits for pesticides and veterinary drugs -- Principles related to specific groups of substances.","author":[{"dropping-particle":"","family":"WHO/FAO","given":"","non-dropping-particle":"","parse-names":false,"suffix":""}],"container-title":"International Journal of Environmental Studies","id":"ITEM-1","issued":{"date-parts":[["2009"]]},"page":"1-7","title":"Principles and Methods for the Risk Assessment of Chemicals in Food","type":"article-journal"},"uris":["http://www.mendeley.com/documents/?uuid=cc717f57-46e2-4322-bebb-9a96de9961e6"]},{"id":"ITEM-2","itemData":{"DOI":"10.1016/j.envint.2015.11.002","ISSN":"18736750","PMID":"26687863","abstract":"Systematic review (SR) is a rigorous, protocol-driven approach designed to minimise error and bias when summarising the body of research evidence relevant to a specific scientific question. Taking as a comparator the use of SR in synthesising research in healthcare, we argue that SR methods could also pave the way for a “step change” in the transparency, objectivity and communication of chemical risk assessments (CRA) in Europe and elsewhere. We suggest that current controversies around the safety of certain chemicals are partly due to limitations in current CRA procedures which have contributed to ambiguity about the health risks posed by these substances. We present an overview of how SR methods can be applied to the assessment of risks from chemicals, and indicate how challenges in adapting SR methods from healthcare research to the CRA context might be overcome. Regarding the latter, we report the outcomes from a workshop exploring how to increase uptake of SR methods, attended by experts representing a wide range of fields related to chemical toxicology, risk analysis and SR. Priorities which were identified include: the conduct of CRA-focused prototype SRs; the development of a recognised standard of reporting and conduct for SRs in toxicology and CRA; and establishing a network to facilitate research, communication and training in SR methods. We see this paper as a milestone in the creation of a research climate that fosters communication between experts in CRA and SR and facilitates wider uptake of SR methods into CRA.","author":[{"dropping-particle":"","family":"Whaley","given":"Paul","non-dropping-particle":"","parse-names":false,"suffix":""},{"dropping-particle":"","family":"Halsall","given":"Crispin","non-dropping-particle":"","parse-names":false,"suffix":""},{"dropping-particle":"","family":"Ågerstrand","given":"Marlene","non-dropping-particle":"","parse-names":false,"suffix":""},{"dropping-particle":"","family":"Aiassa","given":"Elisa","non-dropping-particle":"","parse-names":false,"suffix":""},{"dropping-particle":"","family":"Benford","given":"Diane","non-dropping-particle":"","parse-names":false,"suffix":""},{"dropping-particle":"","family":"Bilotta","given":"Gary","non-dropping-particle":"","parse-names":false,"suffix":""},{"dropping-particle":"","family":"Coggon","given":"David","non-dropping-particle":"","parse-names":false,"suffix":""},{"dropping-particle":"","family":"Collins","given":"Chris","non-dropping-particle":"","parse-names":false,"suffix":""},{"dropping-particle":"","family":"Dempsey","given":"Ciara","non-dropping-particle":"","parse-names":false,"suffix":""},{"dropping-particle":"","family":"Duarte-Davidson","given":"Raquel","non-dropping-particle":"","parse-names":false,"suffix":""},{"dropping-particle":"","family":"FitzGerald","given":"Rex","non-dropping-particle":"","parse-names":false,"suffix":""},{"dropping-particle":"","family":"Galay-Burgos","given":"Malyka","non-dropping-particle":"","parse-names":false,"suffix":""},{"dropping-particle":"","family":"Gee","given":"David","non-dropping-particle":"","parse-names":false,"suffix":""},{"dropping-particle":"","family":"Hoffmann","given":"Sebastian","non-dropping-particle":"","parse-names":false,"suffix":""},{"dropping-particle":"","family":"Lam","given":"Juleen","non-dropping-particle":"","parse-names":false,"suffix":""},{"dropping-particle":"","family":"Lasserson","given":"Toby","non-dropping-particle":"","parse-names":false,"suffix":""},{"dropping-particle":"","family":"Levy","given":"Len","non-dropping-particle":"","parse-names":false,"suffix":""},{"dropping-particle":"","family":"Lipworth","given":"Steven","non-dropping-particle":"","parse-names":false,"suffix":""},{"dropping-particle":"","family":"Ross","given":"Sarah Mackenzie","non-dropping-particle":"","parse-names":false,"suffix":""},{"dropping-particle":"","family":"Martin","given":"Olwenn","non-dropping-particle":"","parse-names":false,"suffix":""},{"dropping-particle":"","family":"Meads","given":"Catherine","non-dropping-particle":"","parse-names":false,"suffix":""},{"dropping-particle":"","family":"Meyer-Baron","given":"Monika","non-dropping-particle":"","parse-names":false,"suffix":""},{"dropping-particle":"","family":"Miller","given":"James","non-dropping-particle":"","parse-names":false,"suffix":""},{"dropping-particle":"","family":"Pease","given":"Camilla","non-dropping-particle":"","parse-names":false,"suffix":""},{"dropping-particle":"","family":"Rooney","given":"Andrew","non-dropping-particle":"","parse-names":false,"suffix":""},{"dropping-particle":"","family":"Sapiets","given":"Alison","non-dropping-particle":"","parse-names":false,"suffix":""},{"dropping-particle":"","family":"Stewart","given":"Gavin","non-dropping-particle":"","parse-names":false,"suffix":""},{"dropping-particle":"","family":"Taylor","given":"David","non-dropping-particle":"","parse-names":false,"suffix":""}],"container-title":"Environment International","id":"ITEM-2","issued":{"date-parts":[["2016"]]},"page":"556-564","title":"Implementing systematic review techniques in chemical risk assessment: Challenges, opportunities and recommendations","type":"article-journal","volume":"92-93"},"uris":["http://www.mendeley.com/documents/?uuid=27e8298d-b596-414e-be81-d523c99be2e8"]}],"mendeley":{"formattedCitation":"(Whaley &lt;i&gt;et al.&lt;/i&gt;, 2016; WHO/FAO, 2009)","plainTextFormattedCitation":"(Whaley et al., 2016; WHO/FAO, 2009)","previouslyFormattedCitation":"(Whaley &lt;i&gt;et al.&lt;/i&gt;, 2016; WHO/FAO, 2009)"},"properties":{"noteIndex":0},"schema":"https://github.com/citation-style-language/schema/raw/master/csl-citation.json"}</w:instrText>
      </w:r>
      <w:r w:rsidR="00D56510">
        <w:rPr>
          <w:rFonts w:ascii="Times New Roman" w:hAnsi="Times New Roman" w:cs="Times New Roman"/>
          <w:sz w:val="24"/>
          <w:szCs w:val="24"/>
        </w:rPr>
        <w:fldChar w:fldCharType="separate"/>
      </w:r>
      <w:r w:rsidR="00D56510" w:rsidRPr="00D56510">
        <w:rPr>
          <w:rFonts w:ascii="Times New Roman" w:hAnsi="Times New Roman" w:cs="Times New Roman"/>
          <w:noProof/>
          <w:sz w:val="24"/>
          <w:szCs w:val="24"/>
        </w:rPr>
        <w:t xml:space="preserve">(Whaley </w:t>
      </w:r>
      <w:r w:rsidR="00D56510" w:rsidRPr="00D56510">
        <w:rPr>
          <w:rFonts w:ascii="Times New Roman" w:hAnsi="Times New Roman" w:cs="Times New Roman"/>
          <w:i/>
          <w:noProof/>
          <w:sz w:val="24"/>
          <w:szCs w:val="24"/>
        </w:rPr>
        <w:t>et al.</w:t>
      </w:r>
      <w:r w:rsidR="00D56510" w:rsidRPr="00D56510">
        <w:rPr>
          <w:rFonts w:ascii="Times New Roman" w:hAnsi="Times New Roman" w:cs="Times New Roman"/>
          <w:noProof/>
          <w:sz w:val="24"/>
          <w:szCs w:val="24"/>
        </w:rPr>
        <w:t>, 2016; WHO/FAO, 2009)</w:t>
      </w:r>
      <w:r w:rsidR="00D56510">
        <w:rPr>
          <w:rFonts w:ascii="Times New Roman" w:hAnsi="Times New Roman" w:cs="Times New Roman"/>
          <w:sz w:val="24"/>
          <w:szCs w:val="24"/>
        </w:rPr>
        <w:fldChar w:fldCharType="end"/>
      </w:r>
      <w:r w:rsidRPr="00131F81">
        <w:rPr>
          <w:rFonts w:ascii="Times New Roman" w:hAnsi="Times New Roman" w:cs="Times New Roman"/>
          <w:sz w:val="24"/>
          <w:szCs w:val="24"/>
        </w:rPr>
        <w:t>. However, these methodologies are severely limited in application, especially when conventional approaches are used. Traditional meta-analysis methods fail to handle hierarchical clustering (e.</w:t>
      </w:r>
      <w:r w:rsidR="00BC3EEE">
        <w:rPr>
          <w:rFonts w:ascii="Times New Roman" w:hAnsi="Times New Roman" w:cs="Times New Roman"/>
          <w:sz w:val="24"/>
          <w:szCs w:val="24"/>
        </w:rPr>
        <w:t>g.</w:t>
      </w:r>
      <w:r w:rsidRPr="00131F81">
        <w:rPr>
          <w:rFonts w:ascii="Times New Roman" w:hAnsi="Times New Roman" w:cs="Times New Roman"/>
          <w:sz w:val="24"/>
          <w:szCs w:val="24"/>
        </w:rPr>
        <w:t>, non-independence due to study, region, or method)</w:t>
      </w:r>
      <w:r w:rsidR="00B974CC">
        <w:rPr>
          <w:rFonts w:ascii="Times New Roman" w:hAnsi="Times New Roman" w:cs="Times New Roman"/>
          <w:sz w:val="24"/>
          <w:szCs w:val="24"/>
        </w:rPr>
        <w:t xml:space="preserve"> </w:t>
      </w:r>
      <w:r w:rsidR="00B974CC">
        <w:rPr>
          <w:rFonts w:ascii="Times New Roman" w:hAnsi="Times New Roman" w:cs="Times New Roman"/>
          <w:sz w:val="24"/>
          <w:szCs w:val="24"/>
        </w:rPr>
        <w:fldChar w:fldCharType="begin" w:fldLock="1"/>
      </w:r>
      <w:r w:rsidR="00A33176">
        <w:rPr>
          <w:rFonts w:ascii="Times New Roman" w:hAnsi="Times New Roman" w:cs="Times New Roman"/>
          <w:sz w:val="24"/>
          <w:szCs w:val="24"/>
        </w:rPr>
        <w:instrText>ADDIN CSL_CITATION {"citationItems":[{"id":"ITEM-1","itemData":{"DOI":"10.1186/s13750-023-00301-6","ISSN":"20472382","abstract":"Meta-analysis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Evidence","id":"ITEM-1","issue":"1","issued":{"date-parts":[["2023","4","24"]]},"page":"8","title":"Quantitative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Yang, &lt;i&gt;et al.&lt;/i&gt;, 2023)","plainTextFormattedCitation":"(Nakagawa, Yang, et al., 2023)","previouslyFormattedCitation":"(Nakagawa, Yang, &lt;i&gt;et al.&lt;/i&gt;, 2023)"},"properties":{"noteIndex":0},"schema":"https://github.com/citation-style-language/schema/raw/master/csl-citation.json"}</w:instrText>
      </w:r>
      <w:r w:rsidR="00B974CC">
        <w:rPr>
          <w:rFonts w:ascii="Times New Roman" w:hAnsi="Times New Roman" w:cs="Times New Roman"/>
          <w:sz w:val="24"/>
          <w:szCs w:val="24"/>
        </w:rPr>
        <w:fldChar w:fldCharType="separate"/>
      </w:r>
      <w:r w:rsidR="00B974CC" w:rsidRPr="00B974CC">
        <w:rPr>
          <w:rFonts w:ascii="Times New Roman" w:hAnsi="Times New Roman" w:cs="Times New Roman"/>
          <w:noProof/>
          <w:sz w:val="24"/>
          <w:szCs w:val="24"/>
        </w:rPr>
        <w:t xml:space="preserve">(Nakagawa, Yang, </w:t>
      </w:r>
      <w:r w:rsidR="00B974CC" w:rsidRPr="00B974CC">
        <w:rPr>
          <w:rFonts w:ascii="Times New Roman" w:hAnsi="Times New Roman" w:cs="Times New Roman"/>
          <w:i/>
          <w:noProof/>
          <w:sz w:val="24"/>
          <w:szCs w:val="24"/>
        </w:rPr>
        <w:t>et al.</w:t>
      </w:r>
      <w:r w:rsidR="00B974CC" w:rsidRPr="00B974CC">
        <w:rPr>
          <w:rFonts w:ascii="Times New Roman" w:hAnsi="Times New Roman" w:cs="Times New Roman"/>
          <w:noProof/>
          <w:sz w:val="24"/>
          <w:szCs w:val="24"/>
        </w:rPr>
        <w:t>, 2023)</w:t>
      </w:r>
      <w:r w:rsidR="00B974CC">
        <w:rPr>
          <w:rFonts w:ascii="Times New Roman" w:hAnsi="Times New Roman" w:cs="Times New Roman"/>
          <w:sz w:val="24"/>
          <w:szCs w:val="24"/>
        </w:rPr>
        <w:fldChar w:fldCharType="end"/>
      </w:r>
      <w:r w:rsidRPr="00131F81">
        <w:rPr>
          <w:rFonts w:ascii="Times New Roman" w:hAnsi="Times New Roman" w:cs="Times New Roman"/>
          <w:sz w:val="24"/>
          <w:szCs w:val="24"/>
        </w:rPr>
        <w:t>, left-censorship (i.e., non-detects below detection limits)</w:t>
      </w:r>
      <w:r w:rsidR="005B487D">
        <w:rPr>
          <w:rFonts w:ascii="Times New Roman" w:hAnsi="Times New Roman" w:cs="Times New Roman"/>
          <w:sz w:val="24"/>
          <w:szCs w:val="24"/>
        </w:rPr>
        <w:t xml:space="preserve"> </w:t>
      </w:r>
      <w:r w:rsidR="00F71256" w:rsidRPr="00F71256">
        <w:rPr>
          <w:rFonts w:ascii="Times New Roman" w:hAnsi="Times New Roman" w:cs="Times New Roman"/>
          <w:sz w:val="24"/>
          <w:szCs w:val="24"/>
        </w:rPr>
        <w:fldChar w:fldCharType="begin" w:fldLock="1"/>
      </w:r>
      <w:r w:rsidR="00F71256" w:rsidRPr="00F71256">
        <w:rPr>
          <w:rFonts w:ascii="Times New Roman" w:hAnsi="Times New Roman" w:cs="Times New Roman"/>
          <w:sz w:val="24"/>
          <w:szCs w:val="24"/>
        </w:rPr>
        <w:instrText>ADDIN CSL_CITATION {"citationItems":[{"id":"ITEM-1","itemData":{"DOI":"10.1016/j.chemosphere.2006.04.051","ISSN":"00456535","PMID":"16737727","abstract":"The most commonly used method in environmental chemistry to deal with values below detection limits is to substitute a fraction of the detection limit for each nondetect. Two decades of research has shown that this fabrication of values produces poor estimates of statistics, and commonly obscures patterns and trends in the data. Papers using substitution may conclude that significant differences, correlations, and regression relationships do not exist, when in fact they do. The reverse may also be true. Fortunately, good alternative methods for dealing with nondetects already exist, and are summarized here with references to original sources. Substituting values for nondetects should be used rarely, and should generally be considered unacceptable in scientific research. There are better ways.","author":[{"dropping-particle":"","family":"Helsel","given":"Dennis R.","non-dropping-particle":"","parse-names":false,"suffix":""}],"container-title":"Chemosphere","id":"ITEM-1","issue":"11","issued":{"date-parts":[["2006"]]},"page":"2434-2439","title":"Fabricating data: How substituting values for nondetects can ruin results, and what can be done about it","type":"article-journal","volume":"65"},"uris":["http://www.mendeley.com/documents/?uuid=57c4da47-ecf5-4998-a760-c58847299df8"]}],"mendeley":{"formattedCitation":"(Helsel, 2006)","plainTextFormattedCitation":"(Helsel, 2006)","previouslyFormattedCitation":"(Helsel, 2006)"},"properties":{"noteIndex":0},"schema":"https://github.com/citation-style-language/schema/raw/master/csl-citation.json"}</w:instrText>
      </w:r>
      <w:r w:rsidR="00F71256" w:rsidRPr="00F71256">
        <w:rPr>
          <w:rFonts w:ascii="Times New Roman" w:hAnsi="Times New Roman" w:cs="Times New Roman"/>
          <w:sz w:val="24"/>
          <w:szCs w:val="24"/>
        </w:rPr>
        <w:fldChar w:fldCharType="separate"/>
      </w:r>
      <w:r w:rsidR="00F71256" w:rsidRPr="00F71256">
        <w:rPr>
          <w:rFonts w:ascii="Times New Roman" w:hAnsi="Times New Roman" w:cs="Times New Roman"/>
          <w:noProof/>
          <w:sz w:val="24"/>
          <w:szCs w:val="24"/>
        </w:rPr>
        <w:t>(Helsel, 2006)</w:t>
      </w:r>
      <w:r w:rsidR="00F71256" w:rsidRPr="00F71256">
        <w:rPr>
          <w:rFonts w:ascii="Times New Roman" w:hAnsi="Times New Roman" w:cs="Times New Roman"/>
          <w:sz w:val="24"/>
          <w:szCs w:val="24"/>
        </w:rPr>
        <w:fldChar w:fldCharType="end"/>
      </w:r>
      <w:r w:rsidRPr="00131F81">
        <w:rPr>
          <w:rFonts w:ascii="Times New Roman" w:hAnsi="Times New Roman" w:cs="Times New Roman"/>
          <w:sz w:val="24"/>
          <w:szCs w:val="24"/>
        </w:rPr>
        <w:t>, and missing values</w:t>
      </w:r>
      <w:r w:rsidR="00F15445">
        <w:rPr>
          <w:rFonts w:ascii="Times New Roman" w:hAnsi="Times New Roman" w:cs="Times New Roman"/>
          <w:sz w:val="24"/>
          <w:szCs w:val="24"/>
        </w:rPr>
        <w:t xml:space="preserve"> </w:t>
      </w:r>
      <w:r w:rsidR="00F15445">
        <w:rPr>
          <w:rFonts w:ascii="Times New Roman" w:hAnsi="Times New Roman" w:cs="Times New Roman"/>
          <w:sz w:val="24"/>
          <w:szCs w:val="24"/>
        </w:rPr>
        <w:fldChar w:fldCharType="begin" w:fldLock="1"/>
      </w:r>
      <w:r w:rsidR="00B974CC">
        <w:rPr>
          <w:rFonts w:ascii="Times New Roman" w:hAnsi="Times New Roman" w:cs="Times New Roman"/>
          <w:sz w:val="24"/>
          <w:szCs w:val="24"/>
        </w:rPr>
        <w:instrText>ADDIN CSL_CITATION {"citationItems":[{"id":"ITEM-1","itemData":{"DOI":"10.1016/j.tree.2008.06.014","ISSN":"01695347","PMID":"18823677","abstract":"The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 © 2008 Elsevier Ltd. All rights reserved.","author":[{"dropping-particle":"","family":"Nakagawa","given":"Shinichi","non-dropping-particle":"","parse-names":false,"suffix":""},{"dropping-particle":"","family":"Freckleton","given":"Robert P.","non-dropping-particle":"","parse-names":false,"suffix":""}],"container-title":"Trends in Ecology and Evolution","id":"ITEM-1","issue":"11","issued":{"date-parts":[["2008"]]},"page":"592-596","title":"Missing inaction: the dangers of ignoring missing data","type":"article-journal","volume":"23"},"uris":["http://www.mendeley.com/documents/?uuid=47d3e125-40ee-4525-ae86-b3ee755f88a8"]}],"mendeley":{"formattedCitation":"(Nakagawa and Freckleton, 2008)","plainTextFormattedCitation":"(Nakagawa and Freckleton, 2008)","previouslyFormattedCitation":"(Nakagawa and Freckleton, 2008)"},"properties":{"noteIndex":0},"schema":"https://github.com/citation-style-language/schema/raw/master/csl-citation.json"}</w:instrText>
      </w:r>
      <w:r w:rsidR="00F15445">
        <w:rPr>
          <w:rFonts w:ascii="Times New Roman" w:hAnsi="Times New Roman" w:cs="Times New Roman"/>
          <w:sz w:val="24"/>
          <w:szCs w:val="24"/>
        </w:rPr>
        <w:fldChar w:fldCharType="separate"/>
      </w:r>
      <w:r w:rsidR="00F15445" w:rsidRPr="00F15445">
        <w:rPr>
          <w:rFonts w:ascii="Times New Roman" w:hAnsi="Times New Roman" w:cs="Times New Roman"/>
          <w:noProof/>
          <w:sz w:val="24"/>
          <w:szCs w:val="24"/>
        </w:rPr>
        <w:t>(Nakagawa and Freckleton, 2008)</w:t>
      </w:r>
      <w:r w:rsidR="00F15445">
        <w:rPr>
          <w:rFonts w:ascii="Times New Roman" w:hAnsi="Times New Roman" w:cs="Times New Roman"/>
          <w:sz w:val="24"/>
          <w:szCs w:val="24"/>
        </w:rPr>
        <w:fldChar w:fldCharType="end"/>
      </w:r>
      <w:r w:rsidRPr="00131F81">
        <w:rPr>
          <w:rFonts w:ascii="Times New Roman" w:hAnsi="Times New Roman" w:cs="Times New Roman"/>
          <w:sz w:val="24"/>
          <w:szCs w:val="24"/>
        </w:rPr>
        <w:t>, which are typical of environmental exposure data. Moreover, translating these data into population-level risks demands handling variabilities</w:t>
      </w:r>
      <w:r w:rsidR="00BC3EEE">
        <w:rPr>
          <w:rFonts w:ascii="Times New Roman" w:hAnsi="Times New Roman" w:cs="Times New Roman"/>
          <w:sz w:val="24"/>
          <w:szCs w:val="24"/>
        </w:rPr>
        <w:t xml:space="preserve"> (e.g., difference in </w:t>
      </w:r>
      <w:r w:rsidR="00974EF1">
        <w:rPr>
          <w:rFonts w:ascii="Times New Roman" w:hAnsi="Times New Roman" w:cs="Times New Roman"/>
          <w:sz w:val="24"/>
          <w:szCs w:val="24"/>
        </w:rPr>
        <w:t xml:space="preserve">individual’s daily intake or </w:t>
      </w:r>
      <w:r w:rsidR="00BC3EEE">
        <w:rPr>
          <w:rFonts w:ascii="Times New Roman" w:hAnsi="Times New Roman" w:cs="Times New Roman"/>
          <w:sz w:val="24"/>
          <w:szCs w:val="24"/>
        </w:rPr>
        <w:t>response</w:t>
      </w:r>
      <w:r w:rsidR="00974EF1">
        <w:rPr>
          <w:rFonts w:ascii="Times New Roman" w:hAnsi="Times New Roman" w:cs="Times New Roman"/>
          <w:sz w:val="24"/>
          <w:szCs w:val="24"/>
        </w:rPr>
        <w:t>)</w:t>
      </w:r>
      <w:r w:rsidRPr="00131F81">
        <w:rPr>
          <w:rFonts w:ascii="Times New Roman" w:hAnsi="Times New Roman" w:cs="Times New Roman"/>
          <w:sz w:val="24"/>
          <w:szCs w:val="24"/>
        </w:rPr>
        <w:t xml:space="preserve"> and uncertainties</w:t>
      </w:r>
      <w:r w:rsidR="00974EF1">
        <w:rPr>
          <w:rFonts w:ascii="Times New Roman" w:hAnsi="Times New Roman" w:cs="Times New Roman"/>
          <w:sz w:val="24"/>
          <w:szCs w:val="24"/>
        </w:rPr>
        <w:t xml:space="preserve"> (e.g., </w:t>
      </w:r>
      <w:r w:rsidR="00D333BD">
        <w:rPr>
          <w:rFonts w:ascii="Times New Roman" w:hAnsi="Times New Roman" w:cs="Times New Roman"/>
          <w:sz w:val="24"/>
          <w:szCs w:val="24"/>
        </w:rPr>
        <w:t>error in measurement</w:t>
      </w:r>
      <w:r w:rsidR="0029794E">
        <w:rPr>
          <w:rFonts w:ascii="Times New Roman" w:hAnsi="Times New Roman" w:cs="Times New Roman"/>
          <w:sz w:val="24"/>
          <w:szCs w:val="24"/>
        </w:rPr>
        <w:t xml:space="preserve"> or data gap</w:t>
      </w:r>
      <w:r w:rsidR="00974EF1">
        <w:rPr>
          <w:rFonts w:ascii="Times New Roman" w:hAnsi="Times New Roman" w:cs="Times New Roman"/>
          <w:sz w:val="24"/>
          <w:szCs w:val="24"/>
        </w:rPr>
        <w:t>)</w:t>
      </w:r>
      <w:r w:rsidRPr="00131F81">
        <w:rPr>
          <w:rFonts w:ascii="Times New Roman" w:hAnsi="Times New Roman" w:cs="Times New Roman"/>
          <w:sz w:val="24"/>
          <w:szCs w:val="24"/>
        </w:rPr>
        <w:t>, which deterministic methods inadequately address</w:t>
      </w:r>
      <w:r w:rsidR="00D56510">
        <w:rPr>
          <w:rFonts w:ascii="Times New Roman" w:hAnsi="Times New Roman" w:cs="Times New Roman"/>
          <w:sz w:val="24"/>
          <w:szCs w:val="24"/>
        </w:rPr>
        <w:t xml:space="preserve"> </w:t>
      </w:r>
      <w:r w:rsidR="00D56510">
        <w:rPr>
          <w:rFonts w:ascii="Times New Roman" w:hAnsi="Times New Roman" w:cs="Times New Roman"/>
          <w:sz w:val="24"/>
          <w:szCs w:val="24"/>
        </w:rPr>
        <w:fldChar w:fldCharType="begin" w:fldLock="1"/>
      </w:r>
      <w:r w:rsidR="00DA24B2">
        <w:rPr>
          <w:rFonts w:ascii="Times New Roman" w:hAnsi="Times New Roman" w:cs="Times New Roman"/>
          <w:sz w:val="24"/>
          <w:szCs w:val="24"/>
        </w:rPr>
        <w:instrText>ADDIN CSL_CITATION {"citationItems":[{"id":"ITEM-1","itemData":{"DOI":"10.1093/inteam/vjaf016","ISSN":"1551-3777","abstract":"Traditional ecological and human health risk assessment often relies on deterministic frameworks that preclude the presence of variability or uncertainty among input parameters characterizing exposure, effects, and risk. To promote increased realism and generate more robust risk management decisions, probabilistic risk assessment (PRA) has been introduced as a foundational grouping of techniques that seeks to broadly characterize variability among its components. Although multiple methods exist (e.g., Monte Carlo simulations, Bayesian networks), along with some federal and state regulatory guidance, gaps remain in prescriptive regulatory recommendations for the implementation of PRA methods. This article describes specific probabilistic approaches for risk characterization and assessment, regulatory support of PRA, challenges that may limit more widespread use, and opportunities for its expanded use in regulatory areas where it is not currently applied. Taken together, we hope to advance the understanding of probabilistic methodologies and their versatility for robust, transparent, data-based environmental risk assessment and standards derivation across a range of media that align with regulatory objectives to protect aquatic and terrestrial biota, human health, and vulnerable populations.","author":[{"dropping-particle":"","family":"Flinders","given":"Camille","non-dropping-particle":"","parse-names":false,"suffix":""},{"dropping-particle":"","family":"Barnhart","given":"Brad","non-dropping-particle":"","parse-names":false,"suffix":""},{"dropping-particle":"","family":"Morrison","given":"Emily B","non-dropping-particle":"","parse-names":false,"suffix":""},{"dropping-particle":"","family":"Anderson","given":"Paul D","non-dropping-particle":"","parse-names":false,"suffix":""},{"dropping-particle":"","family":"Landis","given":"Wayne G","non-dropping-particle":"","parse-names":false,"suffix":""}],"container-title":"Integrated Environmental Assessment and Management","id":"ITEM-1","issued":{"date-parts":[["2025"]]},"title":"Probabilistic approaches for risk assessment and regulatory criteria development: current applications, gaps, and opportunities","type":"article-journal"},"uris":["http://www.mendeley.com/documents/?uuid=f8d12a0f-61af-4a2b-8676-4ee731f2e440"]},{"id":"ITEM-2","itemData":{"abstract":"The intended goal of this white paper is to explain how EPA can use probabilistic methods to address data, model and scenario uncertainty and variability by capitalizing on the wide array of tools and methods that comprise PRA. This white paper describes where PRA can facilitate more informed risk management decision making through better understanding of uncertainty and variability related to Agency decisions. The information contained in this document is intended for both risk analysts and managers faced with determining when and how to apply these tools to inform their decisions. This document does not prescribe a specific approach but, rather, describes the various stages and aspects of an assessment or decision process in which probabilistic assessment tools may add value.","author":[{"dropping-particle":"","family":"US EPA","given":"","non-dropping-particle":"","parse-names":false,"suffix":""}],"id":"ITEM-2","issue":"July","issued":{"date-parts":[["2014"]]},"page":"98","title":"Risk Assessment Forum White Paper: Probabilistic Risk Assessment Methods and Case Studies. EPA/100/R-14/004","type":"article-journal"},"uris":["http://www.mendeley.com/documents/?uuid=d6e2d352-baab-436c-bfd6-be28d41d2f75"]}],"mendeley":{"formattedCitation":"(Flinders &lt;i&gt;et al.&lt;/i&gt;, 2025; US EPA, 2014)","plainTextFormattedCitation":"(Flinders et al., 2025; US EPA, 2014)","previouslyFormattedCitation":"(Flinders &lt;i&gt;et al.&lt;/i&gt;, 2025; US EPA, 2014)"},"properties":{"noteIndex":0},"schema":"https://github.com/citation-style-language/schema/raw/master/csl-citation.json"}</w:instrText>
      </w:r>
      <w:r w:rsidR="00D56510">
        <w:rPr>
          <w:rFonts w:ascii="Times New Roman" w:hAnsi="Times New Roman" w:cs="Times New Roman"/>
          <w:sz w:val="24"/>
          <w:szCs w:val="24"/>
        </w:rPr>
        <w:fldChar w:fldCharType="separate"/>
      </w:r>
      <w:r w:rsidR="00A33176" w:rsidRPr="00A33176">
        <w:rPr>
          <w:rFonts w:ascii="Times New Roman" w:hAnsi="Times New Roman" w:cs="Times New Roman"/>
          <w:noProof/>
          <w:sz w:val="24"/>
          <w:szCs w:val="24"/>
        </w:rPr>
        <w:t xml:space="preserve">(Flinders </w:t>
      </w:r>
      <w:r w:rsidR="00A33176" w:rsidRPr="00A33176">
        <w:rPr>
          <w:rFonts w:ascii="Times New Roman" w:hAnsi="Times New Roman" w:cs="Times New Roman"/>
          <w:i/>
          <w:noProof/>
          <w:sz w:val="24"/>
          <w:szCs w:val="24"/>
        </w:rPr>
        <w:t>et al.</w:t>
      </w:r>
      <w:r w:rsidR="00A33176" w:rsidRPr="00A33176">
        <w:rPr>
          <w:rFonts w:ascii="Times New Roman" w:hAnsi="Times New Roman" w:cs="Times New Roman"/>
          <w:noProof/>
          <w:sz w:val="24"/>
          <w:szCs w:val="24"/>
        </w:rPr>
        <w:t>, 2025; US EPA, 2014)</w:t>
      </w:r>
      <w:r w:rsidR="00D56510">
        <w:rPr>
          <w:rFonts w:ascii="Times New Roman" w:hAnsi="Times New Roman" w:cs="Times New Roman"/>
          <w:sz w:val="24"/>
          <w:szCs w:val="24"/>
        </w:rPr>
        <w:fldChar w:fldCharType="end"/>
      </w:r>
      <w:r w:rsidRPr="00131F81">
        <w:rPr>
          <w:rFonts w:ascii="Times New Roman" w:hAnsi="Times New Roman" w:cs="Times New Roman"/>
          <w:sz w:val="24"/>
          <w:szCs w:val="24"/>
        </w:rPr>
        <w:t xml:space="preserve">. </w:t>
      </w:r>
      <w:r w:rsidR="001D7050" w:rsidRPr="001D7050">
        <w:rPr>
          <w:rFonts w:ascii="Times New Roman" w:hAnsi="Times New Roman" w:cs="Times New Roman"/>
          <w:sz w:val="24"/>
          <w:szCs w:val="24"/>
        </w:rPr>
        <w:t>To surmount these barriers, we developed a novel meta-analytic–stochastic framework integrating multilevel meta-analysis (MMA) with Monte Carlo-based probabilistic risk assessment (MC-PRA). MMA estimates nationally representative residue levels by accounting for data hierarchies and dependencies, while MC-PRA provides realistic risk distributions by incorporating variabilities and uncertainties.</w:t>
      </w:r>
    </w:p>
    <w:p w14:paraId="762A90E8" w14:textId="6597261A" w:rsidR="006335C1" w:rsidRDefault="0019033F" w:rsidP="007A242B">
      <w:pPr>
        <w:spacing w:line="360" w:lineRule="auto"/>
        <w:jc w:val="both"/>
        <w:rPr>
          <w:rFonts w:ascii="Times New Roman" w:hAnsi="Times New Roman" w:cs="Times New Roman"/>
          <w:sz w:val="24"/>
          <w:szCs w:val="24"/>
        </w:rPr>
      </w:pPr>
      <w:r w:rsidRPr="0019033F">
        <w:rPr>
          <w:rFonts w:ascii="Times New Roman" w:hAnsi="Times New Roman" w:cs="Times New Roman"/>
          <w:sz w:val="24"/>
          <w:szCs w:val="24"/>
        </w:rPr>
        <w:t xml:space="preserve">We applied this framework to Ethiopia, a typical Global South country with a population of 120 million (the second most populous in Africa) and an agrarian-led economy. Ethiopia relies heavily on pesticides, ranking among the top consumers in Africa, and usage is expected to increase with </w:t>
      </w:r>
      <w:r>
        <w:rPr>
          <w:rFonts w:ascii="Times New Roman" w:hAnsi="Times New Roman" w:cs="Times New Roman"/>
          <w:sz w:val="24"/>
          <w:szCs w:val="24"/>
        </w:rPr>
        <w:t xml:space="preserve">ongoing </w:t>
      </w:r>
      <w:r w:rsidRPr="0019033F">
        <w:rPr>
          <w:rFonts w:ascii="Times New Roman" w:hAnsi="Times New Roman" w:cs="Times New Roman"/>
          <w:sz w:val="24"/>
          <w:szCs w:val="24"/>
        </w:rPr>
        <w:t>agricultural expansion</w:t>
      </w:r>
      <w:r>
        <w:rPr>
          <w:rFonts w:ascii="Times New Roman" w:hAnsi="Times New Roman" w:cs="Times New Roman"/>
          <w:sz w:val="24"/>
          <w:szCs w:val="24"/>
        </w:rPr>
        <w:t xml:space="preserve"> </w:t>
      </w:r>
      <w:r w:rsidR="00AE0CF4">
        <w:rPr>
          <w:rFonts w:ascii="Times New Roman" w:hAnsi="Times New Roman" w:cs="Times New Roman"/>
          <w:sz w:val="24"/>
          <w:szCs w:val="24"/>
        </w:rPr>
        <w:fldChar w:fldCharType="begin" w:fldLock="1"/>
      </w:r>
      <w:r w:rsidR="00D56510">
        <w:rPr>
          <w:rFonts w:ascii="Times New Roman" w:hAnsi="Times New Roman" w:cs="Times New Roman"/>
          <w:sz w:val="24"/>
          <w:szCs w:val="24"/>
        </w:rPr>
        <w:instrText>ADDIN CSL_CITATION {"citationItems":[{"id":"ITEM-1","itemData":{"DOI":"10.1007/s11367-019-01685-9","ISSN":"0948-3349","abstract":"Purpose: In tropical cropping systems, pesticides are extensively used to fight pests and ensure high crop yields. However, pesticide use also leads to environmental and health impacts. While pesticide emissions and impacts are influenced by farm management practices and environmental conditions, available Life Cycle Inventory (LCI) emission models and Life Cycle Impact Assessment (LCIA) toxicity characterization models are generally designed based on temperate conditions. There is, hence, a need for adapting LCI and LCIA models for evaluating pesticides under tropical conditions. To address this need, we aim to identify the characteristics that determine pesticide emissions and related impacts under tropical conditions, and to assess to what extent LCI and LCIA models need to be adapted to better account for these conditions. Methods: We investigated the state-of-knowledge with respect to characteristics that drive pesticide emission patterns, environmental fate, human and ecological exposures, and toxicological effects under tropical conditions. We then discuss the applicability of existing LCI and LCIA models to tropical regions as input for deriving specific recommendations for future modeling refinements. Results and discussion: Our results indicate that many pesticide-related environmental processes, such as degradation and volatilization, show higher kinetic rates under tropical conditions mainly due to higher temperatures, sunlight radiation, and microbial activity. Heavy and frequent rainfalls enhance leaching and runoff. Specific soil characteristics (e.g., low pH), crops, and cropping systems (e.g., mulching) are important drivers of distinct pesticide emission patterns under tropical conditions. Adapting LCI models to tropical conditions implies incorporating specific features of tropical cropping systems (e.g., intercropping, ground cover management), specific drift curves for tropical pesticide application techniques, and better addressing leaching processes. The validity domain of the discussed LCI and LCIA models could be systematically extended to tropical regions by considering tropical soil types, climate conditions, and crops, and adding active substances applied specifically under tropical conditions, including the consideration of late applications of pesticides before harvest and their effect on crop residues and subsequent human intake. Conclusions: Current LCI and LCIA models are not fully suitable for evaluating pesticide emiss…","author":[{"dropping-particle":"","family":"Gentil","given":"Céline","non-dropping-particle":"","parse-names":false,"suffix":""},{"dropping-particle":"","family":"Fantke","given":"Peter","non-dropping-particle":"","parse-names":false,"suffix":""},{"dropping-particle":"","family":"Mottes","given":"Charles","non-dropping-particle":"","parse-names":false,"suffix":""},{"dropping-particle":"","family":"Basset-Mens","given":"Claudine","non-dropping-particle":"","parse-names":false,"suffix":""}],"container-title":"The International Journal of Life Cycle Assessment","id":"ITEM-1","issue":"7","issued":{"date-parts":[["2020","7"]]},"page":"1290-1306","title":"Challenges and ways forward in pesticide emission and toxicity characterization modeling for tropical conditions","type":"article-journal","volume":"25"},"uris":["http://www.mendeley.com/documents/?uuid=946e39c0-e71e-4c18-9a54-12907f0a3358"]},{"id":"ITEM-2","itemData":{"DOI":"10.1016/j.scitotenv.2023.168727","ISSN":"18791026","PMID":"38007129","abstract":"In most developing countries, including Ethiopia, a conspicuous gap exists in understanding risk of pesticides and establishing robust regulatory frameworks for their effective management. In this context, we present a detailed assessment of pesticide risks within Ethiopian aquatic ecosystems in at least 18 distinct surface water bodies, including 46 unique sample locations. Measured environmental concentrations (MECs; n = 388) of current-use pesticides (n = 52), sourced from existing field studies, were compared against their respective regulatory threshold levels (RTLs). The results indicated a scarcity of pesticide exposure data across the majority of Ethiopian water bodies situated within agricultural watersheds. Importantly, surface water pesticide concentrations ranged from 0.0001 to 142.66 μg/L, with a median concentration of 0.415 μg/L. The available dataset revealed that 142 out of 356 MECs (approximately 40 %) of the identified pesticides entail significant acute risks to aquatic ecosystems, with the highest RTL exceedances up to a factor of 8695. Among the pesticide use groups, insecticides exhibited the highest exceedance rate, while this was rarer for fungicides and herbicides. Furthermore, a species-specific insecticide risk assessment indicated aquatic invertebrates (54.4 %) and fishes (38.4 %) are more exposed to pesticide risks, attributable to pyrethroids and organophosphates. In conclusion, our findings demonstrate that the presently registered pesticides in Ethiopia carry elevated risks towards aquatic environments under real-world settings. This challenges the notion that pesticides approved through Ethiopian pesticide regulatory risk assessment entail minimal environmental hazards. Consequently, we advocate for the adoption of more refined risk assessment strategies, a post-registration reevaluation process, and, if deemed necessary, the imposition of bans or restrictions on highly toxic pesticides.","author":[{"dropping-particle":"","family":"Asefa","given":"Elsai Mati","non-dropping-particle":"","parse-names":false,"suffix":""},{"dropping-particle":"","family":"Mergia","given":"Mekuria Theshome","non-dropping-particle":"","parse-names":false,"suffix":""},{"dropping-particle":"","family":"Ayele","given":"Shiferaw","non-dropping-particle":"","parse-names":false,"suffix":""},{"dropping-particle":"","family":"Damtew","given":"Yohannes Tefera","non-dropping-particle":"","parse-names":false,"suffix":""},{"dropping-particle":"","family":"Teklu","given":"Berhan Mellese","non-dropping-particle":"","parse-names":false,"suffix":""},{"dropping-particle":"","family":"Weldemariam","given":"Ermias Deribe","non-dropping-particle":"","parse-names":false,"suffix":""}],"container-title":"Science of the Total Environment","id":"ITEM-2","issued":{"date-parts":[["2024"]]},"page":"168727","title":"Pesticides in Ethiopian surface waters: A meta-analytic based ecological risk assessment","type":"article-journal","volume":"911"},"uris":["http://www.mendeley.com/documents/?uuid=68c8d155-3f03-4518-b420-0d18d1b42c45"]}],"mendeley":{"formattedCitation":"(Asefa, Mergia, &lt;i&gt;et al.&lt;/i&gt;, 2024; Gentil &lt;i&gt;et al.&lt;/i&gt;, 2020)","plainTextFormattedCitation":"(Asefa, Mergia, et al., 2024; Gentil et al., 2020)","previouslyFormattedCitation":"(Asefa, Mergia, &lt;i&gt;et al.&lt;/i&gt;, 2024; Gentil &lt;i&gt;et al.&lt;/i&gt;, 2020)"},"properties":{"noteIndex":0},"schema":"https://github.com/citation-style-language/schema/raw/master/csl-citation.json"}</w:instrText>
      </w:r>
      <w:r w:rsidR="00AE0CF4">
        <w:rPr>
          <w:rFonts w:ascii="Times New Roman" w:hAnsi="Times New Roman" w:cs="Times New Roman"/>
          <w:sz w:val="24"/>
          <w:szCs w:val="24"/>
        </w:rPr>
        <w:fldChar w:fldCharType="separate"/>
      </w:r>
      <w:r w:rsidR="00F06E67" w:rsidRPr="00F06E67">
        <w:rPr>
          <w:rFonts w:ascii="Times New Roman" w:hAnsi="Times New Roman" w:cs="Times New Roman"/>
          <w:noProof/>
          <w:sz w:val="24"/>
          <w:szCs w:val="24"/>
        </w:rPr>
        <w:t xml:space="preserve">(Asefa, Mergia,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2024; Gentil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2020)</w:t>
      </w:r>
      <w:r w:rsidR="00AE0CF4">
        <w:rPr>
          <w:rFonts w:ascii="Times New Roman" w:hAnsi="Times New Roman" w:cs="Times New Roman"/>
          <w:sz w:val="24"/>
          <w:szCs w:val="24"/>
        </w:rPr>
        <w:fldChar w:fldCharType="end"/>
      </w:r>
      <w:r w:rsidR="00914AD9">
        <w:rPr>
          <w:rFonts w:ascii="Times New Roman" w:hAnsi="Times New Roman" w:cs="Times New Roman"/>
          <w:sz w:val="24"/>
          <w:szCs w:val="24"/>
        </w:rPr>
        <w:t>.</w:t>
      </w:r>
      <w:r w:rsidR="00AE0CF4">
        <w:rPr>
          <w:rFonts w:ascii="Times New Roman" w:hAnsi="Times New Roman" w:cs="Times New Roman"/>
          <w:sz w:val="24"/>
          <w:szCs w:val="24"/>
        </w:rPr>
        <w:t xml:space="preserve"> </w:t>
      </w:r>
      <w:r w:rsidR="006D40B4" w:rsidRPr="006D40B4">
        <w:rPr>
          <w:rFonts w:ascii="Times New Roman" w:hAnsi="Times New Roman" w:cs="Times New Roman"/>
          <w:sz w:val="24"/>
          <w:szCs w:val="24"/>
        </w:rPr>
        <w:t>Yet, the country only enacted pesticide legislation in 2010 (Proclamation 674/2010), and existing regulatory risk assessments are confined to surface water exposure</w:t>
      </w:r>
      <w:r w:rsidR="00FB203D">
        <w:rPr>
          <w:rFonts w:ascii="Times New Roman" w:hAnsi="Times New Roman" w:cs="Times New Roman"/>
          <w:sz w:val="24"/>
          <w:szCs w:val="24"/>
        </w:rPr>
        <w:t xml:space="preserve"> </w:t>
      </w:r>
      <w:r w:rsidR="00FB203D">
        <w:rPr>
          <w:rFonts w:ascii="Times New Roman" w:hAnsi="Times New Roman" w:cs="Times New Roman"/>
          <w:sz w:val="24"/>
          <w:szCs w:val="24"/>
        </w:rPr>
        <w:fldChar w:fldCharType="begin" w:fldLock="1"/>
      </w:r>
      <w:r w:rsidR="00D56510">
        <w:rPr>
          <w:rFonts w:ascii="Times New Roman" w:hAnsi="Times New Roman" w:cs="Times New Roman"/>
          <w:sz w:val="24"/>
          <w:szCs w:val="24"/>
        </w:rPr>
        <w:instrText>ADDIN CSL_CITATION {"citationItems":[{"id":"ITEM-1","itemData":{"DOI":"10.1016/j.jhazmat.2024.135326","ISSN":"18733336","PMID":"39116746","abstract":"Despite the growing concerns about pesticide pollution, a comprehensive global understanding continues to be hampered by a lack of data from less developed countries. Ethiopia, being a typical agricultural country, is one of the top consumers of pesticides in sub-Saharan Africa. This study conducted a nationwide analysis to assess pesticide water pollution and human health risks in Ethiopia based on the available data. Additionally, the study evaluated the effectiveness of the Pesticide Risks in the Tropics for Man, Environment, and Trade (PRIMET) model, which is currently used for pesticide regulatory risk assessment in Ethiopia. The scoring approach was employed to map the site-specific pollution status based on clearly defined individual pesticide concentrations, excluding mixtures (n = 99). The pollution scores varied significantly among sites, with higher scores observed in the Rift Valley region. Acute and chronic health risks were identified for some commonly detected pesticides at their maximum concentrations. Epidemiological studies conducted in Ethiopia also demonstrated that pesticide exposure is associated with acute poisoning, respiratory health problems, neurobehavioral symptoms, and breast cancer. Furthermore, the study found that the existing regulatory framework likely underestimates pesticide risks in 35 % of the cases, raising concerns about the reliability of the PRIMET model in its current version. Overall, the results emphasize the need for increased attention to pesticide regulation and management in Ethiopia and other countries with similar scenarios, including regular monitoring, implementation of residue limits, post-application evaluations, and recalibration of the PRIMET model. This study provides valuable scientific information and insights into pesticide pollution and can serve as a baseline for ensuring agricultural and environmental sustainability.","author":[{"dropping-particle":"","family":"Asefa","given":"Elsai Mati","non-dropping-particle":"","parse-names":false,"suffix":""},{"dropping-particle":"","family":"Damtew","given":"Yohannes Tefera","non-dropping-particle":"","parse-names":false,"suffix":""},{"dropping-particle":"","family":"Ober","given":"Józef","non-dropping-particle":"","parse-names":false,"suffix":""}],"container-title":"Journal of Hazardous Materials","id":"ITEM-1","issued":{"date-parts":[["2024"]]},"title":"Pesticide water pollution, human health risks, and regulatory evaluation: A nationwide analysis in Ethiopia","type":"article-journal","volume":"478"},"uris":["http://www.mendeley.com/documents/?uuid=f7583fda-dc14-4ada-8dc4-f32b96d8b7a8"]},{"id":"ITEM-2","itemData":{"DOI":"10.1016/j.scitotenv.2014.11.049","ISSN":"18791026","PMID":"25481716","abstract":"Scenarios for future use in the pesticide registration procedure in Ethiopia were designed for 3 separate Ethiopian locations, which are aimed to be protective for the whole of Ethiopia. The scenarios estimate concentrations in surface water resulting from agricultural use of pesticides for a small stream and for two types of small ponds.Seven selected pesticides were selected since they were estimated to bear the highest risk to humans on the basis of volume of use, application rate and acute and chronic human toxicity, assuming exposure as a result of the consumption of surface water. Potential ecotoxicological risks were not considered as a selection criterion at this stage. Estimates of exposure concentrations in surface water were established using modelling software also applied in the EU registration procedure (PRZM and TOXSWA). Input variables included physico-chemical properties, and data such as crop calendars, irrigation schedules, meteorological information and detailed application data which were specifically tailored to the Ethiopian situation.The results indicate that for all the pesticides investigated the acute human risk resulting from the consumption of surface water is low to negligible, whereas agricultural use of chlorothalonil, deltamethrin, endosulfan and malathion in some crops may result in medium to high risk to aquatic species.The predicted environmental concentration estimates are based on procedures similar to procedures used at the EU level and in the USA. Addition of aquatic macrophytes as an ecotoxicological endpoint may constitute a welcome future addition to the risk assessment procedure. Implementation of the methods used for risk characterization constitutes a good step forward in the pesticide registration procedure in Ethiopia.","author":[{"dropping-particle":"","family":"Teklu","given":"Berhan M.","non-dropping-particle":"","parse-names":false,"suffix":""},{"dropping-particle":"","family":"Adriaanse","given":"Paulien I.","non-dropping-particle":"","parse-names":false,"suffix":""},{"dropping-particle":"","family":"Horst","given":"Mechteld M.S.","non-dropping-particle":"Ter","parse-names":false,"suffix":""},{"dropping-particle":"","family":"Deneer","given":"John W.","non-dropping-particle":"","parse-names":false,"suffix":""},{"dropping-particle":"","family":"Brink","given":"Paul J.","non-dropping-particle":"Van den","parse-names":false,"suffix":""}],"container-title":"Science of the Total Environment","id":"ITEM-2","issued":{"date-parts":[["2015","3"]]},"page":"566-574","title":"Surface water risk assessment of pesticides in Ethiopia","type":"article-journal","volume":"508"},"uris":["http://www.mendeley.com/documents/?uuid=63621c75-d662-3ce3-9ebf-28389254e797"]}],"mendeley":{"formattedCitation":"(Asefa, Damtew, &lt;i&gt;et al.&lt;/i&gt;, 2024; Teklu &lt;i&gt;et al.&lt;/i&gt;, 2015)","plainTextFormattedCitation":"(Asefa, Damtew, et al., 2024; Teklu et al., 2015)","previouslyFormattedCitation":"(Asefa, Damtew, &lt;i&gt;et al.&lt;/i&gt;, 2024; Teklu &lt;i&gt;et al.&lt;/i&gt;, 2015)"},"properties":{"noteIndex":0},"schema":"https://github.com/citation-style-language/schema/raw/master/csl-citation.json"}</w:instrText>
      </w:r>
      <w:r w:rsidR="00FB203D">
        <w:rPr>
          <w:rFonts w:ascii="Times New Roman" w:hAnsi="Times New Roman" w:cs="Times New Roman"/>
          <w:sz w:val="24"/>
          <w:szCs w:val="24"/>
        </w:rPr>
        <w:fldChar w:fldCharType="separate"/>
      </w:r>
      <w:r w:rsidR="00F06E67" w:rsidRPr="00F06E67">
        <w:rPr>
          <w:rFonts w:ascii="Times New Roman" w:hAnsi="Times New Roman" w:cs="Times New Roman"/>
          <w:noProof/>
          <w:sz w:val="24"/>
          <w:szCs w:val="24"/>
        </w:rPr>
        <w:t xml:space="preserve">(Asefa, Damtew,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2024; Teklu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2015)</w:t>
      </w:r>
      <w:r w:rsidR="00FB203D">
        <w:rPr>
          <w:rFonts w:ascii="Times New Roman" w:hAnsi="Times New Roman" w:cs="Times New Roman"/>
          <w:sz w:val="24"/>
          <w:szCs w:val="24"/>
        </w:rPr>
        <w:fldChar w:fldCharType="end"/>
      </w:r>
      <w:r w:rsidR="00311689">
        <w:rPr>
          <w:rFonts w:ascii="Times New Roman" w:hAnsi="Times New Roman" w:cs="Times New Roman"/>
          <w:sz w:val="24"/>
          <w:szCs w:val="24"/>
        </w:rPr>
        <w:t xml:space="preserve">. </w:t>
      </w:r>
      <w:r w:rsidR="006D40B4" w:rsidRPr="006D40B4">
        <w:rPr>
          <w:rFonts w:ascii="Times New Roman" w:hAnsi="Times New Roman" w:cs="Times New Roman"/>
          <w:sz w:val="24"/>
          <w:szCs w:val="24"/>
        </w:rPr>
        <w:t>Moreover, there is no systematic monitoring or management of residues in domestically consumed or exported foods, though emerging studies underscore significant concerns</w:t>
      </w:r>
      <w:r w:rsidR="006D40B4">
        <w:rPr>
          <w:rFonts w:ascii="Times New Roman" w:hAnsi="Times New Roman" w:cs="Times New Roman"/>
          <w:sz w:val="24"/>
          <w:szCs w:val="24"/>
        </w:rPr>
        <w:t xml:space="preserve"> </w:t>
      </w:r>
      <w:r w:rsidR="00F06E67">
        <w:rPr>
          <w:rFonts w:ascii="Times New Roman" w:hAnsi="Times New Roman" w:cs="Times New Roman"/>
          <w:sz w:val="24"/>
          <w:szCs w:val="24"/>
        </w:rPr>
        <w:fldChar w:fldCharType="begin" w:fldLock="1"/>
      </w:r>
      <w:r w:rsidR="00F06E67">
        <w:rPr>
          <w:rFonts w:ascii="Times New Roman" w:hAnsi="Times New Roman" w:cs="Times New Roman"/>
          <w:sz w:val="24"/>
          <w:szCs w:val="24"/>
        </w:rPr>
        <w:instrText>ADDIN CSL_CITATION {"citationItems":[{"id":"ITEM-1","itemData":{"DOI":"10.3389/fpubh.2025.1511012","ISSN":"22962565","PMID":"40241953","abstract":"Background: DDT (Dichlorodiphenyltrichloroethane) is a synthetic organochlorine pesticide used in agriculture and mosquito control but later banned due to its harmful effects on humans. It persists in the environment, biomagnified through the food chain, and poses serious health risks, including reproductive defect, cancer, and nervous system disorders. DDT has a long half-life and potential of long-range transport and continuing to contaminate long after use and remains to pose a global environmental and health concern. Therefore, this review was designed to assess the concentration of DDT metabolites (p,p'-DDT, p,p'-DDD, and p,p'-DDE) in various food items and evaluate the health risk to consumers in the African. Methods: The preferred reporting item for systematic reviews and meta-analysis (PRISMA) protocol was used to conduct this work. SCOPUS, PubMed, Web of Science, Google Scholar, DOAJ, national repository, and MedNar were used to retrieve articles from October 1, 2023, to January 20, 2024. Meta-analysis data visualized using a forest plot. A random-effects model was applied when heterogeneity existed in overall mean concentration of DDT metabolites. The subgroup analysis, meta-regression, and sensitivity analysis was conducted and the Joanna Briggs Institute Critical Assessment tool to assess the quality of the studies. Results: The overall mean concentrations of p,p'-DDT, p,p'-DDD and p,p'-DDE, regardless of the types of food items, were 0.188, 0.22, and 0.0878 mg/kg, respectively. Based on the type of food items, The current study found that residue levels of DDT metabolites in vegetables, milk, and cereals exceeded the Maximum Residue Limits (MRLs) set by FAO/WHO/EU (0.05, 0.02, and 0.05 mg/kg, respectively), while residue levels in meat, khat, and fruit were below the MRLs (5, 0.5, and 0.05 mg/kg, respectively). The findings of the health risk assessment revealed that consumers are prone to both carcinogenic and non-carcinogenic risks from DDT metabolites. The persistence and bioaccumulation of these metabolites, along with multiple exposure routes and improper handling, may increase long-term health risks, even at low doses. DDT metabolite levels in most food categories exceed recommended limits, posing significant health risks to consumers. To reduce reliance on DDT, effective and cost-efficient alternative insecticides and vector-control strategies must be developed. Promoting environmental management, improving housing, and implementing …","author":[{"dropping-particle":"","family":"Mengistu","given":"Dechasa Adare","non-dropping-particle":"","parse-names":false,"suffix":""},{"dropping-particle":"","family":"Geremew","given":"Abraham","non-dropping-particle":"","parse-names":false,"suffix":""},{"dropping-particle":"","family":"Tessema","given":"Roba Argaw","non-dropping-particle":"","parse-names":false,"suffix":""},{"dropping-particle":"","family":"Wolfing","given":"Tara","non-dropping-particle":"","parse-names":false,"suffix":""}],"container-title":"Frontiers in Public Health","id":"ITEM-1","issued":{"date-parts":[["2025"]]},"title":"Concentrations of DDT metabolites in different food items and public health risk in Africa regions: systematic review and metal analysis","type":"article-journal","volume":"13"},"uris":["http://www.mendeley.com/documents/?uuid=9a693b04-d0d9-45f4-9463-5191d6427943"]},{"id":"ITEM-2","itemData":{"DOI":"10.1016/j.scitotenv.2014.12.087","ISSN":"18791026","PMID":"25569581","abstract":"Infants in Ethiopia are consuming food items such as maize as a complementary diet. However, this may expose infants to toxic contaminants like DDT. Maize samples were collected from the households visited during a consumption survey and from markets in Jimma zone, southwestern Ethiopia. The residues of total DDT and its metabolites were analyzed using the Quick, Easy, Cheap, Effective, Rugged and Safe (QuEChERS) method combined with dispersive solid phase extraction cleanup (d-SPE). Deterministic and probabilistic methods of analysis were applied to determine the consumer exposure of infants to total DDT. The results from the exposure assessment were compared with the health based guidance value in this case the provisional tolerable daily intake (PTDI). All maize samples (n. =. 127) were contaminated by DDT, with a mean concentration of 1.770. mg/kg, which was far above the maximum residue limit (MRL). The mean and 97.5 percentile (P 97.5) estimated daily intake of total DDT for consumers were respectively 0.011 and 0.309. mg/kg. bw/day for deterministic and 0.011 and 0.083. mg/kg. bw/day for probabilistic exposure assessment. For total infant population (consumers and non-consumers), the 97.5 percentile estimated daily intake were 0.265 and 0.032. mg/kg. bw/day from the deterministic and probabilistic exposure assessments, respectively. Health risk estimation revealed that, the mean and 97.5 percentile for consumers, and 97.5 percentile estimated daily intake of total DDT for total population were above the PTDI. Therefore, in Ethiopia, the use of maize as complementary food for infants may pose a health risk due to DDT residue.","author":[{"dropping-particle":"","family":"Mekonen","given":"Seblework","non-dropping-particle":"","parse-names":false,"suffix":""},{"dropping-particle":"","family":"Lachat","given":"Carl","non-dropping-particle":"","parse-names":false,"suffix":""},{"dropping-particle":"","family":"Ambelu","given":"Argaw","non-dropping-particle":"","parse-names":false,"suffix":""},{"dropping-particle":"","family":"Steurbaut","given":"Walter","non-dropping-particle":"","parse-names":false,"suffix":""},{"dropping-particle":"","family":"Kolsteren","given":"Patrick","non-dropping-particle":"","parse-names":false,"suffix":""},{"dropping-particle":"","family":"Jacxsens","given":"Liesbeth","non-dropping-particle":"","parse-names":false,"suffix":""},{"dropping-particle":"","family":"Wondafrash","given":"Mekitie","non-dropping-particle":"","parse-names":false,"suffix":""},{"dropping-particle":"","family":"Houbraken","given":"Michael","non-dropping-particle":"","parse-names":false,"suffix":""},{"dropping-particle":"","family":"Spanoghe","given":"Pieter","non-dropping-particle":"","parse-names":false,"suffix":""}],"container-title":"Science of the Total Environment","id":"ITEM-2","issued":{"date-parts":[["2015"]]},"page":"454-460","title":"Risk of DDT residue in maize consumed by infants as complementary diet in southwest Ethiopia","type":"article-journal","volume":"511"},"uris":["http://www.mendeley.com/documents/?uuid=77921a82-c505-4460-80f3-77e305bc2455"]},{"id":"ITEM-3","itemData":{"DOI":"10.3389/fsufs.2023.1143753","ISSN":"2571581X","abstract":"Background: In Ethiopia, pesticides are widely used in vegetable production. However, if used incorrectly they may harm consumers of vegetables contaminated with pesticide residues, as well as producers handling the pesticides and lead to ecological damage. We performed a cross-sectional survey to assess pesticide residues in vegetables produced in central and eastern Ethiopia. Methods: A total of 232 vegetable samples (91 tomatoes, 106 cabbages and 35 Swiss chard) were collected from fields and retail markets, and were screened for 35 pesticides (16 organochlorine, 11 organophosphate, 3 pyrethroids, 2 carbamates and 3 other agrochemicals) using GC–MS analysis. Results: Pesticides residues were detected in 60% of Swiss chard, 47% of cabbage and 45% of tomato samples. Two or more pesticides were detected in 20% of cabbages, 13% of tomatoes and over half of Swiss chard samples. Bendiocarb, diazinon, endrin, piperonyl butoxide, profenofos and propargite were detected, but only diazinon, propargite and profenofos had residual values above EU Maximum Residue Level (MRL), with diazinon commonly detected at relatively high levels. About 15% of the total analyzed samples, 10% of cabbages and tomatoes, and nearly half of Swiss chard samples had pesticide concentration exceeding EU MRL. However, none of the tested samples had residues exceeding Codex Alimentarius Commission (Codex) MRLs. Conclusion: This study showed widespread contamination of vegetables with pesticides, mainly organophosphates. We recommend monitoring and regulation of pesticides usage, with promotion of good agricultural practices.","author":[{"dropping-particle":"","family":"Dinede","given":"Getachew","non-dropping-particle":"","parse-names":false,"suffix":""},{"dropping-particle":"","family":"Bihon","given":"Wubetu","non-dropping-particle":"","parse-names":false,"suffix":""},{"dropping-particle":"","family":"Gazu","given":"Lina","non-dropping-particle":"","parse-names":false,"suffix":""},{"dropping-particle":"","family":"Foukmeniok Mbokou","given":"Serge","non-dropping-particle":"","parse-names":false,"suffix":""},{"dropping-particle":"","family":"Girma","given":"Sisay","non-dropping-particle":"","parse-names":false,"suffix":""},{"dropping-particle":"","family":"Srinivasan","given":"Ramasamy","non-dropping-particle":"","parse-names":false,"suffix":""},{"dropping-particle":"","family":"Roothaert","given":"Ralph","non-dropping-particle":"","parse-names":false,"suffix":""},{"dropping-particle":"","family":"Grace","given":"Delia","non-dropping-particle":"","parse-names":false,"suffix":""},{"dropping-particle":"","family":"Gashaw","given":"Habtamu","non-dropping-particle":"","parse-names":false,"suffix":""},{"dropping-particle":"","family":"Knight-Jones","given":"Theodore J.D.","non-dropping-particle":"","parse-names":false,"suffix":""}],"container-title":"Frontiers in Sustainable Food Systems","id":"ITEM-3","issued":{"date-parts":[["2023"]]},"title":"Assessment of pesticide residues in vegetables produced in central and eastern Ethiopia","type":"article-journal","volume":"7"},"uris":["http://www.mendeley.com/documents/?uuid=a7b96839-1f89-47fa-8693-3b58a6253db6"]},{"id":"ITEM-4","itemData":{"DOI":"10.1007/s00128-011-0207-1","ISSN":"00074861","PMID":"21298250","abstract":"The present study investigated the presence and level of pesticide residues in wheat and khat samples collected from various localities of Ethiopia. The khat samples from Galemso and Aseno had p,p′-DDT concentrations ranged from 141.2 to 973.0 μg/Kg and 194.3-999.0 μg/Kg, respectively. Diazinon was detected in all the khat samples from BadaBuna (173.9-686.9 μg/Kg) but not in any of the samples from Galemso and Aseno. Diazinon was detected in all the wheat samples obtained from both Arsi and Bale (125.8 and 125.6 μg/Kg, respectively) and aldrin levels in these samples were below the quantification limit. Khat may be a contributing factor in the pathological diseases found among khat users. © 2011 Springer Science+Business Media, LLC.","author":[{"dropping-particle":"","family":"Daba","given":"Daniel","non-dropping-particle":"","parse-names":false,"suffix":""},{"dropping-particle":"","family":"Hymete","given":"Ariaya","non-dropping-particle":"","parse-names":false,"suffix":""},{"dropping-particle":"","family":"Bekhit","given":"Adnan A.","non-dropping-particle":"","parse-names":false,"suffix":""},{"dropping-particle":"","family":"Mohamed","given":"Abdel Maaboud I.","non-dropping-particle":"","parse-names":false,"suffix":""},{"dropping-particle":"","family":"Bekhit","given":"Alaa El Din A.","non-dropping-particle":"","parse-names":false,"suffix":""}],"container-title":"Bulletin of Environmental Contamination and Toxicology","id":"ITEM-4","issue":"3","issued":{"date-parts":[["2011"]]},"page":"336-341","title":"Multi residue analysis of pesticides in wheat and khat collected from different regions of Ethiopia","type":"article-journal","volume":"86"},"uris":["http://www.mendeley.com/documents/?uuid=ecd6a4a4-4a79-4e7f-bc16-11e0689f41f3"]}],"mendeley":{"formattedCitation":"(Daba &lt;i&gt;et al.&lt;/i&gt;, 2011; Dinede &lt;i&gt;et al.&lt;/i&gt;, 2023; Mekonen &lt;i&gt;et al.&lt;/i&gt;, 2015; Mengistu &lt;i&gt;et al.&lt;/i&gt;, 2025)","plainTextFormattedCitation":"(Daba et al., 2011; Dinede et al., 2023; Mekonen et al., 2015; Mengistu et al., 2025)","previouslyFormattedCitation":"(Daba &lt;i&gt;et al.&lt;/i&gt;, 2011; Dinede &lt;i&gt;et al.&lt;/i&gt;, 2023; Mekonen &lt;i&gt;et al.&lt;/i&gt;, 2015; Mengistu &lt;i&gt;et al.&lt;/i&gt;, 2025)"},"properties":{"noteIndex":0},"schema":"https://github.com/citation-style-language/schema/raw/master/csl-citation.json"}</w:instrText>
      </w:r>
      <w:r w:rsidR="00F06E67">
        <w:rPr>
          <w:rFonts w:ascii="Times New Roman" w:hAnsi="Times New Roman" w:cs="Times New Roman"/>
          <w:sz w:val="24"/>
          <w:szCs w:val="24"/>
        </w:rPr>
        <w:fldChar w:fldCharType="separate"/>
      </w:r>
      <w:r w:rsidR="00F06E67" w:rsidRPr="00F06E67">
        <w:rPr>
          <w:rFonts w:ascii="Times New Roman" w:hAnsi="Times New Roman" w:cs="Times New Roman"/>
          <w:noProof/>
          <w:sz w:val="24"/>
          <w:szCs w:val="24"/>
        </w:rPr>
        <w:t xml:space="preserve">(Daba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2011; Dinede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2023; Mekonen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2015; Mengistu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2025)</w:t>
      </w:r>
      <w:r w:rsidR="00F06E67">
        <w:rPr>
          <w:rFonts w:ascii="Times New Roman" w:hAnsi="Times New Roman" w:cs="Times New Roman"/>
          <w:sz w:val="24"/>
          <w:szCs w:val="24"/>
        </w:rPr>
        <w:fldChar w:fldCharType="end"/>
      </w:r>
      <w:r w:rsidR="006335C1">
        <w:rPr>
          <w:rFonts w:ascii="Times New Roman" w:hAnsi="Times New Roman" w:cs="Times New Roman"/>
          <w:sz w:val="24"/>
          <w:szCs w:val="24"/>
        </w:rPr>
        <w:t>.</w:t>
      </w:r>
    </w:p>
    <w:p w14:paraId="47D895F9" w14:textId="7174B62C" w:rsidR="009B7C53" w:rsidRDefault="004C2434" w:rsidP="009B7C53">
      <w:pPr>
        <w:spacing w:line="360" w:lineRule="auto"/>
        <w:jc w:val="both"/>
        <w:rPr>
          <w:rFonts w:ascii="Times New Roman" w:hAnsi="Times New Roman" w:cs="Times New Roman"/>
          <w:sz w:val="24"/>
          <w:szCs w:val="24"/>
        </w:rPr>
      </w:pPr>
      <w:r w:rsidRPr="004C2434">
        <w:rPr>
          <w:rFonts w:ascii="Times New Roman" w:hAnsi="Times New Roman" w:cs="Times New Roman"/>
          <w:sz w:val="24"/>
          <w:szCs w:val="24"/>
        </w:rPr>
        <w:lastRenderedPageBreak/>
        <w:t xml:space="preserve">In this context, we compiled pesticide residue data from 40 studies encompassing 18,298 samples, 87 pesticides, and 18 food groups, and tested three main hypotheses: (i) residues are elevated and vary by pesticide use and food type; (ii) predictors include food origin, location, and method; and (iii) population risks range from low to moderate. This is the first study of its kind to provide a </w:t>
      </w:r>
      <w:r>
        <w:rPr>
          <w:rFonts w:ascii="Times New Roman" w:hAnsi="Times New Roman" w:cs="Times New Roman"/>
          <w:sz w:val="24"/>
          <w:szCs w:val="24"/>
        </w:rPr>
        <w:t>comprehensive</w:t>
      </w:r>
      <w:r w:rsidR="00833C4E">
        <w:rPr>
          <w:rFonts w:ascii="Times New Roman" w:hAnsi="Times New Roman" w:cs="Times New Roman"/>
          <w:sz w:val="24"/>
          <w:szCs w:val="24"/>
        </w:rPr>
        <w:t xml:space="preserve"> </w:t>
      </w:r>
      <w:r w:rsidRPr="004C2434">
        <w:rPr>
          <w:rFonts w:ascii="Times New Roman" w:hAnsi="Times New Roman" w:cs="Times New Roman"/>
          <w:sz w:val="24"/>
          <w:szCs w:val="24"/>
        </w:rPr>
        <w:t>national-scale estimate of dietary pesticide exposure in Africa. Beyond its immediate findings, the study offers a replicable, data-driven framework for dietary pesticide risk assessment that is adaptable to other Global South contexts. By addressing systemic data gaps, this work supports evidence-based policymaking and contributes to more equitable and effective global food safety governance.</w:t>
      </w:r>
    </w:p>
    <w:p w14:paraId="5EFACFA0" w14:textId="206DB327" w:rsidR="00E2081A" w:rsidRPr="002042E6" w:rsidRDefault="00E2081A" w:rsidP="006F1B36">
      <w:pPr>
        <w:pStyle w:val="Heading1"/>
        <w:numPr>
          <w:ilvl w:val="0"/>
          <w:numId w:val="11"/>
        </w:numPr>
        <w:jc w:val="both"/>
        <w:rPr>
          <w:rFonts w:cs="Times New Roman"/>
          <w:szCs w:val="24"/>
          <w:lang w:val="en-US"/>
        </w:rPr>
      </w:pPr>
      <w:r w:rsidRPr="002042E6">
        <w:rPr>
          <w:rFonts w:cs="Times New Roman"/>
          <w:szCs w:val="24"/>
          <w:lang w:val="en-US"/>
        </w:rPr>
        <w:t>Methods</w:t>
      </w:r>
    </w:p>
    <w:p w14:paraId="72691201" w14:textId="17F2DDEC" w:rsidR="00414D08" w:rsidRPr="002042E6" w:rsidRDefault="00BB7DD4" w:rsidP="006F1B36">
      <w:pPr>
        <w:pStyle w:val="Heading2"/>
        <w:numPr>
          <w:ilvl w:val="1"/>
          <w:numId w:val="11"/>
        </w:numPr>
      </w:pPr>
      <w:r w:rsidRPr="002042E6">
        <w:t>Methodological Overview</w:t>
      </w:r>
    </w:p>
    <w:p w14:paraId="0734DAEA" w14:textId="1F4D5E9A" w:rsidR="00B77A9A" w:rsidRPr="002042E6" w:rsidRDefault="008C4A8E" w:rsidP="009967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w:t>
      </w:r>
      <w:r w:rsidR="00342E67" w:rsidRPr="002042E6">
        <w:rPr>
          <w:rFonts w:ascii="Times New Roman" w:hAnsi="Times New Roman" w:cs="Times New Roman"/>
          <w:sz w:val="24"/>
          <w:szCs w:val="24"/>
        </w:rPr>
        <w:t xml:space="preserve">comprehensive, multi-method framework </w:t>
      </w:r>
      <w:r w:rsidR="007E7175" w:rsidRPr="002042E6">
        <w:rPr>
          <w:rFonts w:ascii="Times New Roman" w:hAnsi="Times New Roman" w:cs="Times New Roman"/>
          <w:sz w:val="24"/>
          <w:szCs w:val="24"/>
        </w:rPr>
        <w:t>comprised five key steps</w:t>
      </w:r>
      <w:r w:rsidR="0099676E" w:rsidRPr="002042E6">
        <w:rPr>
          <w:rFonts w:ascii="Times New Roman" w:hAnsi="Times New Roman" w:cs="Times New Roman"/>
          <w:sz w:val="24"/>
          <w:szCs w:val="24"/>
        </w:rPr>
        <w:t>: (1) systematic literature search, (2) data compilation and processing, (</w:t>
      </w:r>
      <w:r w:rsidR="00AC50B7" w:rsidRPr="002042E6">
        <w:rPr>
          <w:rFonts w:ascii="Times New Roman" w:hAnsi="Times New Roman" w:cs="Times New Roman"/>
          <w:sz w:val="24"/>
          <w:szCs w:val="24"/>
        </w:rPr>
        <w:t>3</w:t>
      </w:r>
      <w:r w:rsidR="0099676E" w:rsidRPr="002042E6">
        <w:rPr>
          <w:rFonts w:ascii="Times New Roman" w:hAnsi="Times New Roman" w:cs="Times New Roman"/>
          <w:sz w:val="24"/>
          <w:szCs w:val="24"/>
        </w:rPr>
        <w:t xml:space="preserve">) imputation and censoring treatment, </w:t>
      </w:r>
      <w:r w:rsidR="00AC50B7" w:rsidRPr="002042E6">
        <w:rPr>
          <w:rFonts w:ascii="Times New Roman" w:hAnsi="Times New Roman" w:cs="Times New Roman"/>
          <w:sz w:val="24"/>
          <w:szCs w:val="24"/>
        </w:rPr>
        <w:t xml:space="preserve">(4) multilevel meta-analysis, </w:t>
      </w:r>
      <w:r w:rsidR="0099676E" w:rsidRPr="002042E6">
        <w:rPr>
          <w:rFonts w:ascii="Times New Roman" w:hAnsi="Times New Roman" w:cs="Times New Roman"/>
          <w:sz w:val="24"/>
          <w:szCs w:val="24"/>
        </w:rPr>
        <w:t>and (5) exposure and risk characterization.</w:t>
      </w:r>
      <w:r w:rsidR="00FA67D3">
        <w:rPr>
          <w:rFonts w:ascii="Times New Roman" w:hAnsi="Times New Roman" w:cs="Times New Roman"/>
          <w:sz w:val="24"/>
          <w:szCs w:val="24"/>
        </w:rPr>
        <w:t xml:space="preserve"> </w:t>
      </w:r>
      <w:r w:rsidR="00AC50B7" w:rsidRPr="002042E6">
        <w:rPr>
          <w:rFonts w:ascii="Times New Roman" w:hAnsi="Times New Roman" w:cs="Times New Roman"/>
          <w:sz w:val="24"/>
          <w:szCs w:val="24"/>
        </w:rPr>
        <w:t>From an extensive search of international and local databases, we included 40 studies reporting 2,271 unique residue measurements, and summarized our dataset characteristics. To address the high proportion of left-censored and missing data, we applied a combination of statistical techniques, ranging from simple substitution to multiple imputation.</w:t>
      </w:r>
      <w:r w:rsidR="00B77A9A" w:rsidRPr="002042E6">
        <w:rPr>
          <w:rFonts w:ascii="Times New Roman" w:hAnsi="Times New Roman" w:cs="Times New Roman"/>
          <w:sz w:val="24"/>
          <w:szCs w:val="24"/>
        </w:rPr>
        <w:t xml:space="preserve"> MMA models with robust variance estimation (RVE) were employed to account for sampling dependencies and minimize small-study bias. Uni-moderator models were used to explore sources of heterogeneity, and stratified random-effects models (n = 251) were fitted to estimate pooled residue levels for pesticide-food pairs. Chronic dietary risks were computed using Monte Carlo simulations with Latin hypercube sampling (n = 10,000), incorporating distributions of pesticide residues, national food consumption data, adult body weight, and toxicological reference values.</w:t>
      </w:r>
    </w:p>
    <w:p w14:paraId="678106D1" w14:textId="738047D7" w:rsidR="00BD3C2F" w:rsidRPr="002042E6" w:rsidRDefault="006856FC" w:rsidP="00511427">
      <w:pPr>
        <w:pStyle w:val="Heading2"/>
        <w:numPr>
          <w:ilvl w:val="1"/>
          <w:numId w:val="11"/>
        </w:numPr>
      </w:pPr>
      <w:r w:rsidRPr="002042E6">
        <w:t>Data</w:t>
      </w:r>
      <w:r w:rsidR="0049673C" w:rsidRPr="002042E6">
        <w:t xml:space="preserve"> </w:t>
      </w:r>
      <w:r w:rsidRPr="002042E6">
        <w:t>Compilation</w:t>
      </w:r>
      <w:r w:rsidR="0049673C" w:rsidRPr="002042E6">
        <w:t xml:space="preserve"> and Preprocessing</w:t>
      </w:r>
    </w:p>
    <w:p w14:paraId="491EB860" w14:textId="00AC6404" w:rsidR="00E57551" w:rsidRPr="002042E6" w:rsidRDefault="00E57551" w:rsidP="00E5755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A systematic search was conducted across 13 international and local databases, including gray literature sources, to identify studies reporting pesticide levels in various matrices (e.g., air, water, food) in Ethiopia, with the goal was to support a national-scale, multi-pathway, multi-pesticide exposure and cumulative risk assessment. For the purpose of this study, we included 40 eligible </w:t>
      </w:r>
      <w:r w:rsidRPr="002042E6">
        <w:rPr>
          <w:rFonts w:ascii="Times New Roman" w:hAnsi="Times New Roman" w:cs="Times New Roman"/>
          <w:sz w:val="24"/>
          <w:szCs w:val="24"/>
        </w:rPr>
        <w:lastRenderedPageBreak/>
        <w:t xml:space="preserve">studies that reported non-duplicate, quantitative data on pesticide residues in food from the compiled comprehensive articles database (see SI Section 1 for details). Briefly, searches were conducted across Web of Science, Scopus, PubMed, Google Scholar, Semantic Scholar, OpenAlex, OAIster, and six Ethiopian university repositories. Our search strategy used combinations of terms related to pesticides, exposure and Ethiopia, which was validated against a pre-defined benchmark set of 35 studies </w:t>
      </w:r>
      <w:r w:rsidRPr="002042E6">
        <w:rPr>
          <w:rFonts w:ascii="Times New Roman" w:hAnsi="Times New Roman" w:cs="Times New Roman"/>
          <w:sz w:val="24"/>
          <w:szCs w:val="24"/>
        </w:rPr>
        <w:fldChar w:fldCharType="begin" w:fldLock="1"/>
      </w:r>
      <w:r w:rsidRPr="002042E6">
        <w:rPr>
          <w:rFonts w:ascii="Times New Roman" w:hAnsi="Times New Roman" w:cs="Times New Roman"/>
          <w:sz w:val="24"/>
          <w:szCs w:val="24"/>
        </w:rPr>
        <w:instrText>ADDIN CSL_CITATION {"citationItems":[{"id":"ITEM-1","itemData":{"DOI":"10.1017/rsm.2024.6","ISSN":"1759-2879","abstract":"Systematic searches of published literature are a vital component of systematic reviews. When search strings are not “sensitive,” they may miss many relevant studies limiting, or even biasing, the range of evidence available for synthesis. Concerningly, conducting and reporting evaluations (validations) of the sensitivity of the used search strings is rare, according to our survey of published systematic reviews and protocols. Potential reasons may involve a lack of familiarity or inaccessibility of complex sensitivity evaluation approaches. We first clarify the main concepts and principles of search string evaluation. We then present a simple procedure for estimating a relative recall of a search string. It is based on a pre-defined set of “benchmark” publications. The relative recall, that is, the sensitivity of the search string, is the retrieval overlap between the evaluated search string and a search string that captures only the benchmark publications. If there is little overlap (i.e., low recall or sensitivity), the evaluated search string should be improved to ensure that most of the relevant literature can be captured. The presented benchmarking approach can be applied to one or more online databases or search platforms. It is illustrated by five accessible, hands-on tutorials for commonly used online literature sources. Overall, our work provides an assessment of the current state of search string evaluations in published systematic reviews and protocols. It also paves the way to improve evaluation and reporting practices to make evidence synthesis more transparent and robust.","author":[{"dropping-particle":"","family":"Lagisz","given":"Malgorzata","non-dropping-particle":"","parse-names":false,"suffix":""},{"dropping-particle":"","family":"Yang","given":"Yefeng","non-dropping-particle":"","parse-names":false,"suffix":""},{"dropping-particle":"","family":"Young","given":"Sarah","non-dropping-particle":"","parse-names":false,"suffix":""},{"dropping-particle":"","family":"Nakagawa","given":"Shinichi","non-dropping-particle":"","parse-names":false,"suffix":""}],"container-title":"Research Synthesis Methods","id":"ITEM-1","issue":"1","issued":{"date-parts":[["2025","1","7"]]},"page":"1-14","title":"A practical guide to evaluating sensitivity of literature search strings for systematic reviews using relative recall","type":"article-journal","volume":"16"},"uris":["http://www.mendeley.com/documents/?uuid=f570601f-569d-4f65-9265-7b83621c7dcf"]}],"mendeley":{"formattedCitation":"(Lagisz &lt;i&gt;et al.&lt;/i&gt;, 2025)","plainTextFormattedCitation":"(Lagisz et al., 2025)","previouslyFormattedCitation":"(Lagisz &lt;i&gt;et al.&lt;/i&gt;, 2025)"},"properties":{"noteIndex":0},"schema":"https://github.com/citation-style-language/schema/raw/master/csl-citation.json"}</w:instrText>
      </w:r>
      <w:r w:rsidRPr="002042E6">
        <w:rPr>
          <w:rFonts w:ascii="Times New Roman" w:hAnsi="Times New Roman" w:cs="Times New Roman"/>
          <w:sz w:val="24"/>
          <w:szCs w:val="24"/>
        </w:rPr>
        <w:fldChar w:fldCharType="separate"/>
      </w:r>
      <w:r w:rsidRPr="002042E6">
        <w:rPr>
          <w:rFonts w:ascii="Times New Roman" w:hAnsi="Times New Roman" w:cs="Times New Roman"/>
          <w:noProof/>
          <w:sz w:val="24"/>
          <w:szCs w:val="24"/>
        </w:rPr>
        <w:t xml:space="preserve">(Lagisz </w:t>
      </w:r>
      <w:r w:rsidRPr="002042E6">
        <w:rPr>
          <w:rFonts w:ascii="Times New Roman" w:hAnsi="Times New Roman" w:cs="Times New Roman"/>
          <w:i/>
          <w:noProof/>
          <w:sz w:val="24"/>
          <w:szCs w:val="24"/>
        </w:rPr>
        <w:t>et al.</w:t>
      </w:r>
      <w:r w:rsidRPr="002042E6">
        <w:rPr>
          <w:rFonts w:ascii="Times New Roman" w:hAnsi="Times New Roman" w:cs="Times New Roman"/>
          <w:noProof/>
          <w:sz w:val="24"/>
          <w:szCs w:val="24"/>
        </w:rPr>
        <w:t>, 2025)</w:t>
      </w:r>
      <w:r w:rsidRPr="002042E6">
        <w:rPr>
          <w:rFonts w:ascii="Times New Roman" w:hAnsi="Times New Roman" w:cs="Times New Roman"/>
          <w:sz w:val="24"/>
          <w:szCs w:val="24"/>
        </w:rPr>
        <w:fldChar w:fldCharType="end"/>
      </w:r>
      <w:r w:rsidRPr="002042E6">
        <w:rPr>
          <w:rFonts w:ascii="Times New Roman" w:hAnsi="Times New Roman" w:cs="Times New Roman"/>
          <w:sz w:val="24"/>
          <w:szCs w:val="24"/>
        </w:rPr>
        <w:t xml:space="preserve">. All retrieved records were deduplicated using the </w:t>
      </w:r>
      <w:r w:rsidRPr="002042E6">
        <w:rPr>
          <w:rFonts w:ascii="Times New Roman" w:hAnsi="Times New Roman" w:cs="Times New Roman"/>
          <w:i/>
          <w:iCs/>
          <w:sz w:val="24"/>
          <w:szCs w:val="24"/>
        </w:rPr>
        <w:t>synthesisr</w:t>
      </w:r>
      <w:r w:rsidRPr="002042E6">
        <w:rPr>
          <w:rFonts w:ascii="Times New Roman" w:hAnsi="Times New Roman" w:cs="Times New Roman"/>
          <w:sz w:val="24"/>
          <w:szCs w:val="24"/>
        </w:rPr>
        <w:t xml:space="preserve"> R package </w:t>
      </w:r>
      <w:r w:rsidRPr="002042E6">
        <w:rPr>
          <w:rFonts w:ascii="Times New Roman" w:hAnsi="Times New Roman" w:cs="Times New Roman"/>
          <w:sz w:val="24"/>
          <w:szCs w:val="24"/>
        </w:rPr>
        <w:fldChar w:fldCharType="begin" w:fldLock="1"/>
      </w:r>
      <w:r w:rsidRPr="002042E6">
        <w:rPr>
          <w:rFonts w:ascii="Times New Roman" w:hAnsi="Times New Roman" w:cs="Times New Roman"/>
          <w:sz w:val="24"/>
          <w:szCs w:val="24"/>
        </w:rPr>
        <w:instrText>ADDIN CSL_CITATION {"citationItems":[{"id":"ITEM-1","itemData":{"abstract":"A critical first step in systematic literature reviews and mining of academic texts is to identify relevant texts from a range of sources, particularly databases such as 'Web of Science' or 'Scopus'. These databases often export in different formats or with different metadata tags. 'synthesisr' expands on the tools outlined by Westgate (2019) &lt;doi:10.1002/jrsm.1374&gt; to import bibliographic data from a range of formats (such as 'bibtex', 'ris', or 'ciw') in a standard way, and allows merging and deduplication of the resulting dataset.","author":[{"dropping-particle":"","family":"Westgate","given":"Martin","non-dropping-particle":"","parse-names":false,"suffix":""},{"dropping-particle":"","family":"Grames","given":"Eliza","non-dropping-particle":"","parse-names":false,"suffix":""}],"container-title":"R Project","id":"ITEM-1","issued":{"date-parts":[["2020"]]},"title":"Package 'synthesisr'","type":"article-journal"},"uris":["http://www.mendeley.com/documents/?uuid=27a268fe-dbff-4c22-85ac-19e67fc95410"]}],"mendeley":{"formattedCitation":"(Westgate and Grames, 2020)","plainTextFormattedCitation":"(Westgate and Grames, 2020)","previouslyFormattedCitation":"(Westgate and Grames, 2020)"},"properties":{"noteIndex":0},"schema":"https://github.com/citation-style-language/schema/raw/master/csl-citation.json"}</w:instrText>
      </w:r>
      <w:r w:rsidRPr="002042E6">
        <w:rPr>
          <w:rFonts w:ascii="Times New Roman" w:hAnsi="Times New Roman" w:cs="Times New Roman"/>
          <w:sz w:val="24"/>
          <w:szCs w:val="24"/>
        </w:rPr>
        <w:fldChar w:fldCharType="separate"/>
      </w:r>
      <w:r w:rsidRPr="002042E6">
        <w:rPr>
          <w:rFonts w:ascii="Times New Roman" w:hAnsi="Times New Roman" w:cs="Times New Roman"/>
          <w:noProof/>
          <w:sz w:val="24"/>
          <w:szCs w:val="24"/>
        </w:rPr>
        <w:t>(Westgate and Grames, 2020)</w:t>
      </w:r>
      <w:r w:rsidRPr="002042E6">
        <w:rPr>
          <w:rFonts w:ascii="Times New Roman" w:hAnsi="Times New Roman" w:cs="Times New Roman"/>
          <w:sz w:val="24"/>
          <w:szCs w:val="24"/>
        </w:rPr>
        <w:fldChar w:fldCharType="end"/>
      </w:r>
      <w:r w:rsidRPr="002042E6">
        <w:rPr>
          <w:rFonts w:ascii="Times New Roman" w:hAnsi="Times New Roman" w:cs="Times New Roman"/>
          <w:sz w:val="24"/>
          <w:szCs w:val="24"/>
        </w:rPr>
        <w:t xml:space="preserve"> and screened using Rayyan (</w:t>
      </w:r>
      <w:hyperlink r:id="rId8" w:history="1">
        <w:r w:rsidRPr="002042E6">
          <w:rPr>
            <w:rStyle w:val="Hyperlink"/>
            <w:rFonts w:ascii="Times New Roman" w:hAnsi="Times New Roman" w:cs="Times New Roman"/>
            <w:sz w:val="24"/>
            <w:szCs w:val="24"/>
          </w:rPr>
          <w:t>https://rayyan.ai/</w:t>
        </w:r>
      </w:hyperlink>
      <w:r w:rsidRPr="002042E6">
        <w:rPr>
          <w:rFonts w:ascii="Times New Roman" w:hAnsi="Times New Roman" w:cs="Times New Roman"/>
          <w:sz w:val="24"/>
          <w:szCs w:val="24"/>
        </w:rPr>
        <w:t>). Finally, records were tagged by matrix type (e.g., air, water, food), and only those reporting food pesticide residues were included here.</w:t>
      </w:r>
    </w:p>
    <w:p w14:paraId="612783B5" w14:textId="0B209109" w:rsidR="00E57551" w:rsidRPr="002042E6" w:rsidRDefault="00E57551" w:rsidP="00E5755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Metadata, including sampling region, food type, analytical method, and detection limits, were extracted alongside statistical residue summaries (e.g., means, standard deviations, medians). The final dataset consisted of 2,271 effect sizes across 87 pesticides, 18 food types (including drinking water), 8 regions, and 15 zones, totaling 18,298 samples (SI Section 2). The dataset characteristics were explored and summarized using the meta-analysis enrichment workflow outlined by </w:t>
      </w:r>
      <w:r w:rsidRPr="002042E6">
        <w:rPr>
          <w:rFonts w:ascii="Times New Roman" w:hAnsi="Times New Roman" w:cs="Times New Roman"/>
          <w:sz w:val="24"/>
          <w:szCs w:val="24"/>
        </w:rPr>
        <w:fldChar w:fldCharType="begin" w:fldLock="1"/>
      </w:r>
      <w:r w:rsidR="00812657" w:rsidRPr="002042E6">
        <w:rPr>
          <w:rFonts w:ascii="Times New Roman" w:hAnsi="Times New Roman" w:cs="Times New Roman"/>
          <w:sz w:val="24"/>
          <w:szCs w:val="24"/>
        </w:rPr>
        <w:instrText>ADDIN CSL_CITATION {"citationItems":[{"id":"ITEM-1","itemData":{"DOI":"10.1017/rsm.2024.3","ISSN":"1759-2879","abstract":"Data visualization is crucial for effectively communicating knowledge in meta-analysis. However, existing visualization methods in meta-analysis have predominantly focused on quantitative aspects, such as forest plots and funnel plots, thereby neglecting qualitative information that is equally important for end-users in science, policy, and practice. We introduce a framework consisting of a series of visualization toolkits designed to enrich meta-analyses by borrowing approaches from other research synthesis methods, including systematic evidence mapping (scoping reviews), bibliometrics (bibliometric analysis), and alternative impact metric analysis. These “enrichment” toolkits aim to facilitate the synthesis of both quantitative and qualitative evidence, along with the assessment of the academic and nonacademic influences of the meta-analytic evidence base. While the meta-analysis yields quantitative insights, the enrichment analyses, and visualizations provide user-friendly summaries of qualitative information on the evidence base. For example, a systematic evidence map can visualize study characteristics, unraveling knowledge gaps and methodological differences. Bibliometric analysis offers a visual assessment of the nonindependent evidence, such as hyper-dominant authors and countries, and funding sources, potentially informing the risk of bias. Alternative impact metric analysis employs alternative metrics to gauge societal influence and research translation (e.g., policy and patent citations) of studies in the meta-analysis. We provide a dedicated webpage showcasing sample visualizations and providing step-by-step implementation in open-source software R ( https://yefeng0920.github.io/MA_Map_Bib/ ). Additionally, we offer a guide on leveraging three commercially free large language models (LLMs) to help adapt the sample script, enabling users with less R coding experience to visualize their own meta-analytic evidence base.","author":[{"dropping-particle":"","family":"Yang","given":"Yefeng","non-dropping-particle":"","parse-names":false,"suffix":""},{"dropping-particle":"","family":"Lagisz","given":"Malgorzata","non-dropping-particle":"","parse-names":false,"suffix":""},{"dropping-particle":"","family":"Nakagawa","given":"Shinichi","non-dropping-particle":"","parse-names":false,"suffix":""}],"container-title":"Research Synthesis Methods","id":"ITEM-1","issue":"1","issued":{"date-parts":[["2025","1","19"]]},"page":"15-29","title":"Visualization toolkits for enriching meta-analyses through evidence maps, bibliometrics, and alternative impact metrics","type":"article-journal","volume":"16"},"uris":["http://www.mendeley.com/documents/?uuid=a567ec46-fb17-4594-85d0-3042ae1f0a0b"]}],"mendeley":{"formattedCitation":"(Yang &lt;i&gt;et al.&lt;/i&gt;, 2025)","manualFormatting":"Yang et al. (2025)","plainTextFormattedCitation":"(Yang et al., 2025)","previouslyFormattedCitation":"(Yang &lt;i&gt;et al.&lt;/i&gt;, 2025)"},"properties":{"noteIndex":0},"schema":"https://github.com/citation-style-language/schema/raw/master/csl-citation.json"}</w:instrText>
      </w:r>
      <w:r w:rsidRPr="002042E6">
        <w:rPr>
          <w:rFonts w:ascii="Times New Roman" w:hAnsi="Times New Roman" w:cs="Times New Roman"/>
          <w:sz w:val="24"/>
          <w:szCs w:val="24"/>
        </w:rPr>
        <w:fldChar w:fldCharType="separate"/>
      </w:r>
      <w:r w:rsidRPr="002042E6">
        <w:rPr>
          <w:rFonts w:ascii="Times New Roman" w:hAnsi="Times New Roman" w:cs="Times New Roman"/>
          <w:noProof/>
          <w:sz w:val="24"/>
          <w:szCs w:val="24"/>
        </w:rPr>
        <w:t xml:space="preserve">Yang </w:t>
      </w:r>
      <w:r w:rsidRPr="002042E6">
        <w:rPr>
          <w:rFonts w:ascii="Times New Roman" w:hAnsi="Times New Roman" w:cs="Times New Roman"/>
          <w:i/>
          <w:noProof/>
          <w:sz w:val="24"/>
          <w:szCs w:val="24"/>
        </w:rPr>
        <w:t>et al.</w:t>
      </w:r>
      <w:r w:rsidRPr="002042E6">
        <w:rPr>
          <w:rFonts w:ascii="Times New Roman" w:hAnsi="Times New Roman" w:cs="Times New Roman"/>
          <w:noProof/>
          <w:sz w:val="24"/>
          <w:szCs w:val="24"/>
        </w:rPr>
        <w:t xml:space="preserve"> (2025)</w:t>
      </w:r>
      <w:r w:rsidRPr="002042E6">
        <w:rPr>
          <w:rFonts w:ascii="Times New Roman" w:hAnsi="Times New Roman" w:cs="Times New Roman"/>
          <w:sz w:val="24"/>
          <w:szCs w:val="24"/>
        </w:rPr>
        <w:fldChar w:fldCharType="end"/>
      </w:r>
      <w:r w:rsidRPr="002042E6">
        <w:rPr>
          <w:rFonts w:ascii="Times New Roman" w:hAnsi="Times New Roman" w:cs="Times New Roman"/>
          <w:sz w:val="24"/>
          <w:szCs w:val="24"/>
        </w:rPr>
        <w:t xml:space="preserve">. Furthermore, to prepare the dataset for analysis, we evaluated missingness, assessed residue distributions, identified the best-fitting distribution, and removed extreme outliers. Pesticide types other than insecticides, herbicides, or fungicides were excluded (n=8). We also removed 172 outliers and found that a lognormal distribution best fit the residue data. </w:t>
      </w:r>
    </w:p>
    <w:p w14:paraId="5CCA8DF9" w14:textId="4B8DCF12" w:rsidR="00AC0139" w:rsidRPr="002042E6" w:rsidRDefault="009B049B" w:rsidP="00093910">
      <w:pPr>
        <w:pStyle w:val="Heading2"/>
        <w:numPr>
          <w:ilvl w:val="1"/>
          <w:numId w:val="11"/>
        </w:numPr>
      </w:pPr>
      <w:r w:rsidRPr="002042E6">
        <w:t xml:space="preserve">Handling </w:t>
      </w:r>
      <w:r w:rsidR="00E30A4F" w:rsidRPr="002042E6">
        <w:t xml:space="preserve">Left-Censoring </w:t>
      </w:r>
      <w:r w:rsidRPr="002042E6">
        <w:t>and Missing Data</w:t>
      </w:r>
    </w:p>
    <w:p w14:paraId="227FAC1E" w14:textId="2F306ECD" w:rsidR="00351CF1" w:rsidRPr="002042E6" w:rsidRDefault="00E57551" w:rsidP="00351CF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Approximately 41% of effect sizes were non-detects (NDs), indicating substantial left-censoring. In addition, 64%</w:t>
      </w:r>
      <w:r w:rsidR="00E30A4F" w:rsidRPr="002042E6">
        <w:rPr>
          <w:rFonts w:ascii="Times New Roman" w:hAnsi="Times New Roman" w:cs="Times New Roman"/>
          <w:sz w:val="24"/>
          <w:szCs w:val="24"/>
        </w:rPr>
        <w:t>, 12.5%, and 6.5%</w:t>
      </w:r>
      <w:r w:rsidRPr="002042E6">
        <w:rPr>
          <w:rFonts w:ascii="Times New Roman" w:hAnsi="Times New Roman" w:cs="Times New Roman"/>
          <w:sz w:val="24"/>
          <w:szCs w:val="24"/>
        </w:rPr>
        <w:t xml:space="preserve"> of </w:t>
      </w:r>
      <w:r w:rsidR="00E30A4F" w:rsidRPr="002042E6">
        <w:rPr>
          <w:rFonts w:ascii="Times New Roman" w:hAnsi="Times New Roman" w:cs="Times New Roman"/>
          <w:sz w:val="24"/>
          <w:szCs w:val="24"/>
        </w:rPr>
        <w:t>the dataset had missing</w:t>
      </w:r>
      <w:r w:rsidRPr="002042E6">
        <w:rPr>
          <w:rFonts w:ascii="Times New Roman" w:hAnsi="Times New Roman" w:cs="Times New Roman"/>
          <w:sz w:val="24"/>
          <w:szCs w:val="24"/>
        </w:rPr>
        <w:t xml:space="preserve"> standard deviation</w:t>
      </w:r>
      <w:r w:rsidR="00E30A4F" w:rsidRPr="002042E6">
        <w:rPr>
          <w:rFonts w:ascii="Times New Roman" w:hAnsi="Times New Roman" w:cs="Times New Roman"/>
          <w:sz w:val="24"/>
          <w:szCs w:val="24"/>
        </w:rPr>
        <w:t xml:space="preserve"> (SD),</w:t>
      </w:r>
      <w:r w:rsidRPr="002042E6">
        <w:rPr>
          <w:rFonts w:ascii="Times New Roman" w:hAnsi="Times New Roman" w:cs="Times New Roman"/>
          <w:sz w:val="24"/>
          <w:szCs w:val="24"/>
        </w:rPr>
        <w:t xml:space="preserve"> sample size</w:t>
      </w:r>
      <w:r w:rsidR="00E30A4F" w:rsidRPr="002042E6">
        <w:rPr>
          <w:rFonts w:ascii="Times New Roman" w:hAnsi="Times New Roman" w:cs="Times New Roman"/>
          <w:sz w:val="24"/>
          <w:szCs w:val="24"/>
        </w:rPr>
        <w:t xml:space="preserve"> (SS)</w:t>
      </w:r>
      <w:r w:rsidRPr="002042E6">
        <w:rPr>
          <w:rFonts w:ascii="Times New Roman" w:hAnsi="Times New Roman" w:cs="Times New Roman"/>
          <w:sz w:val="24"/>
          <w:szCs w:val="24"/>
        </w:rPr>
        <w:t>, and detection limit</w:t>
      </w:r>
      <w:r w:rsidR="00E30A4F" w:rsidRPr="002042E6">
        <w:rPr>
          <w:rFonts w:ascii="Times New Roman" w:hAnsi="Times New Roman" w:cs="Times New Roman"/>
          <w:sz w:val="24"/>
          <w:szCs w:val="24"/>
        </w:rPr>
        <w:t xml:space="preserve"> (DL), respectively </w:t>
      </w:r>
      <w:r w:rsidRPr="002042E6">
        <w:rPr>
          <w:rFonts w:ascii="Times New Roman" w:hAnsi="Times New Roman" w:cs="Times New Roman"/>
          <w:sz w:val="24"/>
          <w:szCs w:val="24"/>
        </w:rPr>
        <w:t xml:space="preserve">(SI Figure 2). </w:t>
      </w:r>
      <w:r w:rsidR="00E30A4F" w:rsidRPr="002042E6">
        <w:rPr>
          <w:rFonts w:ascii="Times New Roman" w:hAnsi="Times New Roman" w:cs="Times New Roman"/>
          <w:sz w:val="24"/>
          <w:szCs w:val="24"/>
        </w:rPr>
        <w:t>W</w:t>
      </w:r>
      <w:r w:rsidRPr="002042E6">
        <w:rPr>
          <w:rFonts w:ascii="Times New Roman" w:hAnsi="Times New Roman" w:cs="Times New Roman"/>
          <w:sz w:val="24"/>
          <w:szCs w:val="24"/>
        </w:rPr>
        <w:t>e substituted missing means using medians (n = 18) or geometric means (n = 8) where appropriate</w:t>
      </w:r>
      <w:r w:rsidR="00E30A4F" w:rsidRPr="002042E6">
        <w:rPr>
          <w:rFonts w:ascii="Times New Roman" w:hAnsi="Times New Roman" w:cs="Times New Roman"/>
          <w:sz w:val="24"/>
          <w:szCs w:val="24"/>
        </w:rPr>
        <w:t xml:space="preserve">, and missing DLs with the </w:t>
      </w:r>
      <w:r w:rsidRPr="002042E6">
        <w:rPr>
          <w:rFonts w:ascii="Times New Roman" w:hAnsi="Times New Roman" w:cs="Times New Roman"/>
          <w:sz w:val="24"/>
          <w:szCs w:val="24"/>
        </w:rPr>
        <w:t>median of available DLs (1 µg/kg).</w:t>
      </w:r>
      <w:r w:rsidR="00351CF1" w:rsidRPr="002042E6">
        <w:rPr>
          <w:rFonts w:ascii="Times New Roman" w:hAnsi="Times New Roman" w:cs="Times New Roman"/>
          <w:sz w:val="24"/>
          <w:szCs w:val="24"/>
        </w:rPr>
        <w:t xml:space="preserve"> Detailed procedures and justifications for handling left-censoring and missing data are presented in SI Sections 3.4 and 3.5. </w:t>
      </w:r>
    </w:p>
    <w:p w14:paraId="36402F09" w14:textId="275BB2AA" w:rsidR="000B2AA3" w:rsidRDefault="00351CF1" w:rsidP="00351CF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Rather than excluding NDs or using naïve substitution methods (e.g., zero or ½ DL)</w:t>
      </w:r>
      <w:r w:rsidR="002266A7">
        <w:rPr>
          <w:rFonts w:ascii="Times New Roman" w:hAnsi="Times New Roman" w:cs="Times New Roman"/>
          <w:sz w:val="24"/>
          <w:szCs w:val="24"/>
        </w:rPr>
        <w:t xml:space="preserve"> </w:t>
      </w:r>
      <w:r w:rsidR="002266A7">
        <w:rPr>
          <w:rFonts w:ascii="Times New Roman" w:hAnsi="Times New Roman" w:cs="Times New Roman"/>
          <w:sz w:val="24"/>
          <w:szCs w:val="24"/>
        </w:rPr>
        <w:fldChar w:fldCharType="begin" w:fldLock="1"/>
      </w:r>
      <w:r w:rsidR="00F15445">
        <w:rPr>
          <w:rFonts w:ascii="Times New Roman" w:hAnsi="Times New Roman" w:cs="Times New Roman"/>
          <w:sz w:val="24"/>
          <w:szCs w:val="24"/>
        </w:rPr>
        <w:instrText>ADDIN CSL_CITATION {"citationItems":[{"id":"ITEM-1","itemData":{"abstract":"The primary science policy issue concerning NDs is what value the OPP should assign to them when estimating exposure and risk from a pesticide in food. The reason this is an important issue stems from the new requirements that the Food Quality Protection Act of 1996 (FQPA) impose on EPA. Among other things, FQPA established a stringent health-based standard (\"a reasonable certainty of no harm\") for pesticide residues in foods to assure protection of the public health, including sensitive populations such as infants and children, from unacceptable pesticide exposure and risks. OPP’s goal is to make exposure and risk assessments as accurate and realistic as possible while not underestimating exposure or risk, so that all humans, including infants and children, are fully protected. The specific issues addressed in this paper concern the values the Agency should assign to NDs in order to meet this goal. In","author":[{"dropping-particle":"","family":"US EPA","given":"","non-dropping-particle":"","parse-names":false,"suffix":""}],"id":"ITEM-1","issue":"6047","issued":{"date-parts":[["2000"]]},"page":"1-25","title":"Assigning values to non-detected/non-quantified pesticide residues in human health food exposure assessments","type":"article-journal"},"uris":["http://www.mendeley.com/documents/?uuid=fa23705f-0461-484b-a37c-c2ff1ffb08e5"]},{"id":"ITEM-2","itemData":{"DOI":"10.2903/j.efsa.2010.1557","ISSN":"18314732","abstract":"Within the general framework of chemical risk assessment, a difficult step in dietary exposure assessment is the handling of concentration data reported to be below the limit of detection (LOD). These data are known as non-detects and the resulting distribution of occurrence values is left-censored. Handling left-censored data represents a challenge for EFSA?s collection and statistical analysis of chemical occurrence data. EFSA has so far treated left-censored data with widely used substitution methods recommended by international organisations. The appropriateness of this approach has a natural limitation in the computation of percentiles and in the application of statistical techniques. An EFSA working group was established to estimate the accuracy of methods currently used and to propose recommendations for more advanced alternative statistical approaches. Based on a simulation study and on analyses of real data, an ad hoc evaluation was carried out to assess the performance of different statistical methods to handle non-detects, i.e. parametric Maximum likelihood (ML) models, the log-probit regression method and the non-parametric Kaplan-Meier (KM) method. Results showed that the number of samples had a relatively limited impact on the accuracy and precision of estimates, but the degree of censoring had a large effect. When analysing a complex set of data, it was also shown that it is essential to identify possible sources of heterogeneity in a dataset, such as country of sample collection/origin, food group, laboratory, etc. Statistical analyses should either be conducted separately from these factors, or, to explicitly account for this heterogeneity, fixed/random effect ML models could be used. Based on a minimum number of available samples and to different values of censoring percentages, the working group outlined recommendations, including the use of appropriate statistical tests, to handle left-censored distributions of chemical contaminant data in the context of exposure assessment.","author":[{"dropping-particle":"","family":"EFSA","given":"","non-dropping-particle":"","parse-names":false,"suffix":""}],"container-title":"EFSA Journal","id":"ITEM-2","issue":"3","issued":{"date-parts":[["2010","3"]]},"title":"Management of left‐censored data in dietary exposure assessment of chemical substances","type":"article-journal","volume":"8"},"uris":["http://www.mendeley.com/documents/?uuid=29a81957-dfe4-4c30-9cc3-32c7299de0e4"]},{"id":"ITEM-3","itemData":{"DOI":"10.1016/j.chemosphere.2006.04.051","ISSN":"00456535","PMID":"16737727","abstract":"The most commonly used method in environmental chemistry to deal with values below detection limits is to substitute a fraction of the detection limit for each nondetect. Two decades of research has shown that this fabrication of values produces poor estimates of statistics, and commonly obscures patterns and trends in the data. Papers using substitution may conclude that significant differences, correlations, and regression relationships do not exist, when in fact they do. The reverse may also be true. Fortunately, good alternative methods for dealing with nondetects already exist, and are summarized here with references to original sources. Substituting values for nondetects should be used rarely, and should generally be considered unacceptable in scientific research. There are better ways.","author":[{"dropping-particle":"","family":"Helsel","given":"Dennis R.","non-dropping-particle":"","parse-names":false,"suffix":""}],"container-title":"Chemosphere","id":"ITEM-3","issue":"11","issued":{"date-parts":[["2006"]]},"page":"2434-2439","title":"Fabricating data: How substituting values for nondetects can ruin results, and what can be done about it","type":"article-journal","volume":"65"},"uris":["http://www.mendeley.com/documents/?uuid=57c4da47-ecf5-4998-a760-c58847299df8"]}],"mendeley":{"formattedCitation":"(EFSA, 2010; Helsel, 2006; US EPA, 2000)","plainTextFormattedCitation":"(EFSA, 2010; Helsel, 2006; US EPA, 2000)","previouslyFormattedCitation":"(EFSA, 2010; Helsel, 2006; US EPA, 2000)"},"properties":{"noteIndex":0},"schema":"https://github.com/citation-style-language/schema/raw/master/csl-citation.json"}</w:instrText>
      </w:r>
      <w:r w:rsidR="002266A7">
        <w:rPr>
          <w:rFonts w:ascii="Times New Roman" w:hAnsi="Times New Roman" w:cs="Times New Roman"/>
          <w:sz w:val="24"/>
          <w:szCs w:val="24"/>
        </w:rPr>
        <w:fldChar w:fldCharType="separate"/>
      </w:r>
      <w:r w:rsidR="002266A7" w:rsidRPr="002266A7">
        <w:rPr>
          <w:rFonts w:ascii="Times New Roman" w:hAnsi="Times New Roman" w:cs="Times New Roman"/>
          <w:noProof/>
          <w:sz w:val="24"/>
          <w:szCs w:val="24"/>
        </w:rPr>
        <w:t>(EFSA, 2010; Helsel, 2006; US EPA, 2000)</w:t>
      </w:r>
      <w:r w:rsidR="002266A7">
        <w:rPr>
          <w:rFonts w:ascii="Times New Roman" w:hAnsi="Times New Roman" w:cs="Times New Roman"/>
          <w:sz w:val="24"/>
          <w:szCs w:val="24"/>
        </w:rPr>
        <w:fldChar w:fldCharType="end"/>
      </w:r>
      <w:r w:rsidRPr="002042E6">
        <w:rPr>
          <w:rFonts w:ascii="Times New Roman" w:hAnsi="Times New Roman" w:cs="Times New Roman"/>
          <w:sz w:val="24"/>
          <w:szCs w:val="24"/>
        </w:rPr>
        <w:t>, we applied multiple advanced techniques and selected the most robust estimator based on comparative performance. We evaluated maximum likelihood estimation (MLE), regression on order statistics (ROS), Kaplan-Meier (KM) imputation, and a zero-inflated lognormal (ZILN) model to account for potential zero-expansion</w:t>
      </w:r>
      <w:r w:rsidR="00A33176">
        <w:rPr>
          <w:rFonts w:ascii="Times New Roman" w:hAnsi="Times New Roman" w:cs="Times New Roman"/>
          <w:sz w:val="24"/>
          <w:szCs w:val="24"/>
        </w:rPr>
        <w:t xml:space="preserve"> </w:t>
      </w:r>
      <w:r w:rsidR="00DA24B2">
        <w:rPr>
          <w:rFonts w:ascii="Times New Roman" w:hAnsi="Times New Roman" w:cs="Times New Roman"/>
          <w:sz w:val="24"/>
          <w:szCs w:val="24"/>
        </w:rPr>
        <w:fldChar w:fldCharType="begin" w:fldLock="1"/>
      </w:r>
      <w:r w:rsidR="000B2AA3">
        <w:rPr>
          <w:rFonts w:ascii="Times New Roman" w:hAnsi="Times New Roman" w:cs="Times New Roman"/>
          <w:sz w:val="24"/>
          <w:szCs w:val="24"/>
        </w:rPr>
        <w:instrText>ADDIN CSL_CITATION {"citationItems":[{"id":"ITEM-1","itemData":{"DOI":"10.1186/s12940-024-01088-w","ISSN":"1476069X","PMID":"38755683","abstract":"Background: Identifying the impact of environmental mixtures on human health is an important topic. However, such studies face challenges when exposure measurements lie below limit of detection (LOD). While various approaches for accommodating a single exposure subject to LOD have been used, their impact on mixture analysis has not been thoroughly investigated. Our study aims to understand the impact of five popular LOD accommodation approaches on mixture analysis results with multiple exposures subject to LOD, including omitting subjects with any exposures below LOD (complete case analysis); single imputations by LOD/2, and by estimates from a censored accelerated failure time (AFT) model; and multiple imputation (MI) with or without truncation based on LOD. Methods: In extensive simulation studies with high-dimensional and highly correlated exposures and a continuous health outcome, we examined the performance of each LOD approach on three mixture analysis methods: elastic net regression, weighted quantile sum regression (WQS) and Bayesian kernel machine regression (BKMR). We further analyzed data from the National Health and Nutrition Examination Survey (NHANES) on how persistent organic pollutants (POPs) influenced leukocyte telomere length (LTL). Results: Complete case analysis was inefficient and could result in severe bias for some mixture methods. Imputation by LOD/2 showed unstable performance across mixture methods. Conventional MI was associated with consistent mild biases, which can be reduced by using a truncated distribution for imputation. Estimating censored values by AFT models had a minimal impact on the results. In the NHANES analysis, imputation by LOD/2, truncated MI and censored AFT models performed similarly, with a positive overall effect of POPs on LTL while PCB126, PCB169 and furan 2,3,4,7,8-pncdf being the most important exposures. Conclusions: Our study favored using truncated MI and censored AFT models to accommodate values below LOD for the stability of downstream mixture analysis.","author":[{"dropping-particle":"","family":"Lee","given":"Myeonggyun","non-dropping-particle":"","parse-names":false,"suffix":""},{"dropping-particle":"","family":"Saha","given":"Abhisek","non-dropping-particle":"","parse-names":false,"suffix":""},{"dropping-particle":"","family":"Sundaram","given":"Rajeshwari","non-dropping-particle":"","parse-names":false,"suffix":""},{"dropping-particle":"","family":"Albert","given":"Paul S.","non-dropping-particle":"","parse-names":false,"suffix":""},{"dropping-particle":"","family":"Zhao","given":"Shanshan","non-dropping-particle":"","parse-names":false,"suffix":""}],"container-title":"Environmental Health: A Global Access Science Source","id":"ITEM-1","issue":"1","issued":{"date-parts":[["2024"]]},"title":"Accommodating detection limits of multiple exposures in environmental mixture analyses: an overview of statistical approaches","type":"article-journal","volume":"23"},"uris":["http://www.mendeley.com/documents/?uuid=f8035f8d-2468-4ef6-b56e-2350b40adc27"]},{"id":"ITEM-2","itemData":{"DOI":"10.1128/AEM.01203-18","ISSN":"10985336","PMID":"30120116","abstract":"Data below detection limits, left-censored data, are common in environmental microbiology, and decisions in handling censored data may have implications for quantitative microbial risk assessment (QMRA). In this paper, we utilize simulated data sets informed by real-world enterovirus water data to evaluate methods for handling left-censored data. Data sets were simulated with four censoring degrees (low [10%], medium [35%], high [65%], and severe [90%]) and one real-life censoring example (97%) and were informed by enterovirus data assuming a lognormal distribution with a limit of detection (LOD) of 2.3 genome copies/liter. For each data set, five methods for handling left-censored data were applied: (i) substitution with LOD/√2, (ii) lognormal maximum likelihood estimation (MLE) to estimate mean and standard deviation, (iii) Kaplan-Meier estimation (KM), (iv) imputation method using MLE to estimate distribution parameters (MI method 1), and (v) imputation from a uniform distribution (MI method 2). Each data set mean was used to estimate enterovirus dose and infection risk. Root mean square error (RMSE) and bias were used to compare estimated and known doses and infection risks. MI method 1 resulted in the lowest dose and infection risk RMSE and bias ranges for most censoring degrees, predicting infection risks at most 1.17 × 10 -2 from known values under 97% censoring. MI method 2 was the next overall best method. For medium to severe censoring, MI method 1 may result in the least error. If unsure of the distribution, MI method 2 may be a preferred method to avoid distribution misspecification.","author":[{"dropping-particle":"","family":"Canales","given":"Robert A.","non-dropping-particle":"","parse-names":false,"suffix":""},{"dropping-particle":"","family":"Wilson","given":"Amanda M.","non-dropping-particle":"","parse-names":false,"suffix":""},{"dropping-particle":"","family":"Pearce-Walker","given":"Jennifer I.","non-dropping-particle":"","parse-names":false,"suffix":""},{"dropping-particle":"","family":"Verhougstraete","given":"Marc P.","non-dropping-particle":"","parse-names":false,"suffix":""},{"dropping-particle":"","family":"Reynolds","given":"Kelly A.","non-dropping-particle":"","parse-names":false,"suffix":""}],"container-title":"Applied and Environmental Microbiology","id":"ITEM-2","issue":"20","issued":{"date-parts":[["2018"]]},"title":"Methods for handling left-censored data in quantitative microbial risk assessment","type":"article-journal","volume":"84"},"uris":["http://www.mendeley.com/documents/?uuid=1815e5e3-53e1-4747-936c-4850fbd40707"]},{"id":"ITEM-3","itemData":{"DOI":"10.1016/j.chemolab.2014.02.007","ISSN":"18733239","abstract":"Datasets with missing data ratios ranging from 24% to 4%, corresponding to three air quality monitoring studies, were used to ascertain whether major differences occur when five currently used imputation methods are applied (four single imputation methods and a multiple imputation one). Unrotated and Varimax-rotated factor analyses performed on the imputed datasets were compared. All methods performed similarly, although multiple imputation yielded more disperse imputed values. Main differences occurred when a variable with missing values correlated poorly to the other features and when a variable had relevant loadings in several unrotated factors, which sometimes changed the order of the rotated factors. © 2014 Elsevier B.V.","author":[{"dropping-particle":"","family":"Gómez-Carracedo","given":"M. P.","non-dropping-particle":"","parse-names":false,"suffix":""},{"dropping-particle":"","family":"Andrade","given":"J. M.","non-dropping-particle":"","parse-names":false,"suffix":""},{"dropping-particle":"","family":"López-Mahía","given":"P.","non-dropping-particle":"","parse-names":false,"suffix":""},{"dropping-particle":"","family":"Muniategui","given":"S.","non-dropping-particle":"","parse-names":false,"suffix":""},{"dropping-particle":"","family":"Prada","given":"D.","non-dropping-particle":"","parse-names":false,"suffix":""}],"container-title":"Chemometrics and Intelligent Laboratory Systems","id":"ITEM-3","issued":{"date-parts":[["2014"]]},"page":"23-33","title":"A practical comparison of single and multiple imputation methods to handle complex missing data in air quality datasets","type":"article-journal","volume":"134"},"uris":["http://www.mendeley.com/documents/?uuid=b0d2bcfb-5b3f-4a81-9d3c-3317cbeb446a"]},{"id":"ITEM-4","itemData":{"DOI":"10.1016/j.jenvman.2023.119813","ISSN":"10958630","PMID":"38128207","abstract":"Food safety is an important issue of most concern for health, while pesticides are one of the main threats to food safety. In view of the potential health hazard of pesticides in food, the cancer and non-cancer risks were assessed for 19 kinds of pesticides in Chinese food in this study. Furthermore, the health risks of different types of pesticides were compared to uncover the most polluted pesticide types in this study. Results show that methyl parathion, dichlorvos and 2,4-D residues in some food groups exceed the Chinese food standards. The cumulative disease burden of six carcinogenic pesticides for people older than 40 years ranges from 1.03 × 10−6 to 2.27 × 10−6, which exceeds the WHO recommended limit of 10−6. The non-cancer risks of 13 kinds of pesticides are all lower than 1 and will not pose appreciable health risk to the consumers. Livestock and poultry (contribution rate = 38.93%) and Milk and dairy products (contribution rate = 22.38%) are the dominate risk exposure sources for carcinogenic pesticides while staple foods (contribution rate = 31.62%) and vegetables (contribution rate = 21.5%) are the main risk exposure sources for non-carcinogenic pesticides. Comparing the risks of different pesticide types, insecticide is the most harmful category in this study, followed by herbicide and acaricide. This study characterized the health risks of pesticides in Chinese food and provided a scientific basis for pesticide management.","author":[{"dropping-particle":"","family":"Sang","given":"Chenhui","non-dropping-particle":"","parse-names":false,"suffix":""},{"dropping-particle":"","family":"Niu","given":"Yumin","non-dropping-particle":"","parse-names":false,"suffix":""},{"dropping-particle":"","family":"Gao","given":"Qun","non-dropping-particle":"","parse-names":false,"suffix":""},{"dropping-particle":"","family":"Zhang","given":"Jing","non-dropping-particle":"","parse-names":false,"suffix":""},{"dropping-particle":"","family":"An","given":"Wei","non-dropping-particle":"","parse-names":false,"suffix":""},{"dropping-particle":"","family":"Shao","given":"Bing","non-dropping-particle":"","parse-names":false,"suffix":""},{"dropping-particle":"","family":"Yang","given":"Min","non-dropping-particle":"","parse-names":false,"suffix":""}],"container-title":"Journal of Environmental Management","id":"ITEM-4","issued":{"date-parts":[["2024","2"]]},"page":"119813","title":"Characterizing the cumulative health risks of 19 kinds of pesticides in Chinese food from the cancer and non-cancer perspective","type":"article-journal","volume":"351"},"uris":["http://www.mendeley.com/documents/?uuid=7ce3338e-7fbd-4f47-a647-48a0f2fdab69"]}],"mendeley":{"formattedCitation":"(Canales &lt;i&gt;et al.&lt;/i&gt;, 2018; Gómez-Carracedo &lt;i&gt;et al.&lt;/i&gt;, 2014; Lee &lt;i&gt;et al.&lt;/i&gt;, 2024; Sang &lt;i&gt;et al.&lt;/i&gt;, 2024)","plainTextFormattedCitation":"(Canales et al., 2018; Gómez-Carracedo et al., 2014; Lee et al., 2024; Sang et al., 2024)","previouslyFormattedCitation":"(Canales &lt;i&gt;et al.&lt;/i&gt;, 2018; Gómez-Carracedo &lt;i&gt;et al.&lt;/i&gt;, 2014; Lee &lt;i&gt;et al.&lt;/i&gt;, 2024; Sang &lt;i&gt;et al.&lt;/i&gt;, 2024)"},"properties":{"noteIndex":0},"schema":"https://github.com/citation-style-language/schema/raw/master/csl-citation.json"}</w:instrText>
      </w:r>
      <w:r w:rsidR="00DA24B2">
        <w:rPr>
          <w:rFonts w:ascii="Times New Roman" w:hAnsi="Times New Roman" w:cs="Times New Roman"/>
          <w:sz w:val="24"/>
          <w:szCs w:val="24"/>
        </w:rPr>
        <w:fldChar w:fldCharType="separate"/>
      </w:r>
      <w:r w:rsidR="00DA24B2" w:rsidRPr="00DA24B2">
        <w:rPr>
          <w:rFonts w:ascii="Times New Roman" w:hAnsi="Times New Roman" w:cs="Times New Roman"/>
          <w:noProof/>
          <w:sz w:val="24"/>
          <w:szCs w:val="24"/>
        </w:rPr>
        <w:t xml:space="preserve">(Canales </w:t>
      </w:r>
      <w:r w:rsidR="00DA24B2" w:rsidRPr="00DA24B2">
        <w:rPr>
          <w:rFonts w:ascii="Times New Roman" w:hAnsi="Times New Roman" w:cs="Times New Roman"/>
          <w:i/>
          <w:noProof/>
          <w:sz w:val="24"/>
          <w:szCs w:val="24"/>
        </w:rPr>
        <w:t>et al.</w:t>
      </w:r>
      <w:r w:rsidR="00DA24B2" w:rsidRPr="00DA24B2">
        <w:rPr>
          <w:rFonts w:ascii="Times New Roman" w:hAnsi="Times New Roman" w:cs="Times New Roman"/>
          <w:noProof/>
          <w:sz w:val="24"/>
          <w:szCs w:val="24"/>
        </w:rPr>
        <w:t xml:space="preserve">, </w:t>
      </w:r>
      <w:r w:rsidR="00DA24B2" w:rsidRPr="00DA24B2">
        <w:rPr>
          <w:rFonts w:ascii="Times New Roman" w:hAnsi="Times New Roman" w:cs="Times New Roman"/>
          <w:noProof/>
          <w:sz w:val="24"/>
          <w:szCs w:val="24"/>
        </w:rPr>
        <w:lastRenderedPageBreak/>
        <w:t xml:space="preserve">2018; Gómez-Carracedo </w:t>
      </w:r>
      <w:r w:rsidR="00DA24B2" w:rsidRPr="00DA24B2">
        <w:rPr>
          <w:rFonts w:ascii="Times New Roman" w:hAnsi="Times New Roman" w:cs="Times New Roman"/>
          <w:i/>
          <w:noProof/>
          <w:sz w:val="24"/>
          <w:szCs w:val="24"/>
        </w:rPr>
        <w:t>et al.</w:t>
      </w:r>
      <w:r w:rsidR="00DA24B2" w:rsidRPr="00DA24B2">
        <w:rPr>
          <w:rFonts w:ascii="Times New Roman" w:hAnsi="Times New Roman" w:cs="Times New Roman"/>
          <w:noProof/>
          <w:sz w:val="24"/>
          <w:szCs w:val="24"/>
        </w:rPr>
        <w:t xml:space="preserve">, 2014; Lee </w:t>
      </w:r>
      <w:r w:rsidR="00DA24B2" w:rsidRPr="00DA24B2">
        <w:rPr>
          <w:rFonts w:ascii="Times New Roman" w:hAnsi="Times New Roman" w:cs="Times New Roman"/>
          <w:i/>
          <w:noProof/>
          <w:sz w:val="24"/>
          <w:szCs w:val="24"/>
        </w:rPr>
        <w:t>et al.</w:t>
      </w:r>
      <w:r w:rsidR="00DA24B2" w:rsidRPr="00DA24B2">
        <w:rPr>
          <w:rFonts w:ascii="Times New Roman" w:hAnsi="Times New Roman" w:cs="Times New Roman"/>
          <w:noProof/>
          <w:sz w:val="24"/>
          <w:szCs w:val="24"/>
        </w:rPr>
        <w:t xml:space="preserve">, 2024; Sang </w:t>
      </w:r>
      <w:r w:rsidR="00DA24B2" w:rsidRPr="00DA24B2">
        <w:rPr>
          <w:rFonts w:ascii="Times New Roman" w:hAnsi="Times New Roman" w:cs="Times New Roman"/>
          <w:i/>
          <w:noProof/>
          <w:sz w:val="24"/>
          <w:szCs w:val="24"/>
        </w:rPr>
        <w:t>et al.</w:t>
      </w:r>
      <w:r w:rsidR="00DA24B2" w:rsidRPr="00DA24B2">
        <w:rPr>
          <w:rFonts w:ascii="Times New Roman" w:hAnsi="Times New Roman" w:cs="Times New Roman"/>
          <w:noProof/>
          <w:sz w:val="24"/>
          <w:szCs w:val="24"/>
        </w:rPr>
        <w:t>, 2024)</w:t>
      </w:r>
      <w:r w:rsidR="00DA24B2">
        <w:rPr>
          <w:rFonts w:ascii="Times New Roman" w:hAnsi="Times New Roman" w:cs="Times New Roman"/>
          <w:sz w:val="24"/>
          <w:szCs w:val="24"/>
        </w:rPr>
        <w:fldChar w:fldCharType="end"/>
      </w:r>
      <w:r w:rsidRPr="002042E6">
        <w:rPr>
          <w:rFonts w:ascii="Times New Roman" w:hAnsi="Times New Roman" w:cs="Times New Roman"/>
          <w:sz w:val="24"/>
          <w:szCs w:val="24"/>
        </w:rPr>
        <w:t xml:space="preserve">. Among these, KM provided the most robust estimates, while others tended to underestimate central values by pulling imputed NDs toward lower concentrations (SI Figure 5). </w:t>
      </w:r>
    </w:p>
    <w:p w14:paraId="53970DAE" w14:textId="271EB668" w:rsidR="00E57551" w:rsidRPr="002042E6" w:rsidRDefault="00351CF1" w:rsidP="00351CF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For missing standard deviations and sample sizes, we used multivariate imputation by chained equations (MICE) with predictive mean matching (m = 100), assuming missingness at random and dependent on observed means </w:t>
      </w:r>
      <w:r w:rsidR="009B13EE">
        <w:rPr>
          <w:rFonts w:ascii="Times New Roman" w:hAnsi="Times New Roman" w:cs="Times New Roman"/>
          <w:sz w:val="24"/>
          <w:szCs w:val="24"/>
        </w:rPr>
        <w:fldChar w:fldCharType="begin" w:fldLock="1"/>
      </w:r>
      <w:r w:rsidR="00354412">
        <w:rPr>
          <w:rFonts w:ascii="Times New Roman" w:hAnsi="Times New Roman" w:cs="Times New Roman"/>
          <w:sz w:val="24"/>
          <w:szCs w:val="24"/>
        </w:rPr>
        <w:instrText>ADDIN CSL_CITATION {"citationItems":[{"id":"ITEM-1","itemData":{"DOI":"10.18637/jss.v045.i03","ISSN":"1548-7660","abstract":"The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 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Software","id":"ITEM-1","issue":"3","issued":{"date-parts":[["2011"]]},"page":"1-67","title":"mice : Multivariate Imputation by Chained Equations in R","type":"article-journal","volume":"45"},"uris":["http://www.mendeley.com/documents/?uuid=944764ff-09de-4aa5-b19b-53ca01930baf"]}],"mendeley":{"formattedCitation":"(Buuren and Groothuis-Oudshoorn, 2011)","plainTextFormattedCitation":"(Buuren and Groothuis-Oudshoorn, 2011)","previouslyFormattedCitation":"(Buuren and Groothuis-Oudshoorn, 2011)"},"properties":{"noteIndex":0},"schema":"https://github.com/citation-style-language/schema/raw/master/csl-citation.json"}</w:instrText>
      </w:r>
      <w:r w:rsidR="009B13EE">
        <w:rPr>
          <w:rFonts w:ascii="Times New Roman" w:hAnsi="Times New Roman" w:cs="Times New Roman"/>
          <w:sz w:val="24"/>
          <w:szCs w:val="24"/>
        </w:rPr>
        <w:fldChar w:fldCharType="separate"/>
      </w:r>
      <w:r w:rsidR="00384886" w:rsidRPr="00384886">
        <w:rPr>
          <w:rFonts w:ascii="Times New Roman" w:hAnsi="Times New Roman" w:cs="Times New Roman"/>
          <w:noProof/>
          <w:sz w:val="24"/>
          <w:szCs w:val="24"/>
        </w:rPr>
        <w:t>(Buuren and Groothuis-Oudshoorn, 2011)</w:t>
      </w:r>
      <w:r w:rsidR="009B13EE">
        <w:rPr>
          <w:rFonts w:ascii="Times New Roman" w:hAnsi="Times New Roman" w:cs="Times New Roman"/>
          <w:sz w:val="24"/>
          <w:szCs w:val="24"/>
        </w:rPr>
        <w:fldChar w:fldCharType="end"/>
      </w:r>
      <w:r w:rsidRPr="002042E6">
        <w:rPr>
          <w:rFonts w:ascii="Times New Roman" w:hAnsi="Times New Roman" w:cs="Times New Roman"/>
          <w:sz w:val="24"/>
          <w:szCs w:val="24"/>
        </w:rPr>
        <w:t xml:space="preserve">. </w:t>
      </w:r>
      <w:r w:rsidR="00384886">
        <w:rPr>
          <w:rFonts w:ascii="Times New Roman" w:hAnsi="Times New Roman" w:cs="Times New Roman"/>
          <w:sz w:val="24"/>
          <w:szCs w:val="24"/>
        </w:rPr>
        <w:t xml:space="preserve">Detailed background on MICE imputation can be found here </w:t>
      </w:r>
      <w:r w:rsidR="00384886" w:rsidRPr="00384886">
        <w:rPr>
          <w:rFonts w:ascii="Times New Roman" w:hAnsi="Times New Roman" w:cs="Times New Roman"/>
          <w:sz w:val="24"/>
          <w:szCs w:val="24"/>
        </w:rPr>
        <w:fldChar w:fldCharType="begin" w:fldLock="1"/>
      </w:r>
      <w:r w:rsidR="00384886">
        <w:rPr>
          <w:rFonts w:ascii="Times New Roman" w:hAnsi="Times New Roman" w:cs="Times New Roman"/>
          <w:sz w:val="24"/>
          <w:szCs w:val="24"/>
        </w:rPr>
        <w:instrText>ADDIN CSL_CITATION {"citationItems":[{"id":"ITEM-1","itemData":{"DOI":"10.1002/ece3.6806","ISSN":"20457758","abstract":"Meta-analyses often encounter studies with incompletely reported variance measures (e.g., standard deviation values) or sample sizes, both needed to conduct weighted meta-analyses. Here, we first present a systematic literature survey on the frequency and treatment of missing data in published ecological meta-analyses showing that the majority of meta-analyses encountered incompletely reported studies. We then simulated meta-analysis data sets to investigate the performance of 14 options to treat or impute missing SDs and/or SSs. Performance was thereby assessed using results from fully informed weighted analyses on (hypothetically) complete data sets. We show that the omission of incompletely reported studies is not a viable solution. Unweighted and sample size-based variance approximation can yield unbiased grand means if effect sizes are independent of their corresponding SDs and SSs. The performance of different imputation methods depends on the structure of the meta-analysis data set, especially in the case of correlated effect sizes and standard deviations or sample sizes. In a best-case scenario, which assumes that SDs and/or SSs are both missing at random and are unrelated to effect sizes, our simulations show that the imputation of up to 90% of missing data still yields grand means and confidence intervals that are similar to those obtained with fully informed weighted analyses. We conclude that multiple imputation of missing variance measures and sample sizes could help overcome the problem of incompletely reported primary studies, not only in the field of ecological meta-analyses. Still, caution must be exercised in consideration of potential correlations and pattern of missingness.","author":[{"dropping-particle":"","family":"Kambach","given":"Stephan","non-dropping-particle":"","parse-names":false,"suffix":""},{"dropping-particle":"","family":"Bruelheide","given":"Helge","non-dropping-particle":"","parse-names":false,"suffix":""},{"dropping-particle":"","family":"Gerstner","given":"Katharina","non-dropping-particle":"","parse-names":false,"suffix":""},{"dropping-particle":"","family":"Gurevitch","given":"Jessica","non-dropping-particle":"","parse-names":false,"suffix":""},{"dropping-particle":"","family":"Beckmann","given":"Michael","non-dropping-particle":"","parse-names":false,"suffix":""},{"dropping-particle":"","family":"Seppelt","given":"Ralf","non-dropping-particle":"","parse-names":false,"suffix":""}],"container-title":"Ecology and Evolution","id":"ITEM-1","issue":"20","issued":{"date-parts":[["2020"]]},"page":"11699-11712","title":"Consequences of multiple imputation of missing standard deviations and sample sizes in meta-analysis","type":"article-journal","volume":"10"},"uris":["http://www.mendeley.com/documents/?uuid=acd220c0-034d-4f70-82af-74943e59cac5"]},{"id":"ITEM-2","itemData":{"author":[{"dropping-particle":"","family":"Ian","given":"R W","non-dropping-particle":"","parse-names":false,"suffix":""},{"dropping-particle":"","family":"Patrick","given":"R","non-dropping-particle":"","parse-names":false,"suffix":""},{"dropping-particle":"","family":"W.","given":"Angela M","non-dropping-particle":"","parse-names":false,"suffix":""}],"container-title":"Statistics in Medicine","id":"ITEM-2","issue":"4","issued":{"date-parts":[["2011"]]},"page":"377-399","title":"Multiple imputation using chained equations: Issues and guidance for practice","type":"article-journal","volume":"30"},"uris":["http://www.mendeley.com/documents/?uuid=6d11b207-332b-44c3-96de-a7a375e1cf1b"]},{"id":"ITEM-3","itemData":{"DOI":"10.1002/mpr.329","ISSN":"10498931","PMID":"21499542","abstract":"Multivariate imputation by chained equations (MICE) has emerged as a principled method of dealing with missing data. Despite properties that make MICE particularly useful for large imputation procedures and advances in software development that now make it accessible to many researchers, many psychiatric researchers have not been trained in these methods and few practical resources exist to guide researchers in the implementation of this technique. This paper provides an introduction to the MICE method with a focus on practical aspects and challenges in using this method. A brief review of software programs available to implement MICE and then analyze multiply imputed data is also provided. © 2011 John Wiley &amp; Sons, Ltd.","author":[{"dropping-particle":"","family":"Azur","given":"Melissa J.","non-dropping-particle":"","parse-names":false,"suffix":""},{"dropping-particle":"","family":"Stuart","given":"Elizabeth A.","non-dropping-particle":"","parse-names":false,"suffix":""},{"dropping-particle":"","family":"Frangakis","given":"Constantine","non-dropping-particle":"","parse-names":false,"suffix":""},{"dropping-particle":"","family":"Leaf","given":"Philip J.","non-dropping-particle":"","parse-names":false,"suffix":""}],"container-title":"International Journal of Methods in Psychiatric Research","id":"ITEM-3","issue":"1","issued":{"date-parts":[["2011"]]},"page":"40-49","title":"Multiple imputation by chained equations: What is it and how does it work?","type":"article-journal","volume":"20"},"uris":["http://www.mendeley.com/documents/?uuid=1790062a-3787-40c0-ba04-9b1705b23c42"]}],"mendeley":{"formattedCitation":"(Azur &lt;i&gt;et al.&lt;/i&gt;, 2011; Ian &lt;i&gt;et al.&lt;/i&gt;, 2011; Kambach &lt;i&gt;et al.&lt;/i&gt;, 2020)","plainTextFormattedCitation":"(Azur et al., 2011; Ian et al., 2011; Kambach et al., 2020)","previouslyFormattedCitation":"(Azur &lt;i&gt;et al.&lt;/i&gt;, 2011; Ian &lt;i&gt;et al.&lt;/i&gt;, 2011; Kambach &lt;i&gt;et al.&lt;/i&gt;, 2020)"},"properties":{"noteIndex":0},"schema":"https://github.com/citation-style-language/schema/raw/master/csl-citation.json"}</w:instrText>
      </w:r>
      <w:r w:rsidR="00384886" w:rsidRPr="00384886">
        <w:rPr>
          <w:rFonts w:ascii="Times New Roman" w:hAnsi="Times New Roman" w:cs="Times New Roman"/>
          <w:sz w:val="24"/>
          <w:szCs w:val="24"/>
        </w:rPr>
        <w:fldChar w:fldCharType="separate"/>
      </w:r>
      <w:r w:rsidR="00384886" w:rsidRPr="00384886">
        <w:rPr>
          <w:rFonts w:ascii="Times New Roman" w:hAnsi="Times New Roman" w:cs="Times New Roman"/>
          <w:noProof/>
          <w:sz w:val="24"/>
          <w:szCs w:val="24"/>
        </w:rPr>
        <w:t xml:space="preserve">(Azur </w:t>
      </w:r>
      <w:r w:rsidR="00384886" w:rsidRPr="00384886">
        <w:rPr>
          <w:rFonts w:ascii="Times New Roman" w:hAnsi="Times New Roman" w:cs="Times New Roman"/>
          <w:i/>
          <w:noProof/>
          <w:sz w:val="24"/>
          <w:szCs w:val="24"/>
        </w:rPr>
        <w:t>et al.</w:t>
      </w:r>
      <w:r w:rsidR="00384886" w:rsidRPr="00384886">
        <w:rPr>
          <w:rFonts w:ascii="Times New Roman" w:hAnsi="Times New Roman" w:cs="Times New Roman"/>
          <w:noProof/>
          <w:sz w:val="24"/>
          <w:szCs w:val="24"/>
        </w:rPr>
        <w:t xml:space="preserve">, 2011; Ian </w:t>
      </w:r>
      <w:r w:rsidR="00384886" w:rsidRPr="00384886">
        <w:rPr>
          <w:rFonts w:ascii="Times New Roman" w:hAnsi="Times New Roman" w:cs="Times New Roman"/>
          <w:i/>
          <w:noProof/>
          <w:sz w:val="24"/>
          <w:szCs w:val="24"/>
        </w:rPr>
        <w:t>et al.</w:t>
      </w:r>
      <w:r w:rsidR="00384886" w:rsidRPr="00384886">
        <w:rPr>
          <w:rFonts w:ascii="Times New Roman" w:hAnsi="Times New Roman" w:cs="Times New Roman"/>
          <w:noProof/>
          <w:sz w:val="24"/>
          <w:szCs w:val="24"/>
        </w:rPr>
        <w:t xml:space="preserve">, 2011; Kambach </w:t>
      </w:r>
      <w:r w:rsidR="00384886" w:rsidRPr="00384886">
        <w:rPr>
          <w:rFonts w:ascii="Times New Roman" w:hAnsi="Times New Roman" w:cs="Times New Roman"/>
          <w:i/>
          <w:noProof/>
          <w:sz w:val="24"/>
          <w:szCs w:val="24"/>
        </w:rPr>
        <w:t>et al.</w:t>
      </w:r>
      <w:r w:rsidR="00384886" w:rsidRPr="00384886">
        <w:rPr>
          <w:rFonts w:ascii="Times New Roman" w:hAnsi="Times New Roman" w:cs="Times New Roman"/>
          <w:noProof/>
          <w:sz w:val="24"/>
          <w:szCs w:val="24"/>
        </w:rPr>
        <w:t>, 2020)</w:t>
      </w:r>
      <w:r w:rsidR="00384886" w:rsidRPr="00384886">
        <w:rPr>
          <w:rFonts w:ascii="Times New Roman" w:hAnsi="Times New Roman" w:cs="Times New Roman"/>
          <w:sz w:val="24"/>
          <w:szCs w:val="24"/>
        </w:rPr>
        <w:fldChar w:fldCharType="end"/>
      </w:r>
      <w:r w:rsidR="00384886">
        <w:rPr>
          <w:rFonts w:ascii="Times New Roman" w:hAnsi="Times New Roman" w:cs="Times New Roman"/>
          <w:sz w:val="24"/>
          <w:szCs w:val="24"/>
        </w:rPr>
        <w:t xml:space="preserve">. </w:t>
      </w:r>
      <w:r w:rsidRPr="002042E6">
        <w:rPr>
          <w:rFonts w:ascii="Times New Roman" w:hAnsi="Times New Roman" w:cs="Times New Roman"/>
          <w:sz w:val="24"/>
          <w:szCs w:val="24"/>
        </w:rPr>
        <w:t>The imputed values were validated through convergence diagnostics and density plots (SI Figure 6). Although Rubin’s rules are commonly used to pool results from MICE datasets, we selected a single optimal imputed dataset based on the lowest absolute percentage error from observed values. This choice was made to due to computational limitations and complexity in our subsequent analyses.</w:t>
      </w:r>
    </w:p>
    <w:p w14:paraId="690C7BF0" w14:textId="656E5210" w:rsidR="009B6B06" w:rsidRPr="002042E6" w:rsidRDefault="009B6B06" w:rsidP="00667D24">
      <w:pPr>
        <w:pStyle w:val="Heading2"/>
        <w:numPr>
          <w:ilvl w:val="1"/>
          <w:numId w:val="11"/>
        </w:numPr>
      </w:pPr>
      <w:r w:rsidRPr="002042E6">
        <w:t>Multilevel Meta-Analysis Models</w:t>
      </w:r>
    </w:p>
    <w:p w14:paraId="38E860E2" w14:textId="431917E8" w:rsidR="00667D24" w:rsidRPr="002042E6" w:rsidRDefault="00284623" w:rsidP="00667D24">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Given the hierarchical nature of our residue data, where non-independent effect sizes </w:t>
      </w:r>
      <w:r w:rsidR="00174782" w:rsidRPr="002042E6">
        <w:rPr>
          <w:rFonts w:ascii="Times New Roman" w:hAnsi="Times New Roman" w:cs="Times New Roman"/>
          <w:sz w:val="24"/>
          <w:szCs w:val="24"/>
        </w:rPr>
        <w:t>from single study were included</w:t>
      </w:r>
      <w:r w:rsidRPr="002042E6">
        <w:rPr>
          <w:rFonts w:ascii="Times New Roman" w:hAnsi="Times New Roman" w:cs="Times New Roman"/>
          <w:sz w:val="24"/>
          <w:szCs w:val="24"/>
        </w:rPr>
        <w:t>,</w:t>
      </w:r>
      <w:r w:rsidR="00667D24" w:rsidRPr="002042E6">
        <w:rPr>
          <w:rFonts w:ascii="Times New Roman" w:hAnsi="Times New Roman" w:cs="Times New Roman"/>
          <w:sz w:val="24"/>
          <w:szCs w:val="24"/>
        </w:rPr>
        <w:t xml:space="preserve"> we </w:t>
      </w:r>
      <w:r w:rsidR="00174782" w:rsidRPr="002042E6">
        <w:rPr>
          <w:rFonts w:ascii="Times New Roman" w:hAnsi="Times New Roman" w:cs="Times New Roman"/>
          <w:sz w:val="24"/>
          <w:szCs w:val="24"/>
        </w:rPr>
        <w:t xml:space="preserve">used </w:t>
      </w:r>
      <w:r w:rsidRPr="002042E6">
        <w:rPr>
          <w:rFonts w:ascii="Times New Roman" w:hAnsi="Times New Roman" w:cs="Times New Roman"/>
          <w:sz w:val="24"/>
          <w:szCs w:val="24"/>
        </w:rPr>
        <w:t>three-level</w:t>
      </w:r>
      <w:r w:rsidR="00667D24" w:rsidRPr="002042E6">
        <w:rPr>
          <w:rFonts w:ascii="Times New Roman" w:hAnsi="Times New Roman" w:cs="Times New Roman"/>
          <w:sz w:val="24"/>
          <w:szCs w:val="24"/>
        </w:rPr>
        <w:t xml:space="preserve"> random-effects meta-analysis models </w:t>
      </w:r>
      <w:r w:rsidRPr="002042E6">
        <w:rPr>
          <w:rFonts w:ascii="Times New Roman" w:hAnsi="Times New Roman" w:cs="Times New Roman"/>
          <w:sz w:val="24"/>
          <w:szCs w:val="24"/>
        </w:rPr>
        <w:t xml:space="preserve">to </w:t>
      </w:r>
      <w:r w:rsidR="00571405" w:rsidRPr="002042E6">
        <w:rPr>
          <w:rFonts w:ascii="Times New Roman" w:hAnsi="Times New Roman" w:cs="Times New Roman"/>
          <w:sz w:val="24"/>
          <w:szCs w:val="24"/>
        </w:rPr>
        <w:t>account for dependencies between effect sizes (level 1) and studies (level 2 and 3)</w:t>
      </w:r>
      <w:r w:rsidR="00812657" w:rsidRPr="002042E6">
        <w:rPr>
          <w:rFonts w:ascii="Times New Roman" w:hAnsi="Times New Roman" w:cs="Times New Roman"/>
          <w:sz w:val="24"/>
          <w:szCs w:val="24"/>
        </w:rPr>
        <w:t xml:space="preserve"> </w:t>
      </w:r>
      <w:r w:rsidR="00812657" w:rsidRPr="002042E6">
        <w:rPr>
          <w:rFonts w:ascii="Times New Roman" w:hAnsi="Times New Roman" w:cs="Times New Roman"/>
          <w:sz w:val="24"/>
          <w:szCs w:val="24"/>
        </w:rPr>
        <w:fldChar w:fldCharType="begin" w:fldLock="1"/>
      </w:r>
      <w:r w:rsidR="00F85311" w:rsidRPr="002042E6">
        <w:rPr>
          <w:rFonts w:ascii="Times New Roman" w:hAnsi="Times New Roman" w:cs="Times New Roman"/>
          <w:sz w:val="24"/>
          <w:szCs w:val="24"/>
        </w:rPr>
        <w:instrText>ADDIN CSL_CITATION {"citationItems":[{"id":"ITEM-1","itemData":{"DOI":"10.3758/s13428-012-0261-6","ISSN":"1554351X","PMID":"23055166","abstract":"Although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 © 2012 Psychonomic Society, Inc.","author":[{"dropping-particle":"","family":"Noortgate","given":"Wim","non-dropping-particle":"Van den","parse-names":false,"suffix":""},{"dropping-particle":"","family":"López-López","given":"José Antonio","non-dropping-particle":"","parse-names":false,"suffix":""},{"dropping-particle":"","family":"Marín-Martínez","given":"Fulgencio","non-dropping-particle":"","parse-names":false,"suffix":""},{"dropping-particle":"","family":"Sánchez-Meca","given":"Julio","non-dropping-particle":"","parse-names":false,"suffix":""}],"container-title":"Behavior Research Methods","id":"ITEM-1","issue":"2","issued":{"date-parts":[["2013","6","9"]]},"page":"576-594","title":"Three-level meta-analysis of dependent effect sizes","type":"article-journal","volume":"45"},"uris":["http://www.mendeley.com/documents/?uuid=84f4939d-7727-4813-8cf1-9ec95634b279"]},{"id":"ITEM-2","itemData":{"DOI":"10.1186/s13750-023-00301-6","ISSN":"20472382","abstract":"Meta-analysis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Evidence","id":"ITEM-2","issue":"1","issued":{"date-parts":[["2023","4","24"]]},"page":"8","title":"Quantitative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Yang, &lt;i&gt;et al.&lt;/i&gt;, 2023; Van den Noortgate &lt;i&gt;et al.&lt;/i&gt;, 2013)","plainTextFormattedCitation":"(Nakagawa, Yang, et al., 2023; Van den Noortgate et al., 2013)","previouslyFormattedCitation":"(Nakagawa, Yang, &lt;i&gt;et al.&lt;/i&gt;, 2023; Van den Noortgate &lt;i&gt;et al.&lt;/i&gt;, 2013)"},"properties":{"noteIndex":0},"schema":"https://github.com/citation-style-language/schema/raw/master/csl-citation.json"}</w:instrText>
      </w:r>
      <w:r w:rsidR="00812657" w:rsidRPr="002042E6">
        <w:rPr>
          <w:rFonts w:ascii="Times New Roman" w:hAnsi="Times New Roman" w:cs="Times New Roman"/>
          <w:sz w:val="24"/>
          <w:szCs w:val="24"/>
        </w:rPr>
        <w:fldChar w:fldCharType="separate"/>
      </w:r>
      <w:r w:rsidR="00812657" w:rsidRPr="002042E6">
        <w:rPr>
          <w:rFonts w:ascii="Times New Roman" w:hAnsi="Times New Roman" w:cs="Times New Roman"/>
          <w:noProof/>
          <w:sz w:val="24"/>
          <w:szCs w:val="24"/>
        </w:rPr>
        <w:t xml:space="preserve">(Nakagawa, Yang, </w:t>
      </w:r>
      <w:r w:rsidR="00812657" w:rsidRPr="002042E6">
        <w:rPr>
          <w:rFonts w:ascii="Times New Roman" w:hAnsi="Times New Roman" w:cs="Times New Roman"/>
          <w:i/>
          <w:noProof/>
          <w:sz w:val="24"/>
          <w:szCs w:val="24"/>
        </w:rPr>
        <w:t>et al.</w:t>
      </w:r>
      <w:r w:rsidR="00812657" w:rsidRPr="002042E6">
        <w:rPr>
          <w:rFonts w:ascii="Times New Roman" w:hAnsi="Times New Roman" w:cs="Times New Roman"/>
          <w:noProof/>
          <w:sz w:val="24"/>
          <w:szCs w:val="24"/>
        </w:rPr>
        <w:t xml:space="preserve">, 2023; Van den Noortgate </w:t>
      </w:r>
      <w:r w:rsidR="00812657" w:rsidRPr="002042E6">
        <w:rPr>
          <w:rFonts w:ascii="Times New Roman" w:hAnsi="Times New Roman" w:cs="Times New Roman"/>
          <w:i/>
          <w:noProof/>
          <w:sz w:val="24"/>
          <w:szCs w:val="24"/>
        </w:rPr>
        <w:t>et al.</w:t>
      </w:r>
      <w:r w:rsidR="00812657" w:rsidRPr="002042E6">
        <w:rPr>
          <w:rFonts w:ascii="Times New Roman" w:hAnsi="Times New Roman" w:cs="Times New Roman"/>
          <w:noProof/>
          <w:sz w:val="24"/>
          <w:szCs w:val="24"/>
        </w:rPr>
        <w:t>, 2013)</w:t>
      </w:r>
      <w:r w:rsidR="00812657" w:rsidRPr="002042E6">
        <w:rPr>
          <w:rFonts w:ascii="Times New Roman" w:hAnsi="Times New Roman" w:cs="Times New Roman"/>
          <w:sz w:val="24"/>
          <w:szCs w:val="24"/>
        </w:rPr>
        <w:fldChar w:fldCharType="end"/>
      </w:r>
      <w:r w:rsidR="00812657" w:rsidRPr="002042E6">
        <w:rPr>
          <w:rFonts w:ascii="Times New Roman" w:hAnsi="Times New Roman" w:cs="Times New Roman"/>
          <w:sz w:val="24"/>
          <w:szCs w:val="24"/>
        </w:rPr>
        <w:t xml:space="preserve">. </w:t>
      </w:r>
      <w:r w:rsidR="00667D24" w:rsidRPr="002042E6">
        <w:rPr>
          <w:rFonts w:ascii="Times New Roman" w:hAnsi="Times New Roman" w:cs="Times New Roman"/>
          <w:sz w:val="24"/>
          <w:szCs w:val="24"/>
        </w:rPr>
        <w:t>Robust variance estimation (RVE) with Satterthwaite-adjusted degrees of freedom was applied to</w:t>
      </w:r>
      <w:r w:rsidR="00571405" w:rsidRPr="002042E6">
        <w:rPr>
          <w:rFonts w:ascii="Times New Roman" w:hAnsi="Times New Roman" w:cs="Times New Roman"/>
          <w:sz w:val="24"/>
          <w:szCs w:val="24"/>
        </w:rPr>
        <w:t xml:space="preserve"> the fitted models</w:t>
      </w:r>
      <w:r w:rsidR="00667D24" w:rsidRPr="002042E6">
        <w:rPr>
          <w:rFonts w:ascii="Times New Roman" w:hAnsi="Times New Roman" w:cs="Times New Roman"/>
          <w:sz w:val="24"/>
          <w:szCs w:val="24"/>
        </w:rPr>
        <w:t xml:space="preserve"> </w:t>
      </w:r>
      <w:r w:rsidR="00571405" w:rsidRPr="002042E6">
        <w:rPr>
          <w:rFonts w:ascii="Times New Roman" w:hAnsi="Times New Roman" w:cs="Times New Roman"/>
          <w:sz w:val="24"/>
          <w:szCs w:val="24"/>
        </w:rPr>
        <w:t xml:space="preserve">to </w:t>
      </w:r>
      <w:r w:rsidR="00667D24" w:rsidRPr="002042E6">
        <w:rPr>
          <w:rFonts w:ascii="Times New Roman" w:hAnsi="Times New Roman" w:cs="Times New Roman"/>
          <w:sz w:val="24"/>
          <w:szCs w:val="24"/>
        </w:rPr>
        <w:t>ensure reliable standard error</w:t>
      </w:r>
      <w:r w:rsidRPr="002042E6">
        <w:rPr>
          <w:rFonts w:ascii="Times New Roman" w:hAnsi="Times New Roman" w:cs="Times New Roman"/>
          <w:sz w:val="24"/>
          <w:szCs w:val="24"/>
        </w:rPr>
        <w:t xml:space="preserve"> estimation</w:t>
      </w:r>
      <w:r w:rsidR="00667D24" w:rsidRPr="002042E6">
        <w:rPr>
          <w:rFonts w:ascii="Times New Roman" w:hAnsi="Times New Roman" w:cs="Times New Roman"/>
          <w:sz w:val="24"/>
          <w:szCs w:val="24"/>
        </w:rPr>
        <w:t xml:space="preserve">, especially in the presence of small cluster sizes </w:t>
      </w:r>
      <w:r w:rsidR="00812657" w:rsidRPr="002042E6">
        <w:rPr>
          <w:rFonts w:ascii="Times New Roman" w:hAnsi="Times New Roman" w:cs="Times New Roman"/>
          <w:sz w:val="24"/>
          <w:szCs w:val="24"/>
        </w:rPr>
        <w:fldChar w:fldCharType="begin" w:fldLock="1"/>
      </w:r>
      <w:r w:rsidR="00812657" w:rsidRPr="002042E6">
        <w:rPr>
          <w:rFonts w:ascii="Times New Roman" w:hAnsi="Times New Roman" w:cs="Times New Roman"/>
          <w:sz w:val="24"/>
          <w:szCs w:val="24"/>
        </w:rPr>
        <w:instrText>ADDIN CSL_CITATION {"citationItems":[{"id":"ITEM-1","itemData":{"DOI":"10.1007/s11121-021-01246-3","ISSN":"1389-4986","PMID":"33961175","abstract":"In prevention science and related fields, large meta-analyses are common, and these analyses often involve dependent effect size estimates. Robust variance estimation (RVE) methods provide a way to include all dependent effect sizes in a single meta-regression model, even when the exact form of the dependence is unknown. RVE uses a working model of the dependence structure, but the two currently available working models are limited to each describing a single type of dependence. Drawing on flexible tools from multilevel and multivariate meta-analysis, this paper describes an expanded range of working models, along with accompanying estimation methods, which offer potential benefits in terms of better capturing the types of data structures that occur in practice and, under some circumstances, improving the efficiency of meta-regression estimates. We describe how the methods can be implemented using existing software (the “metafor” and “clubSandwich” packages for R), illustrate the proposed approach in a meta-analysis of randomized trials on the effects of brief alcohol interventions for adolescents and young adults, and report findings from a simulation study evaluating the performance of the new methods.","author":[{"dropping-particle":"","family":"Pustejovsky","given":"James E.","non-dropping-particle":"","parse-names":false,"suffix":""},{"dropping-particle":"","family":"Tipton","given":"Elizabeth","non-dropping-particle":"","parse-names":false,"suffix":""}],"container-title":"Prevention Science","id":"ITEM-1","issue":"3","issued":{"date-parts":[["2022","4","7"]]},"page":"425-438","title":"Meta-analysis with Robust Variance Estimation: Expanding the Range of Working Models","type":"article-journal","volume":"23"},"uris":["http://www.mendeley.com/documents/?uuid=b28c6874-f697-4197-a39a-a8d16d712095"]},{"id":"ITEM-2","itemData":{"DOI":"10.3102/1076998615606099","ISSN":"19351054","abstract":"Meta-analyses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 to the large-sample F-test.","author":[{"dropping-particle":"","family":"Tipton","given":"Elizabeth","non-dropping-particle":"","parse-names":false,"suffix":""},{"dropping-particle":"","family":"Pustejovsky","given":"James E.","non-dropping-particle":"","parse-names":false,"suffix":""}],"container-title":"Journal of Educational and Behavioral Statistics","id":"ITEM-2","issue":"6","issued":{"date-parts":[["2015"]]},"page":"604-634","title":"Small-Sample Adjustments for Tests of Moderators and Model Fit Using Robust Variance Estimation in Meta-Regression","type":"article-journal","volume":"40"},"uris":["http://www.mendeley.com/documents/?uuid=a1dfa268-9426-42ba-a7d7-98e90e4d822f"]}],"mendeley":{"formattedCitation":"(Pustejovsky and Tipton, 2022; Tipton and Pustejovsky, 2015)","plainTextFormattedCitation":"(Pustejovsky and Tipton, 2022; Tipton and Pustejovsky, 2015)","previouslyFormattedCitation":"(Pustejovsky and Tipton, 2022; Tipton and Pustejovsky, 2015)"},"properties":{"noteIndex":0},"schema":"https://github.com/citation-style-language/schema/raw/master/csl-citation.json"}</w:instrText>
      </w:r>
      <w:r w:rsidR="00812657" w:rsidRPr="002042E6">
        <w:rPr>
          <w:rFonts w:ascii="Times New Roman" w:hAnsi="Times New Roman" w:cs="Times New Roman"/>
          <w:sz w:val="24"/>
          <w:szCs w:val="24"/>
        </w:rPr>
        <w:fldChar w:fldCharType="separate"/>
      </w:r>
      <w:r w:rsidR="00812657" w:rsidRPr="002042E6">
        <w:rPr>
          <w:rFonts w:ascii="Times New Roman" w:hAnsi="Times New Roman" w:cs="Times New Roman"/>
          <w:noProof/>
          <w:sz w:val="24"/>
          <w:szCs w:val="24"/>
        </w:rPr>
        <w:t>(Pustejovsky and Tipton, 2022; Tipton and Pustejovsky, 2015)</w:t>
      </w:r>
      <w:r w:rsidR="00812657" w:rsidRPr="002042E6">
        <w:rPr>
          <w:rFonts w:ascii="Times New Roman" w:hAnsi="Times New Roman" w:cs="Times New Roman"/>
          <w:sz w:val="24"/>
          <w:szCs w:val="24"/>
        </w:rPr>
        <w:fldChar w:fldCharType="end"/>
      </w:r>
      <w:r w:rsidR="00812657" w:rsidRPr="002042E6">
        <w:rPr>
          <w:rFonts w:ascii="Times New Roman" w:hAnsi="Times New Roman" w:cs="Times New Roman"/>
          <w:sz w:val="24"/>
          <w:szCs w:val="24"/>
        </w:rPr>
        <w:t>.</w:t>
      </w:r>
      <w:r w:rsidR="00947947" w:rsidRPr="002042E6">
        <w:rPr>
          <w:rFonts w:ascii="Times New Roman" w:hAnsi="Times New Roman" w:cs="Times New Roman"/>
          <w:sz w:val="24"/>
          <w:szCs w:val="24"/>
        </w:rPr>
        <w:t xml:space="preserve"> Heterogeneity at different level was quantified using the multilevel I² statistic </w:t>
      </w:r>
      <w:r w:rsidR="00947947" w:rsidRPr="002042E6">
        <w:rPr>
          <w:rFonts w:ascii="Times New Roman" w:hAnsi="Times New Roman" w:cs="Times New Roman"/>
          <w:sz w:val="24"/>
          <w:szCs w:val="24"/>
        </w:rPr>
        <w:fldChar w:fldCharType="begin" w:fldLock="1"/>
      </w:r>
      <w:r w:rsidR="00947947" w:rsidRPr="002042E6">
        <w:rPr>
          <w:rFonts w:ascii="Times New Roman" w:hAnsi="Times New Roman" w:cs="Times New Roman"/>
          <w:sz w:val="24"/>
          <w:szCs w:val="24"/>
        </w:rPr>
        <w:instrText>ADDIN CSL_CITATION {"citationItems":[{"id":"ITEM-1","itemData":{"DOI":"10.1186/s13750-023-00301-6","ISSN":"20472382","abstract":"Meta-analysis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Evidence","id":"ITEM-1","issue":"1","issued":{"date-parts":[["2023","4","24"]]},"page":"8","title":"Quantitative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Yang, &lt;i&gt;et al.&lt;/i&gt;, 2023)","plainTextFormattedCitation":"(Nakagawa, Yang, et al., 2023)","previouslyFormattedCitation":"(Nakagawa, Yang, &lt;i&gt;et al.&lt;/i&gt;, 2023)"},"properties":{"noteIndex":0},"schema":"https://github.com/citation-style-language/schema/raw/master/csl-citation.json"}</w:instrText>
      </w:r>
      <w:r w:rsidR="00947947" w:rsidRPr="002042E6">
        <w:rPr>
          <w:rFonts w:ascii="Times New Roman" w:hAnsi="Times New Roman" w:cs="Times New Roman"/>
          <w:sz w:val="24"/>
          <w:szCs w:val="24"/>
        </w:rPr>
        <w:fldChar w:fldCharType="separate"/>
      </w:r>
      <w:r w:rsidR="00947947" w:rsidRPr="002042E6">
        <w:rPr>
          <w:rFonts w:ascii="Times New Roman" w:hAnsi="Times New Roman" w:cs="Times New Roman"/>
          <w:noProof/>
          <w:sz w:val="24"/>
          <w:szCs w:val="24"/>
        </w:rPr>
        <w:t xml:space="preserve">(Nakagawa, Yang, </w:t>
      </w:r>
      <w:r w:rsidR="00947947" w:rsidRPr="002042E6">
        <w:rPr>
          <w:rFonts w:ascii="Times New Roman" w:hAnsi="Times New Roman" w:cs="Times New Roman"/>
          <w:i/>
          <w:noProof/>
          <w:sz w:val="24"/>
          <w:szCs w:val="24"/>
        </w:rPr>
        <w:t>et al.</w:t>
      </w:r>
      <w:r w:rsidR="00947947" w:rsidRPr="002042E6">
        <w:rPr>
          <w:rFonts w:ascii="Times New Roman" w:hAnsi="Times New Roman" w:cs="Times New Roman"/>
          <w:noProof/>
          <w:sz w:val="24"/>
          <w:szCs w:val="24"/>
        </w:rPr>
        <w:t>, 2023)</w:t>
      </w:r>
      <w:r w:rsidR="00947947" w:rsidRPr="002042E6">
        <w:rPr>
          <w:rFonts w:ascii="Times New Roman" w:hAnsi="Times New Roman" w:cs="Times New Roman"/>
          <w:sz w:val="24"/>
          <w:szCs w:val="24"/>
        </w:rPr>
        <w:fldChar w:fldCharType="end"/>
      </w:r>
      <w:r w:rsidR="00947947" w:rsidRPr="002042E6">
        <w:rPr>
          <w:rFonts w:ascii="Times New Roman" w:hAnsi="Times New Roman" w:cs="Times New Roman"/>
          <w:sz w:val="24"/>
          <w:szCs w:val="24"/>
        </w:rPr>
        <w:t>.</w:t>
      </w:r>
    </w:p>
    <w:p w14:paraId="729D463B" w14:textId="7A25C706" w:rsidR="00851A6E" w:rsidRPr="002042E6" w:rsidRDefault="00667D24" w:rsidP="00667D24">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We began by fitting an intercept-only model to estimate the overall pesticide residue level in food</w:t>
      </w:r>
      <w:r w:rsidR="00947947" w:rsidRPr="002042E6">
        <w:rPr>
          <w:rFonts w:ascii="Times New Roman" w:hAnsi="Times New Roman" w:cs="Times New Roman"/>
          <w:sz w:val="24"/>
          <w:szCs w:val="24"/>
        </w:rPr>
        <w:t xml:space="preserve">. </w:t>
      </w:r>
      <w:r w:rsidRPr="002042E6">
        <w:rPr>
          <w:rFonts w:ascii="Times New Roman" w:hAnsi="Times New Roman" w:cs="Times New Roman"/>
          <w:sz w:val="24"/>
          <w:szCs w:val="24"/>
        </w:rPr>
        <w:t>We then extended this model to include fixed effects for pesticide use type and food group</w:t>
      </w:r>
      <w:r w:rsidR="00947947" w:rsidRPr="002042E6">
        <w:rPr>
          <w:rFonts w:ascii="Times New Roman" w:hAnsi="Times New Roman" w:cs="Times New Roman"/>
          <w:sz w:val="24"/>
          <w:szCs w:val="24"/>
        </w:rPr>
        <w:t xml:space="preserve"> (see SI Section 4)</w:t>
      </w:r>
      <w:r w:rsidRPr="002042E6">
        <w:rPr>
          <w:rFonts w:ascii="Times New Roman" w:hAnsi="Times New Roman" w:cs="Times New Roman"/>
          <w:sz w:val="24"/>
          <w:szCs w:val="24"/>
        </w:rPr>
        <w:t>. To identify significant moderators (e.g., instrument, food origin, region, zone, pesticide type, food category), we fitted uni-moderator models using maximum likelihood (ML) estimation and compared them to null models via likelihood ratio tests (LRTs). Moderators were ranked by LRT p-values</w:t>
      </w:r>
      <w:r w:rsidR="00F85311" w:rsidRPr="002042E6">
        <w:rPr>
          <w:rFonts w:ascii="Times New Roman" w:hAnsi="Times New Roman" w:cs="Times New Roman"/>
          <w:sz w:val="24"/>
          <w:szCs w:val="24"/>
        </w:rPr>
        <w:t xml:space="preserve"> (</w:t>
      </w:r>
      <w:r w:rsidRPr="002042E6">
        <w:rPr>
          <w:rFonts w:ascii="Times New Roman" w:hAnsi="Times New Roman" w:cs="Times New Roman"/>
          <w:sz w:val="24"/>
          <w:szCs w:val="24"/>
        </w:rPr>
        <w:t>p &lt; 0.05</w:t>
      </w:r>
      <w:r w:rsidR="00F85311" w:rsidRPr="002042E6">
        <w:rPr>
          <w:rFonts w:ascii="Times New Roman" w:hAnsi="Times New Roman" w:cs="Times New Roman"/>
          <w:sz w:val="24"/>
          <w:szCs w:val="24"/>
        </w:rPr>
        <w:t xml:space="preserve">) and </w:t>
      </w:r>
      <w:r w:rsidRPr="002042E6">
        <w:rPr>
          <w:rFonts w:ascii="Times New Roman" w:hAnsi="Times New Roman" w:cs="Times New Roman"/>
          <w:sz w:val="24"/>
          <w:szCs w:val="24"/>
        </w:rPr>
        <w:t xml:space="preserve">R² statistic was used to quantify the proportion of explained heterogeneity </w:t>
      </w:r>
      <w:r w:rsidR="00F85311" w:rsidRPr="002042E6">
        <w:rPr>
          <w:rFonts w:ascii="Times New Roman" w:hAnsi="Times New Roman" w:cs="Times New Roman"/>
          <w:sz w:val="24"/>
          <w:szCs w:val="24"/>
        </w:rPr>
        <w:fldChar w:fldCharType="begin" w:fldLock="1"/>
      </w:r>
      <w:r w:rsidR="00F85311" w:rsidRPr="002042E6">
        <w:rPr>
          <w:rFonts w:ascii="Times New Roman" w:hAnsi="Times New Roman" w:cs="Times New Roman"/>
          <w:sz w:val="24"/>
          <w:szCs w:val="24"/>
        </w:rPr>
        <w:instrText>ADDIN CSL_CITATION {"citationItems":[{"id":"ITEM-1","itemData":{"DOI":"10.1098/rsif.2017.0213","ISSN":"17425662","PMID":"28904005","abstract":"The coefficient of determination R2 quantifies the proportion of variance explained by a statistical model and is an important summary statistic of biological interest. However, estimating R2 for generalized linear mixed models (GLMMs) remains challenging. We have previously introduced a version of R2 that we called R2 GLMM for Poisson and binomial GLMMs, but not for other distributional families. Similarly, we earlier discussed how to estimate intra-class correlation coefficients (ICCs) using Poisson and binomial GLMMs. In this paper, we generalize our methods to all other non-Gaussian distributions, in particular to negative binomial and gamma distributions that are commonly used for modelling biological data. While expanding our approach, we highlight two useful concepts for biologists, Jensen's inequality and the delta method, both of which help us in understanding the properties of GLMMs. Jensen's inequality has important implications for biologically meaningful interpretation of GLMMs, whereas the delta method allows a general derivation of variance associated with non-Gaussian distributions. We also discuss some special considerations for binomial GLMMs with binary or proportion data. We illustrate the implementation of our extension by worked examples from the field of ecology and evolution in the R environment. However, our method can be used across disciplines and regardless of statistical environments.","author":[{"dropping-particle":"","family":"Nakagawa","given":"Shinichi","non-dropping-particle":"","parse-names":false,"suffix":""},{"dropping-particle":"","family":"Johnson","given":"Paul C.D.","non-dropping-particle":"","parse-names":false,"suffix":""},{"dropping-particle":"","family":"Schielzeth","given":"Holger","non-dropping-particle":"","parse-names":false,"suffix":""}],"container-title":"Journal of the Royal Society Interface","id":"ITEM-1","issue":"134","issued":{"date-parts":[["2017"]]},"title":"The coefficient of determination R2 and intra-class correlation coefficient from generalized linear mixed-effects models revisited and expanded","type":"article-journal","volume":"14"},"uris":["http://www.mendeley.com/documents/?uuid=97eac231-6c23-465c-92e3-cffbceee1ba3"]}],"mendeley":{"formattedCitation":"(Nakagawa &lt;i&gt;et al.&lt;/i&gt;, 2017)","plainTextFormattedCitation":"(Nakagawa et al., 2017)","previouslyFormattedCitation":"(Nakagawa &lt;i&gt;et al.&lt;/i&gt;, 2017)"},"properties":{"noteIndex":0},"schema":"https://github.com/citation-style-language/schema/raw/master/csl-citation.json"}</w:instrText>
      </w:r>
      <w:r w:rsidR="00F85311" w:rsidRPr="002042E6">
        <w:rPr>
          <w:rFonts w:ascii="Times New Roman" w:hAnsi="Times New Roman" w:cs="Times New Roman"/>
          <w:sz w:val="24"/>
          <w:szCs w:val="24"/>
        </w:rPr>
        <w:fldChar w:fldCharType="separate"/>
      </w:r>
      <w:r w:rsidR="00F85311" w:rsidRPr="002042E6">
        <w:rPr>
          <w:rFonts w:ascii="Times New Roman" w:hAnsi="Times New Roman" w:cs="Times New Roman"/>
          <w:noProof/>
          <w:sz w:val="24"/>
          <w:szCs w:val="24"/>
        </w:rPr>
        <w:t xml:space="preserve">(Nakagawa </w:t>
      </w:r>
      <w:r w:rsidR="00F85311" w:rsidRPr="002042E6">
        <w:rPr>
          <w:rFonts w:ascii="Times New Roman" w:hAnsi="Times New Roman" w:cs="Times New Roman"/>
          <w:i/>
          <w:noProof/>
          <w:sz w:val="24"/>
          <w:szCs w:val="24"/>
        </w:rPr>
        <w:t>et al.</w:t>
      </w:r>
      <w:r w:rsidR="00F85311" w:rsidRPr="002042E6">
        <w:rPr>
          <w:rFonts w:ascii="Times New Roman" w:hAnsi="Times New Roman" w:cs="Times New Roman"/>
          <w:noProof/>
          <w:sz w:val="24"/>
          <w:szCs w:val="24"/>
        </w:rPr>
        <w:t>, 2017)</w:t>
      </w:r>
      <w:r w:rsidR="00F85311" w:rsidRPr="002042E6">
        <w:rPr>
          <w:rFonts w:ascii="Times New Roman" w:hAnsi="Times New Roman" w:cs="Times New Roman"/>
          <w:sz w:val="24"/>
          <w:szCs w:val="24"/>
        </w:rPr>
        <w:fldChar w:fldCharType="end"/>
      </w:r>
      <w:r w:rsidRPr="002042E6">
        <w:rPr>
          <w:rFonts w:ascii="Times New Roman" w:hAnsi="Times New Roman" w:cs="Times New Roman"/>
          <w:sz w:val="24"/>
          <w:szCs w:val="24"/>
        </w:rPr>
        <w:t xml:space="preserve">. Significant models were subsequently refitted using restricted maximum likelihood (REML) and RVE applied for final </w:t>
      </w:r>
      <w:r w:rsidR="00F85311" w:rsidRPr="002042E6">
        <w:rPr>
          <w:rFonts w:ascii="Times New Roman" w:hAnsi="Times New Roman" w:cs="Times New Roman"/>
          <w:sz w:val="24"/>
          <w:szCs w:val="24"/>
        </w:rPr>
        <w:t>reporting</w:t>
      </w:r>
      <w:r w:rsidRPr="002042E6">
        <w:rPr>
          <w:rFonts w:ascii="Times New Roman" w:hAnsi="Times New Roman" w:cs="Times New Roman"/>
          <w:sz w:val="24"/>
          <w:szCs w:val="24"/>
        </w:rPr>
        <w:t>.</w:t>
      </w:r>
      <w:r w:rsidR="00851A6E" w:rsidRPr="002042E6">
        <w:rPr>
          <w:rFonts w:ascii="Times New Roman" w:hAnsi="Times New Roman" w:cs="Times New Roman"/>
          <w:sz w:val="24"/>
          <w:szCs w:val="24"/>
        </w:rPr>
        <w:t xml:space="preserve"> </w:t>
      </w:r>
      <w:r w:rsidRPr="002042E6">
        <w:rPr>
          <w:rFonts w:ascii="Times New Roman" w:hAnsi="Times New Roman" w:cs="Times New Roman"/>
          <w:sz w:val="24"/>
          <w:szCs w:val="24"/>
        </w:rPr>
        <w:t xml:space="preserve">Finally, we conducted a stratified two-level random-effects meta-analysis across 251 unique pesticide-food </w:t>
      </w:r>
      <w:r w:rsidRPr="002042E6">
        <w:rPr>
          <w:rFonts w:ascii="Times New Roman" w:hAnsi="Times New Roman" w:cs="Times New Roman"/>
          <w:sz w:val="24"/>
          <w:szCs w:val="24"/>
        </w:rPr>
        <w:lastRenderedPageBreak/>
        <w:t xml:space="preserve">combinations with ≥2 effect sizes to generate exposure estimates for the dietary risk assessment in Ethiopia. Publication bias was assessed using contour-enhanced funnel plots and multilevel Egger’s regression </w:t>
      </w:r>
      <w:r w:rsidR="00851A6E" w:rsidRPr="002042E6">
        <w:rPr>
          <w:rFonts w:ascii="Times New Roman" w:hAnsi="Times New Roman" w:cs="Times New Roman"/>
          <w:sz w:val="24"/>
          <w:szCs w:val="24"/>
        </w:rPr>
        <w:fldChar w:fldCharType="begin" w:fldLock="1"/>
      </w:r>
      <w:r w:rsidR="00851A6E" w:rsidRPr="002042E6">
        <w:rPr>
          <w:rFonts w:ascii="Times New Roman" w:hAnsi="Times New Roman" w:cs="Times New Roman"/>
          <w:sz w:val="24"/>
          <w:szCs w:val="24"/>
        </w:rPr>
        <w:instrText>ADDIN CSL_CITATION {"citationItems":[{"id":"ITEM-1","itemData":{"DOI":"10.1111/2041-210X.13724","ISSN":"2041210X","abstract":"Publication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author":[{"dropping-particle":"","family":"Nakagawa","given":"Shinichi","non-dropping-particle":"","parse-names":false,"suffix":""},{"dropping-particle":"","family":"Lagisz","given":"Malgorzata","non-dropping-particle":"","parse-names":false,"suffix":""},{"dropping-particle":"","family":"Jennions","given":"Michael D.","non-dropping-particle":"","parse-names":false,"suffix":""},{"dropping-particle":"","family":"Koricheva","given":"Julia","non-dropping-particle":"","parse-names":false,"suffix":""},{"dropping-particle":"","family":"Noble","given":"Daniel W.A.","non-dropping-particle":"","parse-names":false,"suffix":""},{"dropping-particle":"","family":"Parker","given":"Timothy H.","non-dropping-particle":"","parse-names":false,"suffix":""},{"dropping-particle":"","family":"Sánchez-Tójar","given":"Alfredo","non-dropping-particle":"","parse-names":false,"suffix":""},{"dropping-particle":"","family":"Yang","given":"Yefeng","non-dropping-particle":"","parse-names":false,"suffix":""},{"dropping-particle":"","family":"O'Dea","given":"Rose E.","non-dropping-particle":"","parse-names":false,"suffix":""}],"container-title":"Methods in Ecology and Evolution","id":"ITEM-1","issue":"1","issued":{"date-parts":[["2022","1","10"]]},"page":"4-21","title":"Methods for testing publication bias in ecological and evolutionary meta-analyses","type":"article-journal","volume":"13"},"uris":["http://www.mendeley.com/documents/?uuid=cba933da-d655-45c7-9f8d-e77405d72b28"]},{"id":"ITEM-2","itemData":{"DOI":"10.1136/bmj.315.7109.629","ISSN":"09598146","PMID":"9310563","abstract":"Objective: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Main outcome measure: Degree of funnel plot asymmetry as measured by the intercept from regression of standard normal deviates against precision. 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 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caution.","author":[{"dropping-particle":"","family":"Egger","given":"Matthias","non-dropping-particle":"","parse-names":false,"suffix":""},{"dropping-particle":"","family":"Smith","given":"George Davey","non-dropping-particle":"","parse-names":false,"suffix":""},{"dropping-particle":"","family":"Schneider","given":"Martin","non-dropping-particle":"","parse-names":false,"suffix":""},{"dropping-particle":"","family":"Minder","given":"Christoph","non-dropping-particle":"","parse-names":false,"suffix":""}],"container-title":"British Medical Journal","id":"ITEM-2","issue":"7109","issued":{"date-parts":[["1997"]]},"page":"629-634","title":"Bias in meta-analysis detected by a simple, graphical test","type":"article-journal","volume":"315"},"uris":["http://www.mendeley.com/documents/?uuid=7cdeebb1-1fb2-4364-92a5-d293faedb960"]}],"mendeley":{"formattedCitation":"(Egger &lt;i&gt;et al.&lt;/i&gt;, 1997; Nakagawa &lt;i&gt;et al.&lt;/i&gt;, 2022)","plainTextFormattedCitation":"(Egger et al., 1997; Nakagawa et al., 2022)","previouslyFormattedCitation":"(Egger &lt;i&gt;et al.&lt;/i&gt;, 1997; Nakagawa &lt;i&gt;et al.&lt;/i&gt;, 2022)"},"properties":{"noteIndex":0},"schema":"https://github.com/citation-style-language/schema/raw/master/csl-citation.json"}</w:instrText>
      </w:r>
      <w:r w:rsidR="00851A6E" w:rsidRPr="002042E6">
        <w:rPr>
          <w:rFonts w:ascii="Times New Roman" w:hAnsi="Times New Roman" w:cs="Times New Roman"/>
          <w:sz w:val="24"/>
          <w:szCs w:val="24"/>
        </w:rPr>
        <w:fldChar w:fldCharType="separate"/>
      </w:r>
      <w:r w:rsidR="00851A6E" w:rsidRPr="002042E6">
        <w:rPr>
          <w:rFonts w:ascii="Times New Roman" w:hAnsi="Times New Roman" w:cs="Times New Roman"/>
          <w:noProof/>
          <w:sz w:val="24"/>
          <w:szCs w:val="24"/>
        </w:rPr>
        <w:t xml:space="preserve">(Egger </w:t>
      </w:r>
      <w:r w:rsidR="00851A6E" w:rsidRPr="002042E6">
        <w:rPr>
          <w:rFonts w:ascii="Times New Roman" w:hAnsi="Times New Roman" w:cs="Times New Roman"/>
          <w:i/>
          <w:noProof/>
          <w:sz w:val="24"/>
          <w:szCs w:val="24"/>
        </w:rPr>
        <w:t>et al.</w:t>
      </w:r>
      <w:r w:rsidR="00851A6E" w:rsidRPr="002042E6">
        <w:rPr>
          <w:rFonts w:ascii="Times New Roman" w:hAnsi="Times New Roman" w:cs="Times New Roman"/>
          <w:noProof/>
          <w:sz w:val="24"/>
          <w:szCs w:val="24"/>
        </w:rPr>
        <w:t xml:space="preserve">, 1997; Nakagawa </w:t>
      </w:r>
      <w:r w:rsidR="00851A6E" w:rsidRPr="002042E6">
        <w:rPr>
          <w:rFonts w:ascii="Times New Roman" w:hAnsi="Times New Roman" w:cs="Times New Roman"/>
          <w:i/>
          <w:noProof/>
          <w:sz w:val="24"/>
          <w:szCs w:val="24"/>
        </w:rPr>
        <w:t>et al.</w:t>
      </w:r>
      <w:r w:rsidR="00851A6E" w:rsidRPr="002042E6">
        <w:rPr>
          <w:rFonts w:ascii="Times New Roman" w:hAnsi="Times New Roman" w:cs="Times New Roman"/>
          <w:noProof/>
          <w:sz w:val="24"/>
          <w:szCs w:val="24"/>
        </w:rPr>
        <w:t>, 2022)</w:t>
      </w:r>
      <w:r w:rsidR="00851A6E" w:rsidRPr="002042E6">
        <w:rPr>
          <w:rFonts w:ascii="Times New Roman" w:hAnsi="Times New Roman" w:cs="Times New Roman"/>
          <w:sz w:val="24"/>
          <w:szCs w:val="24"/>
        </w:rPr>
        <w:fldChar w:fldCharType="end"/>
      </w:r>
      <w:r w:rsidR="00851A6E" w:rsidRPr="002042E6">
        <w:rPr>
          <w:rFonts w:ascii="Times New Roman" w:hAnsi="Times New Roman" w:cs="Times New Roman"/>
          <w:sz w:val="24"/>
          <w:szCs w:val="24"/>
        </w:rPr>
        <w:t xml:space="preserve">. The R packages used include, </w:t>
      </w:r>
      <w:r w:rsidR="00851A6E" w:rsidRPr="002042E6">
        <w:rPr>
          <w:rFonts w:ascii="Times New Roman" w:hAnsi="Times New Roman" w:cs="Times New Roman"/>
          <w:i/>
          <w:iCs/>
          <w:sz w:val="24"/>
          <w:szCs w:val="24"/>
        </w:rPr>
        <w:t>metafor</w:t>
      </w:r>
      <w:r w:rsidR="00851A6E" w:rsidRPr="002042E6">
        <w:rPr>
          <w:rFonts w:ascii="Times New Roman" w:hAnsi="Times New Roman" w:cs="Times New Roman"/>
          <w:sz w:val="24"/>
          <w:szCs w:val="24"/>
        </w:rPr>
        <w:t xml:space="preserve"> for all MMA models </w:t>
      </w:r>
      <w:r w:rsidR="00851A6E" w:rsidRPr="002042E6">
        <w:rPr>
          <w:rFonts w:ascii="Times New Roman" w:hAnsi="Times New Roman" w:cs="Times New Roman"/>
          <w:sz w:val="24"/>
          <w:szCs w:val="24"/>
        </w:rPr>
        <w:fldChar w:fldCharType="begin" w:fldLock="1"/>
      </w:r>
      <w:r w:rsidR="00851A6E" w:rsidRPr="002042E6">
        <w:rPr>
          <w:rFonts w:ascii="Times New Roman" w:hAnsi="Times New Roman" w:cs="Times New Roman"/>
          <w:sz w:val="24"/>
          <w:szCs w:val="24"/>
        </w:rPr>
        <w:instrText>ADDIN CSL_CITATION {"citationItems":[{"id":"ITEM-1","itemData":{"DOI":"10.18637/jss.v036.i03","ISBN":"0123456789","ISSN":"1548-7660","PMID":"20497626","abstract":"To examine complex relationships among variables, researchers in human resource management, industrial-organizational psychology, organizational behavior, and related fields have increasingly used meta-analytic procedures to aggregate effect sizes across primary studies to form meta-analytic correlation matrices, which are then subjected to further analyses using linear models (e.g., multiple linear regression). Because missing effect sizes (i.e., correlation coefficients) and different sample sizes across primary studies can occur when constructing meta-analytic correlation matrices, the present study examined the effects of missingness under realistic conditions and various methods for estimating sample size (e.g., minimum sample size, arithmetic mean, harmonic mean, and geometric mean) on the estimated squared multiple correlation coefficient (R2) and the power of the significance test on the overall R2 in linear regression. Simulation results suggest that missing data had a more detrimental effect as the number of primary studies decreased and the number of predictor variables increased. It appears that using second-order sample sizes of at least 10 (i.e., independent effect sizes) can improve both statistical power and estimation of the overall R2 considerably. Results also suggest that although the minimum sample size should not be used to estimate sample size, the other sample size estimates appear to perform similarly.","author":[{"dropping-particle":"","family":"Viechtbauer","given":"Wolfgang","non-dropping-particle":"","parse-names":false,"suffix":""}],"container-title":"Journal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Package","type":"article-journal","volume":"36"},"uris":["http://www.mendeley.com/documents/?uuid=e153ad2a-c64f-439e-ad13-58bbdc1eebc4"]}],"mendeley":{"formattedCitation":"(Viechtbauer, 2010)","plainTextFormattedCitation":"(Viechtbauer, 2010)","previouslyFormattedCitation":"(Viechtbauer, 2010)"},"properties":{"noteIndex":0},"schema":"https://github.com/citation-style-language/schema/raw/master/csl-citation.json"}</w:instrText>
      </w:r>
      <w:r w:rsidR="00851A6E" w:rsidRPr="002042E6">
        <w:rPr>
          <w:rFonts w:ascii="Times New Roman" w:hAnsi="Times New Roman" w:cs="Times New Roman"/>
          <w:sz w:val="24"/>
          <w:szCs w:val="24"/>
        </w:rPr>
        <w:fldChar w:fldCharType="separate"/>
      </w:r>
      <w:r w:rsidR="00851A6E" w:rsidRPr="002042E6">
        <w:rPr>
          <w:rFonts w:ascii="Times New Roman" w:hAnsi="Times New Roman" w:cs="Times New Roman"/>
          <w:noProof/>
          <w:sz w:val="24"/>
          <w:szCs w:val="24"/>
        </w:rPr>
        <w:t>(Viechtbauer, 2010)</w:t>
      </w:r>
      <w:r w:rsidR="00851A6E" w:rsidRPr="002042E6">
        <w:rPr>
          <w:rFonts w:ascii="Times New Roman" w:hAnsi="Times New Roman" w:cs="Times New Roman"/>
          <w:sz w:val="24"/>
          <w:szCs w:val="24"/>
        </w:rPr>
        <w:fldChar w:fldCharType="end"/>
      </w:r>
      <w:r w:rsidR="00851A6E" w:rsidRPr="002042E6">
        <w:rPr>
          <w:rFonts w:ascii="Times New Roman" w:hAnsi="Times New Roman" w:cs="Times New Roman"/>
          <w:sz w:val="24"/>
          <w:szCs w:val="24"/>
        </w:rPr>
        <w:t xml:space="preserve">, </w:t>
      </w:r>
      <w:r w:rsidR="00851A6E" w:rsidRPr="002042E6">
        <w:rPr>
          <w:rFonts w:ascii="Times New Roman" w:hAnsi="Times New Roman" w:cs="Times New Roman"/>
          <w:i/>
          <w:iCs/>
          <w:sz w:val="24"/>
          <w:szCs w:val="24"/>
        </w:rPr>
        <w:t>clubSandwich</w:t>
      </w:r>
      <w:r w:rsidR="00851A6E" w:rsidRPr="002042E6">
        <w:rPr>
          <w:rFonts w:ascii="Times New Roman" w:hAnsi="Times New Roman" w:cs="Times New Roman"/>
          <w:sz w:val="24"/>
          <w:szCs w:val="24"/>
        </w:rPr>
        <w:t xml:space="preserve"> for RVEs </w:t>
      </w:r>
      <w:r w:rsidR="00851A6E" w:rsidRPr="002042E6">
        <w:rPr>
          <w:rFonts w:ascii="Times New Roman" w:hAnsi="Times New Roman" w:cs="Times New Roman"/>
          <w:sz w:val="24"/>
          <w:szCs w:val="24"/>
        </w:rPr>
        <w:fldChar w:fldCharType="begin" w:fldLock="1"/>
      </w:r>
      <w:r w:rsidR="00851A6E" w:rsidRPr="002042E6">
        <w:rPr>
          <w:rFonts w:ascii="Times New Roman" w:hAnsi="Times New Roman" w:cs="Times New Roman"/>
          <w:sz w:val="24"/>
          <w:szCs w:val="24"/>
        </w:rPr>
        <w:instrText>ADDIN CSL_CITATION {"citationItems":[{"id":"ITEM-1","itemData":{"author":[{"dropping-particle":"","family":"Pustejovsky","given":"J.","non-dropping-particle":"","parse-names":false,"suffix":""}],"id":"ITEM-1","issued":{"date-parts":[["2017"]]},"page":"3","title":"clubSandwich: Cluster-Robust (Sandwich) Variance Estimators with Small-Sample Corrections. R Package Version 0.2","type":"article-journal"},"uris":["http://www.mendeley.com/documents/?uuid=58a5732d-174a-4abf-8012-e9a636fd1ecc"]}],"mendeley":{"formattedCitation":"(Pustejovsky, 2017)","plainTextFormattedCitation":"(Pustejovsky, 2017)","previouslyFormattedCitation":"(Pustejovsky, 2017)"},"properties":{"noteIndex":0},"schema":"https://github.com/citation-style-language/schema/raw/master/csl-citation.json"}</w:instrText>
      </w:r>
      <w:r w:rsidR="00851A6E" w:rsidRPr="002042E6">
        <w:rPr>
          <w:rFonts w:ascii="Times New Roman" w:hAnsi="Times New Roman" w:cs="Times New Roman"/>
          <w:sz w:val="24"/>
          <w:szCs w:val="24"/>
        </w:rPr>
        <w:fldChar w:fldCharType="separate"/>
      </w:r>
      <w:r w:rsidR="00851A6E" w:rsidRPr="002042E6">
        <w:rPr>
          <w:rFonts w:ascii="Times New Roman" w:hAnsi="Times New Roman" w:cs="Times New Roman"/>
          <w:noProof/>
          <w:sz w:val="24"/>
          <w:szCs w:val="24"/>
        </w:rPr>
        <w:t>(Pustejovsky, 2017)</w:t>
      </w:r>
      <w:r w:rsidR="00851A6E" w:rsidRPr="002042E6">
        <w:rPr>
          <w:rFonts w:ascii="Times New Roman" w:hAnsi="Times New Roman" w:cs="Times New Roman"/>
          <w:sz w:val="24"/>
          <w:szCs w:val="24"/>
        </w:rPr>
        <w:fldChar w:fldCharType="end"/>
      </w:r>
      <w:r w:rsidR="00851A6E" w:rsidRPr="002042E6">
        <w:rPr>
          <w:rFonts w:ascii="Times New Roman" w:hAnsi="Times New Roman" w:cs="Times New Roman"/>
          <w:sz w:val="24"/>
          <w:szCs w:val="24"/>
        </w:rPr>
        <w:t xml:space="preserve">, and </w:t>
      </w:r>
      <w:r w:rsidR="00851A6E" w:rsidRPr="002042E6">
        <w:rPr>
          <w:rFonts w:ascii="Times New Roman" w:hAnsi="Times New Roman" w:cs="Times New Roman"/>
          <w:i/>
          <w:iCs/>
          <w:sz w:val="24"/>
          <w:szCs w:val="24"/>
        </w:rPr>
        <w:t>orchaRd2.0</w:t>
      </w:r>
      <w:r w:rsidR="00851A6E" w:rsidRPr="002042E6">
        <w:rPr>
          <w:rFonts w:ascii="Times New Roman" w:hAnsi="Times New Roman" w:cs="Times New Roman"/>
          <w:sz w:val="24"/>
          <w:szCs w:val="24"/>
        </w:rPr>
        <w:t xml:space="preserve"> for visualizations </w:t>
      </w:r>
      <w:r w:rsidR="00851A6E" w:rsidRPr="002042E6">
        <w:rPr>
          <w:rFonts w:ascii="Times New Roman" w:hAnsi="Times New Roman" w:cs="Times New Roman"/>
          <w:sz w:val="24"/>
          <w:szCs w:val="24"/>
        </w:rPr>
        <w:fldChar w:fldCharType="begin" w:fldLock="1"/>
      </w:r>
      <w:r w:rsidR="00851A6E" w:rsidRPr="002042E6">
        <w:rPr>
          <w:rFonts w:ascii="Times New Roman" w:hAnsi="Times New Roman" w:cs="Times New Roman"/>
          <w:sz w:val="24"/>
          <w:szCs w:val="24"/>
        </w:rPr>
        <w:instrText>ADDIN CSL_CITATION {"citationItems":[{"id":"ITEM-1","itemData":{"DOI":"10.1111/2041-210X.14152","ISSN":"2041210X","abstract":"Although meta-analysis has become an essential tool in ecology and evolution, reporting of meta-analytic results can still be much improved. To aid this, we have introduced the orchard plot, which presents not only overall estimates and their confidence intervals, but also shows corresponding heterogeneity (as prediction intervals) and individual effect sizes. Here, we have added significant enhancements by integrating many new functionalities into orchaRd 2.0. This updated version allows the visualisation of heteroscedasticity (different variances across levels of a categorical moderator), marginal estimates (e.g. marginalising out effects other than the one visualised), conditional estimates (i.e. estimates of different groups conditioned upon specific values of a continuous variable) and visualisations of all types of interactions between two categorical/continuous moderators. orchaRd 2.0 has additional functions which calculate key statistics from multilevel meta-analytic models such as I2 and R2. Importantly, orchaRd 2.0 contributes to better reporting by complying with PRISMA-EcoEvo (preferred reporting items for systematic reviews and meta-analyses in ecology and evolution). Taken together, orchaRd 2.0 can improve the presentation of meta-analytic results and facilitate the exploration of previously neglected patterns. In addition, as a part of a literature survey, we found that graphical packages are rarely cited (~3%). We plea that researchers credit developers and maintainers of graphical packages, for example, by citations in a figure legend, acknowledging the use of relevant packages.","author":[{"dropping-particle":"","family":"Nakagawa","given":"Shinichi","non-dropping-particle":"","parse-names":false,"suffix":""},{"dropping-particle":"","family":"Lagisz","given":"Malgorzata","non-dropping-particle":"","parse-names":false,"suffix":""},{"dropping-particle":"","family":"O'Dea","given":"Rose E.","non-dropping-particle":"","parse-names":false,"suffix":""},{"dropping-particle":"","family":"Pottier","given":"Patrice","non-dropping-particle":"","parse-names":false,"suffix":""},{"dropping-particle":"","family":"Rutkowska","given":"Joanna","non-dropping-particle":"","parse-names":false,"suffix":""},{"dropping-particle":"","family":"Senior","given":"Alistair M.","non-dropping-particle":"","parse-names":false,"suffix":""},{"dropping-particle":"","family":"Yang","given":"Yefeng","non-dropping-particle":"","parse-names":false,"suffix":""},{"dropping-particle":"","family":"Noble","given":"Daniel W.A.","non-dropping-particle":"","parse-names":false,"suffix":""}],"container-title":"Methods in Ecology and Evolution","id":"ITEM-1","issue":"8","issued":{"date-parts":[["2023","8","6"]]},"page":"2003-2010","title":"orchaRd 2.0: An R package for visualising meta-analyses with orchard plots","type":"article-journal","volume":"14"},"uris":["http://www.mendeley.com/documents/?uuid=3821f1e1-319c-4a27-9e5a-7baa998020dd"]}],"mendeley":{"formattedCitation":"(Nakagawa, Lagisz, &lt;i&gt;et al.&lt;/i&gt;, 2023)","plainTextFormattedCitation":"(Nakagawa, Lagisz, et al., 2023)","previouslyFormattedCitation":"(Nakagawa, Lagisz, &lt;i&gt;et al.&lt;/i&gt;, 2023)"},"properties":{"noteIndex":0},"schema":"https://github.com/citation-style-language/schema/raw/master/csl-citation.json"}</w:instrText>
      </w:r>
      <w:r w:rsidR="00851A6E" w:rsidRPr="002042E6">
        <w:rPr>
          <w:rFonts w:ascii="Times New Roman" w:hAnsi="Times New Roman" w:cs="Times New Roman"/>
          <w:sz w:val="24"/>
          <w:szCs w:val="24"/>
        </w:rPr>
        <w:fldChar w:fldCharType="separate"/>
      </w:r>
      <w:r w:rsidR="00851A6E" w:rsidRPr="002042E6">
        <w:rPr>
          <w:rFonts w:ascii="Times New Roman" w:hAnsi="Times New Roman" w:cs="Times New Roman"/>
          <w:noProof/>
          <w:sz w:val="24"/>
          <w:szCs w:val="24"/>
        </w:rPr>
        <w:t xml:space="preserve">(Nakagawa, Lagisz, </w:t>
      </w:r>
      <w:r w:rsidR="00851A6E" w:rsidRPr="002042E6">
        <w:rPr>
          <w:rFonts w:ascii="Times New Roman" w:hAnsi="Times New Roman" w:cs="Times New Roman"/>
          <w:i/>
          <w:noProof/>
          <w:sz w:val="24"/>
          <w:szCs w:val="24"/>
        </w:rPr>
        <w:t>et al.</w:t>
      </w:r>
      <w:r w:rsidR="00851A6E" w:rsidRPr="002042E6">
        <w:rPr>
          <w:rFonts w:ascii="Times New Roman" w:hAnsi="Times New Roman" w:cs="Times New Roman"/>
          <w:noProof/>
          <w:sz w:val="24"/>
          <w:szCs w:val="24"/>
        </w:rPr>
        <w:t>, 2023)</w:t>
      </w:r>
      <w:r w:rsidR="00851A6E" w:rsidRPr="002042E6">
        <w:rPr>
          <w:rFonts w:ascii="Times New Roman" w:hAnsi="Times New Roman" w:cs="Times New Roman"/>
          <w:sz w:val="24"/>
          <w:szCs w:val="24"/>
        </w:rPr>
        <w:fldChar w:fldCharType="end"/>
      </w:r>
      <w:r w:rsidR="00851A6E" w:rsidRPr="002042E6">
        <w:rPr>
          <w:rFonts w:ascii="Times New Roman" w:hAnsi="Times New Roman" w:cs="Times New Roman"/>
          <w:sz w:val="24"/>
          <w:szCs w:val="24"/>
        </w:rPr>
        <w:t>.</w:t>
      </w:r>
    </w:p>
    <w:p w14:paraId="711E1CBA" w14:textId="507A4EB6" w:rsidR="00F160F1" w:rsidRPr="00921701" w:rsidRDefault="003E2A9C" w:rsidP="00921701">
      <w:pPr>
        <w:pStyle w:val="Heading2"/>
        <w:numPr>
          <w:ilvl w:val="1"/>
          <w:numId w:val="11"/>
        </w:numPr>
      </w:pPr>
      <w:r w:rsidRPr="00921701">
        <w:t xml:space="preserve">Probabilistic </w:t>
      </w:r>
      <w:r w:rsidR="00F160F1" w:rsidRPr="00921701">
        <w:t>Dietary Risk Assessments</w:t>
      </w:r>
    </w:p>
    <w:p w14:paraId="2BE4893A" w14:textId="3844DDAD" w:rsidR="00F260C7" w:rsidRDefault="00921701" w:rsidP="00051C14">
      <w:pPr>
        <w:spacing w:line="360" w:lineRule="auto"/>
        <w:jc w:val="both"/>
        <w:rPr>
          <w:rFonts w:ascii="Times New Roman" w:hAnsi="Times New Roman" w:cs="Times New Roman"/>
          <w:sz w:val="24"/>
          <w:szCs w:val="24"/>
        </w:rPr>
      </w:pPr>
      <w:r w:rsidRPr="00921701">
        <w:rPr>
          <w:rFonts w:ascii="Times New Roman" w:hAnsi="Times New Roman" w:cs="Times New Roman"/>
          <w:sz w:val="24"/>
          <w:szCs w:val="24"/>
        </w:rPr>
        <w:t>While</w:t>
      </w:r>
      <w:r>
        <w:rPr>
          <w:rFonts w:ascii="Times New Roman" w:hAnsi="Times New Roman" w:cs="Times New Roman"/>
          <w:sz w:val="24"/>
          <w:szCs w:val="24"/>
        </w:rPr>
        <w:t xml:space="preserve"> c</w:t>
      </w:r>
      <w:r w:rsidRPr="003F2252">
        <w:rPr>
          <w:rFonts w:ascii="Times New Roman" w:hAnsi="Times New Roman" w:cs="Times New Roman"/>
          <w:sz w:val="24"/>
          <w:szCs w:val="24"/>
        </w:rPr>
        <w:t xml:space="preserve">onventional risk assessments </w:t>
      </w:r>
      <w:r w:rsidRPr="00921701">
        <w:rPr>
          <w:rFonts w:ascii="Times New Roman" w:hAnsi="Times New Roman" w:cs="Times New Roman"/>
          <w:sz w:val="24"/>
          <w:szCs w:val="24"/>
        </w:rPr>
        <w:t>often employ highly conservative</w:t>
      </w:r>
      <w:r>
        <w:rPr>
          <w:rFonts w:ascii="Times New Roman" w:hAnsi="Times New Roman" w:cs="Times New Roman"/>
          <w:sz w:val="24"/>
          <w:szCs w:val="24"/>
        </w:rPr>
        <w:t xml:space="preserve"> point estimates</w:t>
      </w:r>
      <w:r w:rsidRPr="00921701">
        <w:rPr>
          <w:rFonts w:ascii="Times New Roman" w:hAnsi="Times New Roman" w:cs="Times New Roman"/>
          <w:sz w:val="24"/>
          <w:szCs w:val="24"/>
        </w:rPr>
        <w:t>, which can potentially overestimate risk, probabilistic</w:t>
      </w:r>
      <w:r>
        <w:rPr>
          <w:rFonts w:ascii="Times New Roman" w:hAnsi="Times New Roman" w:cs="Times New Roman"/>
          <w:sz w:val="24"/>
          <w:szCs w:val="24"/>
        </w:rPr>
        <w:t xml:space="preserve"> (i.e., stochastic)</w:t>
      </w:r>
      <w:r w:rsidRPr="00921701">
        <w:rPr>
          <w:rFonts w:ascii="Times New Roman" w:hAnsi="Times New Roman" w:cs="Times New Roman"/>
          <w:sz w:val="24"/>
          <w:szCs w:val="24"/>
        </w:rPr>
        <w:t xml:space="preserve"> risk assessment allows for a more realistic </w:t>
      </w:r>
      <w:r>
        <w:rPr>
          <w:rFonts w:ascii="Times New Roman" w:hAnsi="Times New Roman" w:cs="Times New Roman"/>
          <w:sz w:val="24"/>
          <w:szCs w:val="24"/>
        </w:rPr>
        <w:t xml:space="preserve">risk </w:t>
      </w:r>
      <w:r w:rsidRPr="00921701">
        <w:rPr>
          <w:rFonts w:ascii="Times New Roman" w:hAnsi="Times New Roman" w:cs="Times New Roman"/>
          <w:sz w:val="24"/>
          <w:szCs w:val="24"/>
        </w:rPr>
        <w:t>distribution</w:t>
      </w:r>
      <w:r>
        <w:rPr>
          <w:rFonts w:ascii="Times New Roman" w:hAnsi="Times New Roman" w:cs="Times New Roman"/>
          <w:sz w:val="24"/>
          <w:szCs w:val="24"/>
        </w:rPr>
        <w:t xml:space="preserve">, accounting for variability and uncertainties </w:t>
      </w:r>
      <w:r w:rsidR="00354412">
        <w:rPr>
          <w:rFonts w:ascii="Times New Roman" w:hAnsi="Times New Roman" w:cs="Times New Roman"/>
          <w:sz w:val="24"/>
          <w:szCs w:val="24"/>
        </w:rPr>
        <w:fldChar w:fldCharType="begin" w:fldLock="1"/>
      </w:r>
      <w:r w:rsidR="00F43F58">
        <w:rPr>
          <w:rFonts w:ascii="Times New Roman" w:hAnsi="Times New Roman" w:cs="Times New Roman"/>
          <w:sz w:val="24"/>
          <w:szCs w:val="24"/>
        </w:rPr>
        <w:instrText>ADDIN CSL_CITATION {"citationItems":[{"id":"ITEM-1","itemData":{"DOI":"10.1186/s12940-022-00918-z","ISSN":"1476069X","PMID":"36635712","abstract":"Human health risk assessment currently uses the reference dose or reference concentration (RfD, RfC) approach to describe the level of exposure to chemical hazards without appreciable risk for non-cancer health effects in people. However, this “bright line” approach assumes that there is minimal risk below the RfD/RfC with some undefined level of increased risk at exposures above the RfD/RfC and has limited utility for decision-making. Rather than this dichotomous approach, non-cancer risk assessment can benefit from incorporating probabilistic methods to estimate the amount of risk across a wide range of exposures and define a risk-specific dose. We identify and review existing approaches for conducting probabilistic non-cancer risk assessments. Using perchloroethylene (PCE), a priority chemical for the U.S. Environmental Protection Agency under the Toxic Substances Control Act, we calculate risk-specific doses for the effects on cognitive deficits using probabilistic risk assessment approaches. Our probabilistic risk assessment shows that chronic exposure to 0.004 ppm PCE is associated with approximately 1-in-1,000 risk for a 5% reduced performance on the Wechsler Memory Scale Visual Reproduction subtest with 95% confidence. This exposure level associated with a 1-in-1000 risk for non-cancer neurocognitive deficits is lower than the current RfC for PCE of 0.0059 ppm, which is based on standard point of departure and uncertainty factor approaches for the same neurotoxic effects in occupationally exposed adults. We found that the population-level risk of cognitive deficit (indicating central nervous system dysfunction) is estimated to be greater than the cancer risk level of 1-in-100,000 at a similar chronic exposure level. The extension of toxicological endpoints to more clinically relevant endpoints, along with consideration of magnitude and severity of effect, will help in the selection of acceptable risk targets for non-cancer effects. We find that probabilistic approaches can 1) provide greater context to existing RfDs and RfCs by describing the probability of effect across a range of exposure levels including the RfD/RfC in a diverse population for a given magnitude of effect and confidence level, 2) relate effects of chemical exposures to clinical disease risk so that the resulting risk assessments can better inform decision-makers and benefit-cost analysis, and 3) better reflect the underlying biology and uncertainties of population risks.","author":[{"dropping-particle":"","family":"Nielsen","given":"Greylin H.","non-dropping-particle":"","parse-names":false,"suffix":""},{"dropping-particle":"","family":"Heiger-Bernays","given":"Wendy J.","non-dropping-particle":"","parse-names":false,"suffix":""},{"dropping-particle":"","family":"Levy","given":"Jonathan I.","non-dropping-particle":"","parse-names":false,"suffix":""},{"dropping-particle":"","family":"White","given":"Roberta F.","non-dropping-particle":"","parse-names":false,"suffix":""},{"dropping-particle":"","family":"Axelrad","given":"Daniel A.","non-dropping-particle":"","parse-names":false,"suffix":""},{"dropping-particle":"","family":"Lam","given":"Juleen","non-dropping-particle":"","parse-names":false,"suffix":""},{"dropping-particle":"","family":"Chartres","given":"Nicholas","non-dropping-particle":"","parse-names":false,"suffix":""},{"dropping-particle":"","family":"Abrahamsson","given":"Dimitri Panagopoulos","non-dropping-particle":"","parse-names":false,"suffix":""},{"dropping-particle":"","family":"Rayasam","given":"Swati D.G.","non-dropping-particle":"","parse-names":false,"suffix":""},{"dropping-particle":"","family":"Shaffer","given":"Rachel M.","non-dropping-particle":"","parse-names":false,"suffix":""},{"dropping-particle":"","family":"Zeise","given":"Lauren","non-dropping-particle":"","parse-names":false,"suffix":""},{"dropping-particle":"","family":"Woodruff","given":"Tracey J.","non-dropping-particle":"","parse-names":false,"suffix":""},{"dropping-particle":"","family":"Ginsberg","given":"Gary L.","non-dropping-particle":"","parse-names":false,"suffix":""}],"container-title":"Environmental Health: A Global Access Science Source","id":"ITEM-1","issued":{"date-parts":[["2023"]]},"title":"Application of probabilistic methods to address variability and uncertainty in estimating risks for non-cancer health effects","type":"article-journal","volume":"21"},"uris":["http://www.mendeley.com/documents/?uuid=6e6530e5-dc44-4b17-85ce-7929eef6b579"]},{"id":"ITEM-2","itemData":{"DOI":"10.1093/inteam/vjaf016","ISSN":"1551-3777","abstract":"Traditional ecological and human health risk assessment often relies on deterministic frameworks that preclude the presence of variability or uncertainty among input parameters characterizing exposure, effects, and risk. To promote increased realism and generate more robust risk management decisions, probabilistic risk assessment (PRA) has been introduced as a foundational grouping of techniques that seeks to broadly characterize variability among its components. Although multiple methods exist (e.g., Monte Carlo simulations, Bayesian networks), along with some federal and state regulatory guidance, gaps remain in prescriptive regulatory recommendations for the implementation of PRA methods. This article describes specific probabilistic approaches for risk characterization and assessment, regulatory support of PRA, challenges that may limit more widespread use, and opportunities for its expanded use in regulatory areas where it is not currently applied. Taken together, we hope to advance the understanding of probabilistic methodologies and their versatility for robust, transparent, data-based environmental risk assessment and standards derivation across a range of media that align with regulatory objectives to protect aquatic and terrestrial biota, human health, and vulnerable populations.","author":[{"dropping-particle":"","family":"Flinders","given":"Camille","non-dropping-particle":"","parse-names":false,"suffix":""},{"dropping-particle":"","family":"Barnhart","given":"Brad","non-dropping-particle":"","parse-names":false,"suffix":""},{"dropping-particle":"","family":"Morrison","given":"Emily B","non-dropping-particle":"","parse-names":false,"suffix":""},{"dropping-particle":"","family":"Anderson","given":"Paul D","non-dropping-particle":"","parse-names":false,"suffix":""},{"dropping-particle":"","family":"Landis","given":"Wayne G","non-dropping-particle":"","parse-names":false,"suffix":""}],"container-title":"Integrated Environmental Assessment and Management","id":"ITEM-2","issued":{"date-parts":[["2025"]]},"title":"Probabilistic approaches for risk assessment and regulatory criteria development: current applications, gaps, and opportunities","type":"article-journal"},"uris":["http://www.mendeley.com/documents/?uuid=f8d12a0f-61af-4a2b-8676-4ee731f2e440"]},{"id":"ITEM-3","itemData":{"abstract":"The intended goal of this white paper is to explain how EPA can use probabilistic methods to address data, model and scenario uncertainty and variability by capitalizing on the wide array of tools and methods that comprise PRA. This white paper describes where PRA can facilitate more informed risk management decision making through better understanding of uncertainty and variability related to Agency decisions. The information contained in this document is intended for both risk analysts and managers faced with determining when and how to apply these tools to inform their decisions. This document does not prescribe a specific approach but, rather, describes the various stages and aspects of an assessment or decision process in which probabilistic assessment tools may add value.","author":[{"dropping-particle":"","family":"US EPA","given":"","non-dropping-particle":"","parse-names":false,"suffix":""}],"id":"ITEM-3","issue":"July","issued":{"date-parts":[["2014"]]},"page":"98","title":"Risk Assessment Forum White Paper: Probabilistic Risk Assessment Methods and Case Studies. EPA/100/R-14/004","type":"article-journal"},"uris":["http://www.mendeley.com/documents/?uuid=d6e2d352-baab-436c-bfd6-be28d41d2f75"]}],"mendeley":{"formattedCitation":"(Flinders &lt;i&gt;et al.&lt;/i&gt;, 2025; Nielsen &lt;i&gt;et al.&lt;/i&gt;, 2023; US EPA, 2014)","plainTextFormattedCitation":"(Flinders et al., 2025; Nielsen et al., 2023; US EPA, 2014)","previouslyFormattedCitation":"(Flinders &lt;i&gt;et al.&lt;/i&gt;, 2025; Nielsen &lt;i&gt;et al.&lt;/i&gt;, 2023; US EPA, 2014)"},"properties":{"noteIndex":0},"schema":"https://github.com/citation-style-language/schema/raw/master/csl-citation.json"}</w:instrText>
      </w:r>
      <w:r w:rsidR="00354412">
        <w:rPr>
          <w:rFonts w:ascii="Times New Roman" w:hAnsi="Times New Roman" w:cs="Times New Roman"/>
          <w:sz w:val="24"/>
          <w:szCs w:val="24"/>
        </w:rPr>
        <w:fldChar w:fldCharType="separate"/>
      </w:r>
      <w:r w:rsidR="00354412" w:rsidRPr="00354412">
        <w:rPr>
          <w:rFonts w:ascii="Times New Roman" w:hAnsi="Times New Roman" w:cs="Times New Roman"/>
          <w:noProof/>
          <w:sz w:val="24"/>
          <w:szCs w:val="24"/>
        </w:rPr>
        <w:t xml:space="preserve">(Flinders </w:t>
      </w:r>
      <w:r w:rsidR="00354412" w:rsidRPr="00354412">
        <w:rPr>
          <w:rFonts w:ascii="Times New Roman" w:hAnsi="Times New Roman" w:cs="Times New Roman"/>
          <w:i/>
          <w:noProof/>
          <w:sz w:val="24"/>
          <w:szCs w:val="24"/>
        </w:rPr>
        <w:t>et al.</w:t>
      </w:r>
      <w:r w:rsidR="00354412" w:rsidRPr="00354412">
        <w:rPr>
          <w:rFonts w:ascii="Times New Roman" w:hAnsi="Times New Roman" w:cs="Times New Roman"/>
          <w:noProof/>
          <w:sz w:val="24"/>
          <w:szCs w:val="24"/>
        </w:rPr>
        <w:t xml:space="preserve">, 2025; Nielsen </w:t>
      </w:r>
      <w:r w:rsidR="00354412" w:rsidRPr="00354412">
        <w:rPr>
          <w:rFonts w:ascii="Times New Roman" w:hAnsi="Times New Roman" w:cs="Times New Roman"/>
          <w:i/>
          <w:noProof/>
          <w:sz w:val="24"/>
          <w:szCs w:val="24"/>
        </w:rPr>
        <w:t>et al.</w:t>
      </w:r>
      <w:r w:rsidR="00354412" w:rsidRPr="00354412">
        <w:rPr>
          <w:rFonts w:ascii="Times New Roman" w:hAnsi="Times New Roman" w:cs="Times New Roman"/>
          <w:noProof/>
          <w:sz w:val="24"/>
          <w:szCs w:val="24"/>
        </w:rPr>
        <w:t>, 2023; US EPA, 2014)</w:t>
      </w:r>
      <w:r w:rsidR="00354412">
        <w:rPr>
          <w:rFonts w:ascii="Times New Roman" w:hAnsi="Times New Roman" w:cs="Times New Roman"/>
          <w:sz w:val="24"/>
          <w:szCs w:val="24"/>
        </w:rPr>
        <w:fldChar w:fldCharType="end"/>
      </w:r>
      <w:r w:rsidRPr="00921701">
        <w:rPr>
          <w:rFonts w:ascii="Times New Roman" w:hAnsi="Times New Roman" w:cs="Times New Roman"/>
          <w:sz w:val="24"/>
          <w:szCs w:val="24"/>
        </w:rPr>
        <w:t xml:space="preserve">. Here, we </w:t>
      </w:r>
      <w:r>
        <w:rPr>
          <w:rFonts w:ascii="Times New Roman" w:hAnsi="Times New Roman" w:cs="Times New Roman"/>
          <w:sz w:val="24"/>
          <w:szCs w:val="24"/>
        </w:rPr>
        <w:t xml:space="preserve">implemented MC-PRA to </w:t>
      </w:r>
      <w:r w:rsidRPr="00921701">
        <w:rPr>
          <w:rFonts w:ascii="Times New Roman" w:hAnsi="Times New Roman" w:cs="Times New Roman"/>
          <w:sz w:val="24"/>
          <w:szCs w:val="24"/>
        </w:rPr>
        <w:t>estimate chronic daily pesticide exposure among the general adult population in Ethiopia and characterize non-cancer and cancer risks</w:t>
      </w:r>
      <w:r w:rsidR="00371165">
        <w:rPr>
          <w:rFonts w:ascii="Times New Roman" w:hAnsi="Times New Roman" w:cs="Times New Roman"/>
          <w:sz w:val="24"/>
          <w:szCs w:val="24"/>
        </w:rPr>
        <w:t>,</w:t>
      </w:r>
      <w:r w:rsidR="005F732F">
        <w:rPr>
          <w:rFonts w:ascii="Times New Roman" w:hAnsi="Times New Roman" w:cs="Times New Roman"/>
          <w:sz w:val="24"/>
          <w:szCs w:val="24"/>
        </w:rPr>
        <w:t xml:space="preserve"> as per well-established WHO framework </w:t>
      </w:r>
      <w:r w:rsidR="005F732F">
        <w:rPr>
          <w:rFonts w:ascii="Times New Roman" w:hAnsi="Times New Roman" w:cs="Times New Roman"/>
          <w:sz w:val="24"/>
          <w:szCs w:val="24"/>
        </w:rPr>
        <w:fldChar w:fldCharType="begin" w:fldLock="1"/>
      </w:r>
      <w:r w:rsidR="005F732F">
        <w:rPr>
          <w:rFonts w:ascii="Times New Roman" w:hAnsi="Times New Roman" w:cs="Times New Roman"/>
          <w:sz w:val="24"/>
          <w:szCs w:val="24"/>
        </w:rPr>
        <w:instrText>ADDIN CSL_CITATION {"citationItems":[{"id":"ITEM-1","itemData":{"ISBN":"9789241572408","abstract":"Risk assessment and its role in risk analysis -- Chemical characterization, analytical methods and the development of specifications -- Hazard identification and characterization: toxicology and human studies -- Dose-response assessment and derivation of health-based guidance values -- Dietary exposure assessment of chemicals in food -- Risk characterization -- Maximum residue limits for pesticides and veterinary drugs -- Principles related to specific groups of substances.","author":[{"dropping-particle":"","family":"WHO/FAO","given":"","non-dropping-particle":"","parse-names":false,"suffix":""}],"container-title":"International Journal of Environmental Studies","id":"ITEM-1","issued":{"date-parts":[["2009"]]},"page":"1-7","title":"Principles and Methods for the Risk Assessment of Chemicals in Food","type":"article-journal"},"uris":["http://www.mendeley.com/documents/?uuid=cc717f57-46e2-4322-bebb-9a96de9961e6"]}],"mendeley":{"formattedCitation":"(WHO/FAO, 2009)","plainTextFormattedCitation":"(WHO/FAO, 2009)","previouslyFormattedCitation":"(WHO/FAO, 2009)"},"properties":{"noteIndex":0},"schema":"https://github.com/citation-style-language/schema/raw/master/csl-citation.json"}</w:instrText>
      </w:r>
      <w:r w:rsidR="005F732F">
        <w:rPr>
          <w:rFonts w:ascii="Times New Roman" w:hAnsi="Times New Roman" w:cs="Times New Roman"/>
          <w:sz w:val="24"/>
          <w:szCs w:val="24"/>
        </w:rPr>
        <w:fldChar w:fldCharType="separate"/>
      </w:r>
      <w:r w:rsidR="005F732F" w:rsidRPr="00BA6A46">
        <w:rPr>
          <w:rFonts w:ascii="Times New Roman" w:hAnsi="Times New Roman" w:cs="Times New Roman"/>
          <w:noProof/>
          <w:sz w:val="24"/>
          <w:szCs w:val="24"/>
        </w:rPr>
        <w:t>(WHO/FAO, 2009)</w:t>
      </w:r>
      <w:r w:rsidR="005F732F">
        <w:rPr>
          <w:rFonts w:ascii="Times New Roman" w:hAnsi="Times New Roman" w:cs="Times New Roman"/>
          <w:sz w:val="24"/>
          <w:szCs w:val="24"/>
        </w:rPr>
        <w:fldChar w:fldCharType="end"/>
      </w:r>
      <w:r w:rsidRPr="00921701">
        <w:rPr>
          <w:rFonts w:ascii="Times New Roman" w:hAnsi="Times New Roman" w:cs="Times New Roman"/>
          <w:sz w:val="24"/>
          <w:szCs w:val="24"/>
        </w:rPr>
        <w:t xml:space="preserve">. </w:t>
      </w:r>
      <w:r w:rsidR="00F260C7" w:rsidRPr="00F260C7">
        <w:rPr>
          <w:rFonts w:ascii="Times New Roman" w:hAnsi="Times New Roman" w:cs="Times New Roman"/>
          <w:sz w:val="24"/>
          <w:szCs w:val="24"/>
        </w:rPr>
        <w:t xml:space="preserve">A detailed description of data processing steps, equations used, and R code implementation </w:t>
      </w:r>
      <w:r w:rsidR="00F260C7">
        <w:rPr>
          <w:rFonts w:ascii="Times New Roman" w:hAnsi="Times New Roman" w:cs="Times New Roman"/>
          <w:sz w:val="24"/>
          <w:szCs w:val="24"/>
        </w:rPr>
        <w:t xml:space="preserve">are </w:t>
      </w:r>
      <w:r w:rsidR="00F260C7" w:rsidRPr="00F260C7">
        <w:rPr>
          <w:rFonts w:ascii="Times New Roman" w:hAnsi="Times New Roman" w:cs="Times New Roman"/>
          <w:sz w:val="24"/>
          <w:szCs w:val="24"/>
        </w:rPr>
        <w:t>provided in SI Section 5.</w:t>
      </w:r>
    </w:p>
    <w:p w14:paraId="55C2C051" w14:textId="77777777" w:rsidR="00EA3E98" w:rsidRDefault="009C30C9" w:rsidP="009C30C9">
      <w:pPr>
        <w:spacing w:line="360" w:lineRule="auto"/>
        <w:jc w:val="both"/>
        <w:rPr>
          <w:rFonts w:ascii="Times New Roman" w:hAnsi="Times New Roman" w:cs="Times New Roman"/>
          <w:sz w:val="24"/>
          <w:szCs w:val="24"/>
        </w:rPr>
      </w:pPr>
      <w:r w:rsidRPr="009C30C9">
        <w:rPr>
          <w:rFonts w:ascii="Times New Roman" w:hAnsi="Times New Roman" w:cs="Times New Roman"/>
          <w:sz w:val="24"/>
          <w:szCs w:val="24"/>
        </w:rPr>
        <w:t>Briefly, we calculated the Estimated Daily Intake (EDI) by combining meta-analytic residue levels</w:t>
      </w:r>
      <w:r>
        <w:rPr>
          <w:rFonts w:ascii="Times New Roman" w:hAnsi="Times New Roman" w:cs="Times New Roman"/>
          <w:sz w:val="24"/>
          <w:szCs w:val="24"/>
        </w:rPr>
        <w:t xml:space="preserve"> (n=251)</w:t>
      </w:r>
      <w:r w:rsidRPr="009C30C9">
        <w:rPr>
          <w:rFonts w:ascii="Times New Roman" w:hAnsi="Times New Roman" w:cs="Times New Roman"/>
          <w:sz w:val="24"/>
          <w:szCs w:val="24"/>
        </w:rPr>
        <w:t xml:space="preserve"> with Ethiopian-specific food consumption rates, adjusted for adult body weight (SI Section 5.3). Non-cancer risk was quantified using the Hazard Quotient (HQ), defined as the ratio of EDI to a chronic Toxicological Reference Value (TRV). Cancer risk was assessed using the Lifetime Cancer Risk (LCR), calculated by multiplying the EDI by the Oral Slope Factor (OSF).</w:t>
      </w:r>
      <w:r>
        <w:rPr>
          <w:rFonts w:ascii="Times New Roman" w:hAnsi="Times New Roman" w:cs="Times New Roman"/>
          <w:sz w:val="24"/>
          <w:szCs w:val="24"/>
        </w:rPr>
        <w:t xml:space="preserve"> </w:t>
      </w:r>
      <w:r w:rsidRPr="009C30C9">
        <w:rPr>
          <w:rFonts w:ascii="Times New Roman" w:hAnsi="Times New Roman" w:cs="Times New Roman"/>
          <w:sz w:val="24"/>
          <w:szCs w:val="24"/>
        </w:rPr>
        <w:t xml:space="preserve">TRVs were obtained from the Acceptable Daily Intake (ADI) </w:t>
      </w:r>
      <w:r>
        <w:rPr>
          <w:rFonts w:ascii="Times New Roman" w:hAnsi="Times New Roman" w:cs="Times New Roman"/>
          <w:sz w:val="24"/>
          <w:szCs w:val="24"/>
        </w:rPr>
        <w:t xml:space="preserve">or </w:t>
      </w:r>
      <w:r w:rsidRPr="009C30C9">
        <w:rPr>
          <w:rFonts w:ascii="Times New Roman" w:hAnsi="Times New Roman" w:cs="Times New Roman"/>
          <w:sz w:val="24"/>
          <w:szCs w:val="24"/>
        </w:rPr>
        <w:t xml:space="preserve">Reference Dose (RfD) </w:t>
      </w:r>
      <w:r>
        <w:rPr>
          <w:rFonts w:ascii="Times New Roman" w:hAnsi="Times New Roman" w:cs="Times New Roman"/>
          <w:sz w:val="24"/>
          <w:szCs w:val="24"/>
        </w:rPr>
        <w:t xml:space="preserve">retrieved from EFSA or IRIS </w:t>
      </w:r>
      <w:r w:rsidRPr="009C30C9">
        <w:rPr>
          <w:rFonts w:ascii="Times New Roman" w:hAnsi="Times New Roman" w:cs="Times New Roman"/>
          <w:sz w:val="24"/>
          <w:szCs w:val="24"/>
        </w:rPr>
        <w:t xml:space="preserve">database, while OSF values were primarily sourced from IRIS. Food consumption data for Ethiopian adults were derived from national dietary surveys encompassing 20,932 individual dietary records </w:t>
      </w:r>
      <w:r w:rsidR="003075BA" w:rsidRPr="002042E6">
        <w:rPr>
          <w:rFonts w:ascii="Times New Roman" w:hAnsi="Times New Roman" w:cs="Times New Roman"/>
          <w:sz w:val="24"/>
          <w:szCs w:val="24"/>
        </w:rPr>
        <w:fldChar w:fldCharType="begin" w:fldLock="1"/>
      </w:r>
      <w:r w:rsidR="00FE22B9">
        <w:rPr>
          <w:rFonts w:ascii="Times New Roman" w:hAnsi="Times New Roman" w:cs="Times New Roman"/>
          <w:sz w:val="24"/>
          <w:szCs w:val="24"/>
        </w:rPr>
        <w:instrText>ADDIN CSL_CITATION {"citationItems":[{"id":"ITEM-1","itemData":{"DOI":"10.48529/K739-C548","author":[{"dropping-particle":"","family":"CSA","given":"","non-dropping-particle":"","parse-names":false,"suffix":""}],"id":"ITEM-1","issue":"October 2012","issued":{"date-parts":[["2020"]]},"page":"1-4","publisher":"World Bank, Development Data Group","title":"Socioeconomic Survey 2018-2019 [Data set]","type":"article"},"uris":["http://www.mendeley.com/documents/?uuid=ea201e3c-668a-42b6-b2b0-8f7217f31abe"]}],"mendeley":{"formattedCitation":"(CSA, 2020)","plainTextFormattedCitation":"(CSA, 2020)","previouslyFormattedCitation":"(CSA, 2020)"},"properties":{"noteIndex":0},"schema":"https://github.com/citation-style-language/schema/raw/master/csl-citation.json"}</w:instrText>
      </w:r>
      <w:r w:rsidR="003075BA" w:rsidRPr="002042E6">
        <w:rPr>
          <w:rFonts w:ascii="Times New Roman" w:hAnsi="Times New Roman" w:cs="Times New Roman"/>
          <w:sz w:val="24"/>
          <w:szCs w:val="24"/>
        </w:rPr>
        <w:fldChar w:fldCharType="separate"/>
      </w:r>
      <w:r w:rsidR="003075BA" w:rsidRPr="002042E6">
        <w:rPr>
          <w:rFonts w:ascii="Times New Roman" w:hAnsi="Times New Roman" w:cs="Times New Roman"/>
          <w:noProof/>
          <w:sz w:val="24"/>
          <w:szCs w:val="24"/>
        </w:rPr>
        <w:t>(CSA, 2020)</w:t>
      </w:r>
      <w:r w:rsidR="003075BA" w:rsidRPr="002042E6">
        <w:rPr>
          <w:rFonts w:ascii="Times New Roman" w:hAnsi="Times New Roman" w:cs="Times New Roman"/>
          <w:sz w:val="24"/>
          <w:szCs w:val="24"/>
        </w:rPr>
        <w:fldChar w:fldCharType="end"/>
      </w:r>
      <w:r w:rsidRPr="009C30C9">
        <w:rPr>
          <w:rFonts w:ascii="Times New Roman" w:hAnsi="Times New Roman" w:cs="Times New Roman"/>
          <w:sz w:val="24"/>
          <w:szCs w:val="24"/>
        </w:rPr>
        <w:t>, and harmonized to match the residue dataset.</w:t>
      </w:r>
      <w:r w:rsidR="003075BA">
        <w:rPr>
          <w:rFonts w:ascii="Times New Roman" w:hAnsi="Times New Roman" w:cs="Times New Roman"/>
          <w:sz w:val="24"/>
          <w:szCs w:val="24"/>
        </w:rPr>
        <w:t xml:space="preserve"> </w:t>
      </w:r>
    </w:p>
    <w:p w14:paraId="092E2133" w14:textId="02D8E480" w:rsidR="009C30C9" w:rsidRDefault="009C30C9" w:rsidP="009C30C9">
      <w:pPr>
        <w:spacing w:line="360" w:lineRule="auto"/>
        <w:jc w:val="both"/>
        <w:rPr>
          <w:rFonts w:ascii="Times New Roman" w:hAnsi="Times New Roman" w:cs="Times New Roman"/>
          <w:sz w:val="24"/>
          <w:szCs w:val="24"/>
        </w:rPr>
      </w:pPr>
      <w:r w:rsidRPr="009C30C9">
        <w:rPr>
          <w:rFonts w:ascii="Times New Roman" w:hAnsi="Times New Roman" w:cs="Times New Roman"/>
          <w:sz w:val="24"/>
          <w:szCs w:val="24"/>
        </w:rPr>
        <w:t>To incorporate uncertainty and variability in input parameters, we implemented Monte Carlo simulations (n = 10,000 iterations) using Latin Hypercube Sampling (LHS). Residue and food consumption inputs were modeled using log-normal distributions</w:t>
      </w:r>
      <w:r w:rsidR="003075BA">
        <w:rPr>
          <w:rFonts w:ascii="Times New Roman" w:hAnsi="Times New Roman" w:cs="Times New Roman"/>
          <w:sz w:val="24"/>
          <w:szCs w:val="24"/>
        </w:rPr>
        <w:t xml:space="preserve"> and </w:t>
      </w:r>
      <w:r w:rsidRPr="009C30C9">
        <w:rPr>
          <w:rFonts w:ascii="Times New Roman" w:hAnsi="Times New Roman" w:cs="Times New Roman"/>
          <w:sz w:val="24"/>
          <w:szCs w:val="24"/>
        </w:rPr>
        <w:t xml:space="preserve">body weight was modeled as a truncated normal distribution with a mean of 60 kg and </w:t>
      </w:r>
      <w:r w:rsidR="00240ACC">
        <w:rPr>
          <w:rFonts w:ascii="Times New Roman" w:hAnsi="Times New Roman" w:cs="Times New Roman"/>
          <w:sz w:val="24"/>
          <w:szCs w:val="24"/>
        </w:rPr>
        <w:t>SD</w:t>
      </w:r>
      <w:r w:rsidRPr="009C30C9">
        <w:rPr>
          <w:rFonts w:ascii="Times New Roman" w:hAnsi="Times New Roman" w:cs="Times New Roman"/>
          <w:sz w:val="24"/>
          <w:szCs w:val="24"/>
        </w:rPr>
        <w:t xml:space="preserve"> of 6 kg, bounded between 30 and 120 kg.</w:t>
      </w:r>
      <w:r w:rsidR="00240ACC">
        <w:rPr>
          <w:rFonts w:ascii="Times New Roman" w:hAnsi="Times New Roman" w:cs="Times New Roman"/>
          <w:sz w:val="24"/>
          <w:szCs w:val="24"/>
        </w:rPr>
        <w:t xml:space="preserve"> </w:t>
      </w:r>
      <w:r w:rsidR="003075BA">
        <w:rPr>
          <w:rFonts w:ascii="Times New Roman" w:hAnsi="Times New Roman" w:cs="Times New Roman"/>
          <w:sz w:val="24"/>
          <w:szCs w:val="24"/>
        </w:rPr>
        <w:t>Additionally, c</w:t>
      </w:r>
      <w:r w:rsidRPr="009C30C9">
        <w:rPr>
          <w:rFonts w:ascii="Times New Roman" w:hAnsi="Times New Roman" w:cs="Times New Roman"/>
          <w:sz w:val="24"/>
          <w:szCs w:val="24"/>
        </w:rPr>
        <w:t xml:space="preserve">umulative non-cancer risk was estimated by summing HQs across individual pesticides. We also evaluated the relative contributions of different food groups and pesticide use categories to total daily intake. Finally, to assess regulatory compliance, we compared observed residue </w:t>
      </w:r>
      <w:r w:rsidR="003075BA">
        <w:rPr>
          <w:rFonts w:ascii="Times New Roman" w:hAnsi="Times New Roman" w:cs="Times New Roman"/>
          <w:sz w:val="24"/>
          <w:szCs w:val="24"/>
        </w:rPr>
        <w:t>levels</w:t>
      </w:r>
      <w:r w:rsidRPr="009C30C9">
        <w:rPr>
          <w:rFonts w:ascii="Times New Roman" w:hAnsi="Times New Roman" w:cs="Times New Roman"/>
          <w:sz w:val="24"/>
          <w:szCs w:val="24"/>
        </w:rPr>
        <w:t xml:space="preserve"> (n=251) against MRLs obtained from both the </w:t>
      </w:r>
      <w:r w:rsidR="003075BA">
        <w:rPr>
          <w:rFonts w:ascii="Times New Roman" w:hAnsi="Times New Roman" w:cs="Times New Roman"/>
          <w:sz w:val="24"/>
          <w:szCs w:val="24"/>
        </w:rPr>
        <w:t>EU and</w:t>
      </w:r>
      <w:r w:rsidRPr="009C30C9">
        <w:rPr>
          <w:rFonts w:ascii="Times New Roman" w:hAnsi="Times New Roman" w:cs="Times New Roman"/>
          <w:sz w:val="24"/>
          <w:szCs w:val="24"/>
        </w:rPr>
        <w:t xml:space="preserve"> US databases.</w:t>
      </w:r>
    </w:p>
    <w:p w14:paraId="4AC7FEFC" w14:textId="1250CE08" w:rsidR="00A44AE1" w:rsidRDefault="00A44AE1" w:rsidP="009C30C9">
      <w:pPr>
        <w:spacing w:line="360" w:lineRule="auto"/>
        <w:jc w:val="both"/>
        <w:rPr>
          <w:rFonts w:ascii="Times New Roman" w:hAnsi="Times New Roman" w:cs="Times New Roman"/>
          <w:sz w:val="24"/>
          <w:szCs w:val="24"/>
        </w:rPr>
      </w:pPr>
      <w:r w:rsidRPr="00A44AE1">
        <w:rPr>
          <w:rFonts w:ascii="Times New Roman" w:hAnsi="Times New Roman" w:cs="Times New Roman"/>
          <w:sz w:val="24"/>
          <w:szCs w:val="24"/>
        </w:rPr>
        <w:lastRenderedPageBreak/>
        <w:t>The results of the probabilistic risk assessments were summarized using descriptive statistics, including the 5th, 50th (median), and 95th percentiles, as well as the mean and maximum values of the simulated HQ and LCR distributions. The percentage of simulations exceeding the risk thresholds (HQ &gt; 1 for non-cancer risk and LCR &gt; 10−4 for cancer risk) was also calculated.</w:t>
      </w:r>
    </w:p>
    <w:p w14:paraId="02F15EC3" w14:textId="6C6B95BE" w:rsidR="00976D59" w:rsidRPr="00976D59" w:rsidRDefault="00976D59" w:rsidP="00976D59">
      <w:pPr>
        <w:pStyle w:val="Heading2"/>
        <w:numPr>
          <w:ilvl w:val="1"/>
          <w:numId w:val="11"/>
        </w:numPr>
      </w:pPr>
      <w:r w:rsidRPr="00976D59">
        <w:t>Software and Reproducibility</w:t>
      </w:r>
    </w:p>
    <w:p w14:paraId="0D02D6BB" w14:textId="04DFEF84" w:rsidR="00976D59" w:rsidRDefault="00976D59" w:rsidP="009C30C9">
      <w:pPr>
        <w:spacing w:line="360" w:lineRule="auto"/>
        <w:jc w:val="both"/>
        <w:rPr>
          <w:rFonts w:ascii="Times New Roman" w:hAnsi="Times New Roman" w:cs="Times New Roman"/>
          <w:sz w:val="24"/>
          <w:szCs w:val="24"/>
        </w:rPr>
      </w:pPr>
      <w:r w:rsidRPr="00976D59">
        <w:rPr>
          <w:rFonts w:ascii="Times New Roman" w:hAnsi="Times New Roman" w:cs="Times New Roman"/>
          <w:sz w:val="24"/>
          <w:szCs w:val="24"/>
        </w:rPr>
        <w:t>All analyses were implemented in R (version 4.</w:t>
      </w:r>
      <w:r w:rsidR="00940CC7">
        <w:rPr>
          <w:rFonts w:ascii="Times New Roman" w:hAnsi="Times New Roman" w:cs="Times New Roman"/>
          <w:sz w:val="24"/>
          <w:szCs w:val="24"/>
        </w:rPr>
        <w:t>4</w:t>
      </w:r>
      <w:r w:rsidRPr="00976D59">
        <w:rPr>
          <w:rFonts w:ascii="Times New Roman" w:hAnsi="Times New Roman" w:cs="Times New Roman"/>
          <w:sz w:val="24"/>
          <w:szCs w:val="24"/>
        </w:rPr>
        <w:t>.</w:t>
      </w:r>
      <w:r w:rsidR="00940CC7">
        <w:rPr>
          <w:rFonts w:ascii="Times New Roman" w:hAnsi="Times New Roman" w:cs="Times New Roman"/>
          <w:sz w:val="24"/>
          <w:szCs w:val="24"/>
        </w:rPr>
        <w:t>2</w:t>
      </w:r>
      <w:r w:rsidR="00C24EC5">
        <w:rPr>
          <w:rFonts w:ascii="Times New Roman" w:hAnsi="Times New Roman" w:cs="Times New Roman"/>
          <w:sz w:val="24"/>
          <w:szCs w:val="24"/>
        </w:rPr>
        <w:t xml:space="preserve">; </w:t>
      </w:r>
      <w:hyperlink r:id="rId9" w:history="1">
        <w:r w:rsidR="00C24EC5" w:rsidRPr="00AF5191">
          <w:rPr>
            <w:rStyle w:val="Hyperlink"/>
            <w:rFonts w:ascii="Times New Roman" w:hAnsi="Times New Roman" w:cs="Times New Roman"/>
            <w:sz w:val="24"/>
            <w:szCs w:val="24"/>
          </w:rPr>
          <w:t>https://www.r-project.org/</w:t>
        </w:r>
      </w:hyperlink>
      <w:r w:rsidRPr="00976D59">
        <w:rPr>
          <w:rFonts w:ascii="Times New Roman" w:hAnsi="Times New Roman" w:cs="Times New Roman"/>
          <w:sz w:val="24"/>
          <w:szCs w:val="24"/>
        </w:rPr>
        <w:t>).</w:t>
      </w:r>
      <w:r w:rsidR="00C24EC5">
        <w:rPr>
          <w:rFonts w:ascii="Times New Roman" w:hAnsi="Times New Roman" w:cs="Times New Roman"/>
          <w:sz w:val="24"/>
          <w:szCs w:val="24"/>
        </w:rPr>
        <w:t xml:space="preserve"> </w:t>
      </w:r>
      <w:r w:rsidRPr="00976D59">
        <w:rPr>
          <w:rFonts w:ascii="Times New Roman" w:hAnsi="Times New Roman" w:cs="Times New Roman"/>
          <w:sz w:val="24"/>
          <w:szCs w:val="24"/>
        </w:rPr>
        <w:t>Source data, including extracted datasets and R scripts with annotated steps, are available at [</w:t>
      </w:r>
      <w:r w:rsidR="00940CC7">
        <w:rPr>
          <w:rFonts w:ascii="Times New Roman" w:hAnsi="Times New Roman" w:cs="Times New Roman"/>
          <w:sz w:val="24"/>
          <w:szCs w:val="24"/>
        </w:rPr>
        <w:t>xx</w:t>
      </w:r>
      <w:r w:rsidRPr="00976D59">
        <w:rPr>
          <w:rFonts w:ascii="Times New Roman" w:hAnsi="Times New Roman" w:cs="Times New Roman"/>
          <w:sz w:val="24"/>
          <w:szCs w:val="24"/>
        </w:rPr>
        <w:t xml:space="preserve">] </w:t>
      </w:r>
      <w:r w:rsidR="00940CC7">
        <w:rPr>
          <w:rFonts w:ascii="Times New Roman" w:hAnsi="Times New Roman" w:cs="Times New Roman"/>
          <w:sz w:val="24"/>
          <w:szCs w:val="24"/>
        </w:rPr>
        <w:t>and also, summarized in S</w:t>
      </w:r>
      <w:r w:rsidR="005A249D">
        <w:rPr>
          <w:rFonts w:ascii="Times New Roman" w:hAnsi="Times New Roman" w:cs="Times New Roman"/>
          <w:sz w:val="24"/>
          <w:szCs w:val="24"/>
        </w:rPr>
        <w:t xml:space="preserve">upplementary </w:t>
      </w:r>
      <w:r w:rsidR="00940CC7">
        <w:rPr>
          <w:rFonts w:ascii="Times New Roman" w:hAnsi="Times New Roman" w:cs="Times New Roman"/>
          <w:sz w:val="24"/>
          <w:szCs w:val="24"/>
        </w:rPr>
        <w:t>I</w:t>
      </w:r>
      <w:r w:rsidR="005A249D">
        <w:rPr>
          <w:rFonts w:ascii="Times New Roman" w:hAnsi="Times New Roman" w:cs="Times New Roman"/>
          <w:sz w:val="24"/>
          <w:szCs w:val="24"/>
        </w:rPr>
        <w:t>nformation file.</w:t>
      </w:r>
    </w:p>
    <w:p w14:paraId="3423B882" w14:textId="0C52C84A" w:rsidR="0042515D" w:rsidRPr="002042E6" w:rsidRDefault="0042515D" w:rsidP="00AC0D5A">
      <w:pPr>
        <w:pStyle w:val="Heading1"/>
        <w:numPr>
          <w:ilvl w:val="0"/>
          <w:numId w:val="11"/>
        </w:numPr>
        <w:jc w:val="both"/>
        <w:rPr>
          <w:rFonts w:cs="Times New Roman"/>
          <w:szCs w:val="24"/>
          <w:lang w:val="en-US"/>
        </w:rPr>
      </w:pPr>
      <w:r w:rsidRPr="002042E6">
        <w:rPr>
          <w:rFonts w:cs="Times New Roman"/>
          <w:szCs w:val="24"/>
          <w:lang w:val="en-US"/>
        </w:rPr>
        <w:t>Results</w:t>
      </w:r>
      <w:r w:rsidR="00A93C8D" w:rsidRPr="002042E6">
        <w:rPr>
          <w:rFonts w:cs="Times New Roman"/>
          <w:szCs w:val="24"/>
          <w:lang w:val="en-US"/>
        </w:rPr>
        <w:t xml:space="preserve"> and Discussion</w:t>
      </w:r>
    </w:p>
    <w:p w14:paraId="497CF256" w14:textId="7621A162" w:rsidR="006F12B9" w:rsidRPr="002042E6" w:rsidRDefault="006F12B9" w:rsidP="00AC0D5A">
      <w:pPr>
        <w:pStyle w:val="Heading2"/>
        <w:numPr>
          <w:ilvl w:val="1"/>
          <w:numId w:val="11"/>
        </w:numPr>
      </w:pPr>
      <w:r w:rsidRPr="002042E6">
        <w:t>Dataset Characteristics</w:t>
      </w:r>
    </w:p>
    <w:p w14:paraId="19544631" w14:textId="3B1535E3" w:rsidR="003F6C50" w:rsidRPr="003F6C50" w:rsidRDefault="003F6C50" w:rsidP="003F6C50">
      <w:pPr>
        <w:spacing w:line="360" w:lineRule="auto"/>
        <w:jc w:val="both"/>
        <w:rPr>
          <w:rFonts w:ascii="Times New Roman" w:hAnsi="Times New Roman" w:cs="Times New Roman"/>
          <w:sz w:val="24"/>
          <w:szCs w:val="24"/>
        </w:rPr>
      </w:pPr>
      <w:r w:rsidRPr="003F6C50">
        <w:rPr>
          <w:rFonts w:ascii="Times New Roman" w:hAnsi="Times New Roman" w:cs="Times New Roman"/>
          <w:sz w:val="24"/>
          <w:szCs w:val="24"/>
        </w:rPr>
        <w:t>The</w:t>
      </w:r>
      <w:r>
        <w:rPr>
          <w:rFonts w:ascii="Times New Roman" w:hAnsi="Times New Roman" w:cs="Times New Roman"/>
          <w:sz w:val="24"/>
          <w:szCs w:val="24"/>
        </w:rPr>
        <w:t xml:space="preserve"> compiled</w:t>
      </w:r>
      <w:r w:rsidRPr="003F6C50">
        <w:rPr>
          <w:rFonts w:ascii="Times New Roman" w:hAnsi="Times New Roman" w:cs="Times New Roman"/>
          <w:sz w:val="24"/>
          <w:szCs w:val="24"/>
        </w:rPr>
        <w:t xml:space="preserve"> dataset covers 18 food items across 8 regions, 15 zones, 6 major food groups, and 3 pesticide classes, totaling 2,271 effect sizes from 18,298 samples. Across the 40 included studies, 225 pesticides (including metabolites) were </w:t>
      </w:r>
      <w:r>
        <w:rPr>
          <w:rFonts w:ascii="Times New Roman" w:hAnsi="Times New Roman" w:cs="Times New Roman"/>
          <w:sz w:val="24"/>
          <w:szCs w:val="24"/>
        </w:rPr>
        <w:t>screened</w:t>
      </w:r>
      <w:r w:rsidRPr="003F6C50">
        <w:rPr>
          <w:rFonts w:ascii="Times New Roman" w:hAnsi="Times New Roman" w:cs="Times New Roman"/>
          <w:sz w:val="24"/>
          <w:szCs w:val="24"/>
        </w:rPr>
        <w:t>, of which 87 (39%) were detected in at least one food sample.</w:t>
      </w:r>
      <w:r>
        <w:rPr>
          <w:rFonts w:ascii="Times New Roman" w:hAnsi="Times New Roman" w:cs="Times New Roman"/>
          <w:sz w:val="24"/>
          <w:szCs w:val="24"/>
        </w:rPr>
        <w:t xml:space="preserve"> </w:t>
      </w:r>
      <w:r w:rsidRPr="003F6C50">
        <w:rPr>
          <w:rFonts w:ascii="Times New Roman" w:hAnsi="Times New Roman" w:cs="Times New Roman"/>
          <w:sz w:val="24"/>
          <w:szCs w:val="24"/>
        </w:rPr>
        <w:t>Legacy organochlorine pesticides</w:t>
      </w:r>
      <w:r>
        <w:rPr>
          <w:rFonts w:ascii="Times New Roman" w:hAnsi="Times New Roman" w:cs="Times New Roman"/>
          <w:sz w:val="24"/>
          <w:szCs w:val="24"/>
        </w:rPr>
        <w:t xml:space="preserve">, </w:t>
      </w:r>
      <w:r w:rsidRPr="003F6C50">
        <w:rPr>
          <w:rFonts w:ascii="Times New Roman" w:hAnsi="Times New Roman" w:cs="Times New Roman"/>
          <w:sz w:val="24"/>
          <w:szCs w:val="24"/>
        </w:rPr>
        <w:t>especially DDT</w:t>
      </w:r>
      <w:r>
        <w:rPr>
          <w:rFonts w:ascii="Times New Roman" w:hAnsi="Times New Roman" w:cs="Times New Roman"/>
          <w:sz w:val="24"/>
          <w:szCs w:val="24"/>
        </w:rPr>
        <w:t xml:space="preserve">s </w:t>
      </w:r>
      <w:r w:rsidRPr="003F6C50">
        <w:rPr>
          <w:rFonts w:ascii="Times New Roman" w:hAnsi="Times New Roman" w:cs="Times New Roman"/>
          <w:sz w:val="24"/>
          <w:szCs w:val="24"/>
        </w:rPr>
        <w:t>(</w:t>
      </w:r>
      <w:r>
        <w:rPr>
          <w:rFonts w:ascii="Times New Roman" w:hAnsi="Times New Roman" w:cs="Times New Roman"/>
          <w:sz w:val="24"/>
          <w:szCs w:val="24"/>
        </w:rPr>
        <w:t xml:space="preserve">e.g., </w:t>
      </w:r>
      <w:r w:rsidRPr="003F6C50">
        <w:rPr>
          <w:rFonts w:ascii="Times New Roman" w:hAnsi="Times New Roman" w:cs="Times New Roman"/>
          <w:sz w:val="24"/>
          <w:szCs w:val="24"/>
        </w:rPr>
        <w:t>p,p′-DDT, p,p′-DDE, p,p′-DDD), hexachlorocyclohexanes (e.g., α-HCH), and endosulfans (e.g., α-endosulfan, endosulfan-sulfate)</w:t>
      </w:r>
      <w:r>
        <w:rPr>
          <w:rFonts w:ascii="Times New Roman" w:hAnsi="Times New Roman" w:cs="Times New Roman"/>
          <w:sz w:val="24"/>
          <w:szCs w:val="24"/>
        </w:rPr>
        <w:t xml:space="preserve">, </w:t>
      </w:r>
      <w:r w:rsidRPr="003F6C50">
        <w:rPr>
          <w:rFonts w:ascii="Times New Roman" w:hAnsi="Times New Roman" w:cs="Times New Roman"/>
          <w:sz w:val="24"/>
          <w:szCs w:val="24"/>
        </w:rPr>
        <w:t xml:space="preserve">were among the most frequently detected </w:t>
      </w:r>
      <w:r>
        <w:rPr>
          <w:rFonts w:ascii="Times New Roman" w:hAnsi="Times New Roman" w:cs="Times New Roman"/>
          <w:sz w:val="24"/>
          <w:szCs w:val="24"/>
        </w:rPr>
        <w:t>pesticides</w:t>
      </w:r>
      <w:r w:rsidRPr="003F6C50">
        <w:rPr>
          <w:rFonts w:ascii="Times New Roman" w:hAnsi="Times New Roman" w:cs="Times New Roman"/>
          <w:sz w:val="24"/>
          <w:szCs w:val="24"/>
        </w:rPr>
        <w:t>. This aligns with widespread detection of highly hazardous pesticides (HHPs) in food across the Global South (cite).</w:t>
      </w:r>
    </w:p>
    <w:p w14:paraId="108E36A6" w14:textId="3AD340C4" w:rsidR="003F6C50" w:rsidRDefault="003F6C50" w:rsidP="003F6C50">
      <w:pPr>
        <w:spacing w:line="360" w:lineRule="auto"/>
        <w:jc w:val="both"/>
        <w:rPr>
          <w:rFonts w:ascii="Times New Roman" w:hAnsi="Times New Roman" w:cs="Times New Roman"/>
          <w:sz w:val="24"/>
          <w:szCs w:val="24"/>
        </w:rPr>
      </w:pPr>
      <w:r w:rsidRPr="003F6C50">
        <w:rPr>
          <w:rFonts w:ascii="Times New Roman" w:hAnsi="Times New Roman" w:cs="Times New Roman"/>
          <w:sz w:val="24"/>
          <w:szCs w:val="24"/>
        </w:rPr>
        <w:t>Figure 1 summarizes key study attributes, including food group, region, pesticide type, detection status, and analytical method.</w:t>
      </w:r>
      <w:r>
        <w:rPr>
          <w:rFonts w:ascii="Times New Roman" w:hAnsi="Times New Roman" w:cs="Times New Roman"/>
          <w:sz w:val="24"/>
          <w:szCs w:val="24"/>
        </w:rPr>
        <w:t xml:space="preserve"> </w:t>
      </w:r>
      <w:r w:rsidRPr="003F6C50">
        <w:rPr>
          <w:rFonts w:ascii="Times New Roman" w:hAnsi="Times New Roman" w:cs="Times New Roman"/>
          <w:sz w:val="24"/>
          <w:szCs w:val="24"/>
        </w:rPr>
        <w:t>High contributions were observed from vegetables (notably tomato and onion), and from other food</w:t>
      </w:r>
      <w:r>
        <w:rPr>
          <w:rFonts w:ascii="Times New Roman" w:hAnsi="Times New Roman" w:cs="Times New Roman"/>
          <w:sz w:val="24"/>
          <w:szCs w:val="24"/>
        </w:rPr>
        <w:t xml:space="preserve"> groups</w:t>
      </w:r>
      <w:r w:rsidRPr="003F6C50">
        <w:rPr>
          <w:rFonts w:ascii="Times New Roman" w:hAnsi="Times New Roman" w:cs="Times New Roman"/>
          <w:sz w:val="24"/>
          <w:szCs w:val="24"/>
        </w:rPr>
        <w:t xml:space="preserve"> like khat</w:t>
      </w:r>
      <w:r>
        <w:rPr>
          <w:rFonts w:ascii="Times New Roman" w:hAnsi="Times New Roman" w:cs="Times New Roman"/>
          <w:sz w:val="24"/>
          <w:szCs w:val="24"/>
        </w:rPr>
        <w:t xml:space="preserve"> </w:t>
      </w:r>
      <w:r w:rsidRPr="003F6C50">
        <w:rPr>
          <w:rFonts w:ascii="Times New Roman" w:hAnsi="Times New Roman" w:cs="Times New Roman"/>
          <w:sz w:val="24"/>
          <w:szCs w:val="24"/>
        </w:rPr>
        <w:t>and honey. Regionally, most samples originated from the Rift Valley (33.8%) and Southwest (25.7%). Gas chromatography–mass spectrometry (GC–MS) was the dominant analytical technique (47.1%), followed by GC–electron capture detection (GC–ECD, 31.2%) and LC–MS/MS (11.4%).</w:t>
      </w:r>
      <w:r>
        <w:rPr>
          <w:rFonts w:ascii="Times New Roman" w:hAnsi="Times New Roman" w:cs="Times New Roman"/>
          <w:sz w:val="24"/>
          <w:szCs w:val="24"/>
        </w:rPr>
        <w:t xml:space="preserve"> </w:t>
      </w:r>
      <w:r w:rsidRPr="003F6C50">
        <w:rPr>
          <w:rFonts w:ascii="Times New Roman" w:hAnsi="Times New Roman" w:cs="Times New Roman"/>
          <w:sz w:val="24"/>
          <w:szCs w:val="24"/>
        </w:rPr>
        <w:t>Approximately 41.3% of the residue measurements were reported as non-detects (NDs). However, detection limits (LOD or LOQ) were documented for 93.4% of values, supporting robust treatment of left-censored data.</w:t>
      </w:r>
      <w:r>
        <w:rPr>
          <w:rFonts w:ascii="Times New Roman" w:hAnsi="Times New Roman" w:cs="Times New Roman"/>
          <w:sz w:val="24"/>
          <w:szCs w:val="24"/>
        </w:rPr>
        <w:t xml:space="preserve"> </w:t>
      </w:r>
      <w:r w:rsidRPr="003F6C50">
        <w:rPr>
          <w:rFonts w:ascii="Times New Roman" w:hAnsi="Times New Roman" w:cs="Times New Roman"/>
          <w:sz w:val="24"/>
          <w:szCs w:val="24"/>
        </w:rPr>
        <w:t>Overall, the compiled dataset highlights the complexity and diversity of pesticide contamination in Ethiopian foods and forms a strong foundation for subsequent meta-analyses and risk assessments.</w:t>
      </w:r>
    </w:p>
    <w:p w14:paraId="40D08009" w14:textId="6CC4431E" w:rsidR="000E1802" w:rsidRDefault="000E1802" w:rsidP="003F6C50">
      <w:pPr>
        <w:spacing w:line="360" w:lineRule="auto"/>
        <w:jc w:val="both"/>
        <w:rPr>
          <w:rFonts w:ascii="Times New Roman" w:hAnsi="Times New Roman" w:cs="Times New Roman"/>
          <w:sz w:val="24"/>
          <w:szCs w:val="24"/>
        </w:rPr>
      </w:pPr>
      <w:r w:rsidRPr="000E1802">
        <w:rPr>
          <w:rFonts w:ascii="Times New Roman" w:hAnsi="Times New Roman" w:cs="Times New Roman"/>
          <w:sz w:val="24"/>
          <w:szCs w:val="24"/>
        </w:rPr>
        <w:t>Studies have reported levels of OCPs in food samples using various sample protocols in the past.</w:t>
      </w:r>
      <w:r w:rsidR="0095615D" w:rsidRPr="0095615D">
        <w:t xml:space="preserve"> </w:t>
      </w:r>
      <w:r w:rsidR="0095615D" w:rsidRPr="0095615D">
        <w:rPr>
          <w:rFonts w:ascii="Times New Roman" w:hAnsi="Times New Roman" w:cs="Times New Roman"/>
          <w:sz w:val="24"/>
          <w:szCs w:val="24"/>
        </w:rPr>
        <w:t xml:space="preserve">using a QuEChERS Method EN 15662. The quantification of the OCPs was performed using gas </w:t>
      </w:r>
      <w:r w:rsidR="0095615D" w:rsidRPr="0095615D">
        <w:rPr>
          <w:rFonts w:ascii="Times New Roman" w:hAnsi="Times New Roman" w:cs="Times New Roman"/>
          <w:sz w:val="24"/>
          <w:szCs w:val="24"/>
        </w:rPr>
        <w:lastRenderedPageBreak/>
        <w:t>chromatography-tandem mass spectrometry (GC–MS/MS).</w:t>
      </w:r>
      <w:r w:rsidR="002F0985" w:rsidRPr="002F0985">
        <w:t xml:space="preserve"> </w:t>
      </w:r>
      <w:r w:rsidR="002F0985" w:rsidRPr="002F0985">
        <w:rPr>
          <w:rFonts w:ascii="Times New Roman" w:hAnsi="Times New Roman" w:cs="Times New Roman"/>
          <w:sz w:val="24"/>
          <w:szCs w:val="24"/>
        </w:rPr>
        <w:t>The procedural method was validated by spiking the OCP standard solutions at three fortified levels at 10, 50, and 100 µg/kg wet weight (ww) to the real matrix of fruit and vegetable with good recovery ranging from 75 to 108% with relative standard deviation (RSD) ≤ 11%, and the limits of detection and quantification (LODs and LOQs) were 0.002–0.02 μg/kg and 0.004–0.1 μg/kg ww, respectively.</w:t>
      </w:r>
    </w:p>
    <w:p w14:paraId="19BF034C" w14:textId="74CBC2E9" w:rsidR="0066304E" w:rsidRDefault="0066304E" w:rsidP="003F6C50">
      <w:pPr>
        <w:spacing w:line="360" w:lineRule="auto"/>
        <w:jc w:val="both"/>
        <w:rPr>
          <w:rFonts w:ascii="Times New Roman" w:hAnsi="Times New Roman" w:cs="Times New Roman"/>
          <w:sz w:val="24"/>
          <w:szCs w:val="24"/>
        </w:rPr>
      </w:pPr>
      <w:r w:rsidRPr="0066304E">
        <w:rPr>
          <w:rFonts w:ascii="Times New Roman" w:hAnsi="Times New Roman" w:cs="Times New Roman"/>
          <w:sz w:val="24"/>
          <w:szCs w:val="24"/>
        </w:rPr>
        <w:t>Approximately 41.3% of the unique pesticide measurements were reported as being below the detection limit (non-detects; NDs). Crucially, detection limit information was provided for 93.4% of these measurements. This high rate of reported detection limits is beneficial, as it signifies good reporting practices and allows for robust methodologies to handle the significant left-censorship in the residue data effectively.</w:t>
      </w:r>
    </w:p>
    <w:p w14:paraId="19F67C06" w14:textId="6FE71B8E" w:rsidR="00C014C5" w:rsidRDefault="00C014C5" w:rsidP="003F6C50">
      <w:pPr>
        <w:spacing w:line="360" w:lineRule="auto"/>
        <w:jc w:val="both"/>
        <w:rPr>
          <w:rFonts w:ascii="Times New Roman" w:hAnsi="Times New Roman" w:cs="Times New Roman"/>
          <w:sz w:val="24"/>
          <w:szCs w:val="24"/>
        </w:rPr>
      </w:pPr>
      <w:r w:rsidRPr="00C014C5">
        <w:rPr>
          <w:rFonts w:ascii="Times New Roman" w:hAnsi="Times New Roman" w:cs="Times New Roman"/>
          <w:sz w:val="24"/>
          <w:szCs w:val="24"/>
        </w:rPr>
        <w:t>Among the pesticide types, insecticides were the most frequently detected, primarily in vegetables and other mixed food categories. Geographically, data contribution was diverse, with the Rift Valley and Southwest regions yielding the largest proportion of samples. The most frequently studied pesticides were consistently legacy organochlorine insecticides, including p,p'-DDT, p,p'-DDE, p,p'-DDD, aldrin, alpha-endosulfan, alpha-HCH, o,p'-DDT, heptachlor, endosulfan-sulfate, and trans-chlordane. Their frequent reporting across a high number of studies and effect sizes underscores their persistent environmental presence and continued monitoring. The dataset also encompassed a diverse range of food sources, reflecting comprehensive investigation across various dietary components. The food items most commonly represented included Fish (Meat group, Animal Origin, from 13 studies), Khat (Others group, Others origin, from 8 studies), Tomato (Vegetables group, Plant Origin, from 6 studies), Honey (Others group, Others origin, from 4 studies), and Onion (Vegetables group, Plant Origin, from 4 studies), alongside other commonly studied foods such as Milk, Cabbage, Wheat, Potato, and Drinking water.</w:t>
      </w:r>
    </w:p>
    <w:p w14:paraId="4969731B" w14:textId="75541E8A" w:rsidR="00894FA4" w:rsidRPr="002042E6" w:rsidRDefault="00894FA4" w:rsidP="00835361">
      <w:pPr>
        <w:spacing w:line="360" w:lineRule="auto"/>
        <w:jc w:val="both"/>
        <w:rPr>
          <w:rFonts w:ascii="Times New Roman" w:hAnsi="Times New Roman" w:cs="Times New Roman"/>
          <w:sz w:val="24"/>
          <w:szCs w:val="24"/>
        </w:rPr>
      </w:pPr>
      <w:r w:rsidRPr="002042E6">
        <w:rPr>
          <w:rFonts w:ascii="Times New Roman" w:hAnsi="Times New Roman" w:cs="Times New Roman"/>
          <w:noProof/>
          <w:sz w:val="24"/>
          <w:szCs w:val="24"/>
        </w:rPr>
        <w:lastRenderedPageBreak/>
        <w:drawing>
          <wp:inline distT="0" distB="0" distL="0" distR="0" wp14:anchorId="372484E7" wp14:editId="726B6CCE">
            <wp:extent cx="5607050" cy="3073095"/>
            <wp:effectExtent l="0" t="0" r="0" b="0"/>
            <wp:docPr id="62725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50415" name=""/>
                    <pic:cNvPicPr/>
                  </pic:nvPicPr>
                  <pic:blipFill>
                    <a:blip r:embed="rId10"/>
                    <a:stretch>
                      <a:fillRect/>
                    </a:stretch>
                  </pic:blipFill>
                  <pic:spPr>
                    <a:xfrm>
                      <a:off x="0" y="0"/>
                      <a:ext cx="5613296" cy="3076518"/>
                    </a:xfrm>
                    <a:prstGeom prst="rect">
                      <a:avLst/>
                    </a:prstGeom>
                  </pic:spPr>
                </pic:pic>
              </a:graphicData>
            </a:graphic>
          </wp:inline>
        </w:drawing>
      </w:r>
    </w:p>
    <w:p w14:paraId="0496C1E1" w14:textId="1A72DD6F" w:rsidR="008103CA" w:rsidRPr="002042E6" w:rsidRDefault="008103CA"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Figure 1: Sankey Diagram illustrating the flow and distribution of pesticide residue detection characteristics across study attributes in Ethiopia.</w:t>
      </w:r>
    </w:p>
    <w:p w14:paraId="5E0B2BA7" w14:textId="04146A7A" w:rsidR="004E54FF" w:rsidRPr="002042E6" w:rsidRDefault="007235F5" w:rsidP="007235F5">
      <w:pPr>
        <w:pStyle w:val="Heading2"/>
        <w:numPr>
          <w:ilvl w:val="1"/>
          <w:numId w:val="11"/>
        </w:numPr>
      </w:pPr>
      <w:r>
        <w:t xml:space="preserve">National Level </w:t>
      </w:r>
      <w:r w:rsidR="008E70BC" w:rsidRPr="002042E6">
        <w:t xml:space="preserve">Pesticide Residue </w:t>
      </w:r>
      <w:r>
        <w:t>Concentration</w:t>
      </w:r>
    </w:p>
    <w:p w14:paraId="78326A80" w14:textId="2E433AA9" w:rsidR="00CC1F7F" w:rsidRDefault="007A62E2" w:rsidP="008353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national scale pesticide residue in Ethiopian food was found to be </w:t>
      </w:r>
      <w:r w:rsidR="008921EC" w:rsidRPr="002042E6">
        <w:rPr>
          <w:rFonts w:ascii="Times New Roman" w:hAnsi="Times New Roman" w:cs="Times New Roman"/>
          <w:sz w:val="24"/>
          <w:szCs w:val="24"/>
        </w:rPr>
        <w:t>7.05 µg/kg (95% CI: 4.34,11.46 µg/kg; p &lt; 0.0001) (Table 1).</w:t>
      </w:r>
      <w:r w:rsidR="00251E6D" w:rsidRPr="00251E6D">
        <w:rPr>
          <w:rFonts w:ascii="Times New Roman" w:hAnsi="Times New Roman" w:cs="Times New Roman"/>
          <w:sz w:val="24"/>
          <w:szCs w:val="24"/>
        </w:rPr>
        <w:t xml:space="preserve"> </w:t>
      </w:r>
      <w:r w:rsidR="00ED13F1" w:rsidRPr="002042E6">
        <w:rPr>
          <w:rFonts w:ascii="Times New Roman" w:hAnsi="Times New Roman" w:cs="Times New Roman"/>
          <w:sz w:val="24"/>
          <w:szCs w:val="24"/>
        </w:rPr>
        <w:t>Significant heterogeneity was also observed (dominated by between-study heterogeneity, ~53%)</w:t>
      </w:r>
      <w:r w:rsidR="00ED13F1">
        <w:rPr>
          <w:rFonts w:ascii="Times New Roman" w:hAnsi="Times New Roman" w:cs="Times New Roman"/>
          <w:sz w:val="24"/>
          <w:szCs w:val="24"/>
        </w:rPr>
        <w:t xml:space="preserve">, </w:t>
      </w:r>
      <w:r w:rsidR="008921EC" w:rsidRPr="002042E6">
        <w:rPr>
          <w:rFonts w:ascii="Times New Roman" w:hAnsi="Times New Roman" w:cs="Times New Roman"/>
          <w:sz w:val="24"/>
          <w:szCs w:val="24"/>
        </w:rPr>
        <w:t>emphasizes that pesticide contamination is not uniform and is influenced by considerable variability across different contexts.</w:t>
      </w:r>
      <w:r w:rsidR="00ED13F1">
        <w:rPr>
          <w:rFonts w:ascii="Times New Roman" w:hAnsi="Times New Roman" w:cs="Times New Roman"/>
          <w:sz w:val="24"/>
          <w:szCs w:val="24"/>
        </w:rPr>
        <w:t xml:space="preserve"> </w:t>
      </w:r>
      <w:r w:rsidR="001E4AB4">
        <w:rPr>
          <w:rFonts w:ascii="Times New Roman" w:hAnsi="Times New Roman" w:cs="Times New Roman"/>
          <w:sz w:val="24"/>
          <w:szCs w:val="24"/>
        </w:rPr>
        <w:t xml:space="preserve">The highest concentration was found in </w:t>
      </w:r>
      <w:r w:rsidR="001E4AB4" w:rsidRPr="002042E6">
        <w:rPr>
          <w:rFonts w:ascii="Times New Roman" w:hAnsi="Times New Roman" w:cs="Times New Roman"/>
          <w:sz w:val="24"/>
          <w:szCs w:val="24"/>
        </w:rPr>
        <w:t xml:space="preserve">fungicides (14.37 µg/kg; 95% CI: 2.54,81.34 µg/kg; p=0.0175) </w:t>
      </w:r>
      <w:r w:rsidR="001E4AB4">
        <w:rPr>
          <w:rFonts w:ascii="Times New Roman" w:hAnsi="Times New Roman" w:cs="Times New Roman"/>
          <w:sz w:val="24"/>
          <w:szCs w:val="24"/>
        </w:rPr>
        <w:t>followed by</w:t>
      </w:r>
      <w:r w:rsidR="001E4AB4" w:rsidRPr="002042E6">
        <w:rPr>
          <w:rFonts w:ascii="Times New Roman" w:hAnsi="Times New Roman" w:cs="Times New Roman"/>
          <w:sz w:val="24"/>
          <w:szCs w:val="24"/>
        </w:rPr>
        <w:t xml:space="preserve"> herbicides (14.91 µg/kg; 95% CI: 2.96,75.07 µg/kg; p=0.0103)</w:t>
      </w:r>
      <w:r w:rsidR="001E4AB4">
        <w:rPr>
          <w:rFonts w:ascii="Times New Roman" w:hAnsi="Times New Roman" w:cs="Times New Roman"/>
          <w:sz w:val="24"/>
          <w:szCs w:val="24"/>
        </w:rPr>
        <w:t xml:space="preserve"> and </w:t>
      </w:r>
      <w:r w:rsidR="001E4AB4" w:rsidRPr="002042E6">
        <w:rPr>
          <w:rFonts w:ascii="Times New Roman" w:hAnsi="Times New Roman" w:cs="Times New Roman"/>
          <w:sz w:val="24"/>
          <w:szCs w:val="24"/>
        </w:rPr>
        <w:t>insecticides (6.81 µg/kg; 95% CI: 4.13,11.20 µg/kg; p &lt; 0.0001). This pattern might suggest differences in their application rates, persistence characteristics, or metabolic fate within food matrices.</w:t>
      </w:r>
      <w:r w:rsidR="001E4AB4">
        <w:rPr>
          <w:rFonts w:ascii="Times New Roman" w:hAnsi="Times New Roman" w:cs="Times New Roman"/>
          <w:sz w:val="24"/>
          <w:szCs w:val="24"/>
        </w:rPr>
        <w:t xml:space="preserve"> </w:t>
      </w:r>
      <w:r w:rsidR="00714071">
        <w:rPr>
          <w:rFonts w:ascii="Times New Roman" w:hAnsi="Times New Roman" w:cs="Times New Roman"/>
          <w:sz w:val="24"/>
          <w:szCs w:val="24"/>
        </w:rPr>
        <w:t xml:space="preserve">Similarly, food group subgroup analysis </w:t>
      </w:r>
      <w:r w:rsidR="00CC1F7F" w:rsidRPr="002042E6">
        <w:rPr>
          <w:rFonts w:ascii="Times New Roman" w:hAnsi="Times New Roman" w:cs="Times New Roman"/>
          <w:sz w:val="24"/>
          <w:szCs w:val="24"/>
        </w:rPr>
        <w:t>show</w:t>
      </w:r>
      <w:r w:rsidR="00714071">
        <w:rPr>
          <w:rFonts w:ascii="Times New Roman" w:hAnsi="Times New Roman" w:cs="Times New Roman"/>
          <w:sz w:val="24"/>
          <w:szCs w:val="24"/>
        </w:rPr>
        <w:t>ed</w:t>
      </w:r>
      <w:r w:rsidR="00CC1F7F" w:rsidRPr="002042E6">
        <w:rPr>
          <w:rFonts w:ascii="Times New Roman" w:hAnsi="Times New Roman" w:cs="Times New Roman"/>
          <w:sz w:val="24"/>
          <w:szCs w:val="24"/>
        </w:rPr>
        <w:t xml:space="preserve"> significant differences in concentrations, where </w:t>
      </w:r>
      <w:r w:rsidR="00714071">
        <w:rPr>
          <w:rFonts w:ascii="Times New Roman" w:hAnsi="Times New Roman" w:cs="Times New Roman"/>
          <w:sz w:val="24"/>
          <w:szCs w:val="24"/>
        </w:rPr>
        <w:t>m</w:t>
      </w:r>
      <w:r w:rsidR="00CC1F7F" w:rsidRPr="002042E6">
        <w:rPr>
          <w:rFonts w:ascii="Times New Roman" w:hAnsi="Times New Roman" w:cs="Times New Roman"/>
          <w:sz w:val="24"/>
          <w:szCs w:val="24"/>
        </w:rPr>
        <w:t xml:space="preserve">ilk and </w:t>
      </w:r>
      <w:r w:rsidR="00714071">
        <w:rPr>
          <w:rFonts w:ascii="Times New Roman" w:hAnsi="Times New Roman" w:cs="Times New Roman"/>
          <w:sz w:val="24"/>
          <w:szCs w:val="24"/>
        </w:rPr>
        <w:t>o</w:t>
      </w:r>
      <w:r w:rsidR="00CC1F7F" w:rsidRPr="002042E6">
        <w:rPr>
          <w:rFonts w:ascii="Times New Roman" w:hAnsi="Times New Roman" w:cs="Times New Roman"/>
          <w:sz w:val="24"/>
          <w:szCs w:val="24"/>
        </w:rPr>
        <w:t>thers</w:t>
      </w:r>
      <w:r w:rsidR="00714071">
        <w:rPr>
          <w:rFonts w:ascii="Times New Roman" w:hAnsi="Times New Roman" w:cs="Times New Roman"/>
          <w:sz w:val="24"/>
          <w:szCs w:val="24"/>
        </w:rPr>
        <w:t xml:space="preserve"> food groups</w:t>
      </w:r>
      <w:r w:rsidR="00CC1F7F" w:rsidRPr="002042E6">
        <w:rPr>
          <w:rFonts w:ascii="Times New Roman" w:hAnsi="Times New Roman" w:cs="Times New Roman"/>
          <w:sz w:val="24"/>
          <w:szCs w:val="24"/>
        </w:rPr>
        <w:t xml:space="preserve"> (</w:t>
      </w:r>
      <w:r w:rsidR="00714071">
        <w:rPr>
          <w:rFonts w:ascii="Times New Roman" w:hAnsi="Times New Roman" w:cs="Times New Roman"/>
          <w:sz w:val="24"/>
          <w:szCs w:val="24"/>
        </w:rPr>
        <w:t xml:space="preserve">e.g., </w:t>
      </w:r>
      <w:r w:rsidR="00CC1F7F" w:rsidRPr="002042E6">
        <w:rPr>
          <w:rFonts w:ascii="Times New Roman" w:hAnsi="Times New Roman" w:cs="Times New Roman"/>
          <w:sz w:val="24"/>
          <w:szCs w:val="24"/>
        </w:rPr>
        <w:t>honey and khat) appear to have the highest concentrations</w:t>
      </w:r>
      <w:r w:rsidR="00714071">
        <w:rPr>
          <w:rFonts w:ascii="Times New Roman" w:hAnsi="Times New Roman" w:cs="Times New Roman"/>
          <w:sz w:val="24"/>
          <w:szCs w:val="24"/>
        </w:rPr>
        <w:t xml:space="preserve"> and f</w:t>
      </w:r>
      <w:r w:rsidR="00CC1F7F" w:rsidRPr="002042E6">
        <w:rPr>
          <w:rFonts w:ascii="Times New Roman" w:hAnsi="Times New Roman" w:cs="Times New Roman"/>
          <w:sz w:val="24"/>
          <w:szCs w:val="24"/>
        </w:rPr>
        <w:t xml:space="preserve">ruits and </w:t>
      </w:r>
      <w:r w:rsidR="00714071">
        <w:rPr>
          <w:rFonts w:ascii="Times New Roman" w:hAnsi="Times New Roman" w:cs="Times New Roman"/>
          <w:sz w:val="24"/>
          <w:szCs w:val="24"/>
        </w:rPr>
        <w:t>m</w:t>
      </w:r>
      <w:r w:rsidR="00CC1F7F" w:rsidRPr="002042E6">
        <w:rPr>
          <w:rFonts w:ascii="Times New Roman" w:hAnsi="Times New Roman" w:cs="Times New Roman"/>
          <w:sz w:val="24"/>
          <w:szCs w:val="24"/>
        </w:rPr>
        <w:t>eat</w:t>
      </w:r>
      <w:r w:rsidR="00714071">
        <w:rPr>
          <w:rFonts w:ascii="Times New Roman" w:hAnsi="Times New Roman" w:cs="Times New Roman"/>
          <w:sz w:val="24"/>
          <w:szCs w:val="24"/>
        </w:rPr>
        <w:t>s</w:t>
      </w:r>
      <w:r w:rsidR="00CC1F7F" w:rsidRPr="002042E6">
        <w:rPr>
          <w:rFonts w:ascii="Times New Roman" w:hAnsi="Times New Roman" w:cs="Times New Roman"/>
          <w:sz w:val="24"/>
          <w:szCs w:val="24"/>
        </w:rPr>
        <w:t xml:space="preserve"> show comparatively lower </w:t>
      </w:r>
      <w:r w:rsidR="00714071">
        <w:rPr>
          <w:rFonts w:ascii="Times New Roman" w:hAnsi="Times New Roman" w:cs="Times New Roman"/>
          <w:sz w:val="24"/>
          <w:szCs w:val="24"/>
        </w:rPr>
        <w:t>concentrations</w:t>
      </w:r>
      <w:r w:rsidR="00CC1F7F" w:rsidRPr="002042E6">
        <w:rPr>
          <w:rFonts w:ascii="Times New Roman" w:hAnsi="Times New Roman" w:cs="Times New Roman"/>
          <w:sz w:val="24"/>
          <w:szCs w:val="24"/>
        </w:rPr>
        <w:t>.</w:t>
      </w:r>
      <w:r w:rsidR="001E4AB4">
        <w:rPr>
          <w:rFonts w:ascii="Times New Roman" w:hAnsi="Times New Roman" w:cs="Times New Roman"/>
          <w:sz w:val="24"/>
          <w:szCs w:val="24"/>
        </w:rPr>
        <w:t xml:space="preserve"> </w:t>
      </w:r>
      <w:r w:rsidR="001E4AB4" w:rsidRPr="002042E6">
        <w:rPr>
          <w:rFonts w:ascii="Times New Roman" w:hAnsi="Times New Roman" w:cs="Times New Roman"/>
          <w:sz w:val="24"/>
          <w:szCs w:val="24"/>
        </w:rPr>
        <w:t>Despite fruits and vegetables often being common targets for pesticide application</w:t>
      </w:r>
      <w:r w:rsidR="001E4AB4">
        <w:rPr>
          <w:rFonts w:ascii="Times New Roman" w:hAnsi="Times New Roman" w:cs="Times New Roman"/>
          <w:sz w:val="24"/>
          <w:szCs w:val="24"/>
        </w:rPr>
        <w:t xml:space="preserve">, the lower residue level </w:t>
      </w:r>
      <w:r w:rsidR="001E4AB4" w:rsidRPr="002042E6">
        <w:rPr>
          <w:rFonts w:ascii="Times New Roman" w:hAnsi="Times New Roman" w:cs="Times New Roman"/>
          <w:sz w:val="24"/>
          <w:szCs w:val="24"/>
        </w:rPr>
        <w:t>could reflect factors such as post-harvest processing, metabolic degradation of residues within the food matrix, or specific detection methods employed across studies for these categories.</w:t>
      </w:r>
    </w:p>
    <w:p w14:paraId="60675E35" w14:textId="1790C5A3" w:rsidR="00CC1F7F" w:rsidRDefault="001E4AB4" w:rsidP="008353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Overall, </w:t>
      </w:r>
      <w:r w:rsidRPr="002042E6">
        <w:rPr>
          <w:rFonts w:ascii="Times New Roman" w:hAnsi="Times New Roman" w:cs="Times New Roman"/>
          <w:sz w:val="24"/>
          <w:szCs w:val="24"/>
        </w:rPr>
        <w:t>finding</w:t>
      </w:r>
      <w:r>
        <w:rPr>
          <w:rFonts w:ascii="Times New Roman" w:hAnsi="Times New Roman" w:cs="Times New Roman"/>
          <w:sz w:val="24"/>
          <w:szCs w:val="24"/>
        </w:rPr>
        <w:t>s</w:t>
      </w:r>
      <w:r w:rsidRPr="002042E6">
        <w:rPr>
          <w:rFonts w:ascii="Times New Roman" w:hAnsi="Times New Roman" w:cs="Times New Roman"/>
          <w:sz w:val="24"/>
          <w:szCs w:val="24"/>
        </w:rPr>
        <w:t xml:space="preserve"> highlight a significant and widespread presence of pesticide residues in the national food supply,</w:t>
      </w:r>
      <w:r>
        <w:rPr>
          <w:rFonts w:ascii="Times New Roman" w:hAnsi="Times New Roman" w:cs="Times New Roman"/>
          <w:sz w:val="24"/>
          <w:szCs w:val="24"/>
        </w:rPr>
        <w:t xml:space="preserve"> </w:t>
      </w:r>
      <w:r w:rsidR="00CC1F7F" w:rsidRPr="002042E6">
        <w:rPr>
          <w:rFonts w:ascii="Times New Roman" w:hAnsi="Times New Roman" w:cs="Times New Roman"/>
          <w:sz w:val="24"/>
          <w:szCs w:val="24"/>
        </w:rPr>
        <w:t>confirm</w:t>
      </w:r>
      <w:r>
        <w:rPr>
          <w:rFonts w:ascii="Times New Roman" w:hAnsi="Times New Roman" w:cs="Times New Roman"/>
          <w:sz w:val="24"/>
          <w:szCs w:val="24"/>
        </w:rPr>
        <w:t>ing</w:t>
      </w:r>
      <w:r w:rsidR="00CC1F7F" w:rsidRPr="002042E6">
        <w:rPr>
          <w:rFonts w:ascii="Times New Roman" w:hAnsi="Times New Roman" w:cs="Times New Roman"/>
          <w:sz w:val="24"/>
          <w:szCs w:val="24"/>
        </w:rPr>
        <w:t xml:space="preserve"> our hypothesis H1</w:t>
      </w:r>
      <w:r>
        <w:rPr>
          <w:rFonts w:ascii="Times New Roman" w:hAnsi="Times New Roman" w:cs="Times New Roman"/>
          <w:sz w:val="24"/>
          <w:szCs w:val="24"/>
        </w:rPr>
        <w:t xml:space="preserve">. </w:t>
      </w:r>
      <w:r w:rsidR="00CC1F7F" w:rsidRPr="002042E6">
        <w:rPr>
          <w:rFonts w:ascii="Times New Roman" w:hAnsi="Times New Roman" w:cs="Times New Roman"/>
          <w:sz w:val="24"/>
          <w:szCs w:val="24"/>
        </w:rPr>
        <w:t>The high heterogeneity also underscores the importance of further meta-regression analysis to identify specific moderators contributing to this variability.</w:t>
      </w:r>
    </w:p>
    <w:p w14:paraId="2F3540E0" w14:textId="1A79888A" w:rsidR="001721DB" w:rsidRPr="002042E6" w:rsidRDefault="001721DB" w:rsidP="00835361">
      <w:pPr>
        <w:spacing w:line="360" w:lineRule="auto"/>
        <w:jc w:val="both"/>
        <w:rPr>
          <w:rFonts w:ascii="Times New Roman" w:hAnsi="Times New Roman" w:cs="Times New Roman"/>
          <w:sz w:val="24"/>
          <w:szCs w:val="24"/>
        </w:rPr>
      </w:pPr>
      <w:r w:rsidRPr="001721DB">
        <w:rPr>
          <w:rFonts w:ascii="Times New Roman" w:hAnsi="Times New Roman" w:cs="Times New Roman"/>
          <w:i/>
          <w:iCs/>
          <w:sz w:val="24"/>
          <w:szCs w:val="24"/>
        </w:rPr>
        <w:t xml:space="preserve">Food Origin </w:t>
      </w:r>
      <w:r w:rsidRPr="001721DB">
        <w:rPr>
          <w:rFonts w:ascii="Times New Roman" w:hAnsi="Times New Roman" w:cs="Times New Roman"/>
          <w:sz w:val="24"/>
          <w:szCs w:val="24"/>
        </w:rPr>
        <w:t>explained a substantial 10.7% of the observed heterogeneity (</w:t>
      </w:r>
      <w:r w:rsidRPr="001721DB">
        <w:rPr>
          <w:rFonts w:ascii="Cambria Math" w:hAnsi="Cambria Math" w:cs="Cambria Math"/>
          <w:sz w:val="24"/>
          <w:szCs w:val="24"/>
        </w:rPr>
        <w:t>𝑅</w:t>
      </w:r>
      <w:r w:rsidRPr="001721DB">
        <w:rPr>
          <w:rFonts w:ascii="Times New Roman" w:hAnsi="Times New Roman" w:cs="Times New Roman"/>
          <w:sz w:val="24"/>
          <w:szCs w:val="24"/>
        </w:rPr>
        <w:t xml:space="preserve">2), followed by </w:t>
      </w:r>
      <w:r w:rsidRPr="001721DB">
        <w:rPr>
          <w:rFonts w:ascii="Times New Roman" w:hAnsi="Times New Roman" w:cs="Times New Roman"/>
          <w:i/>
          <w:iCs/>
          <w:sz w:val="24"/>
          <w:szCs w:val="24"/>
        </w:rPr>
        <w:t xml:space="preserve">food group </w:t>
      </w:r>
      <w:r w:rsidRPr="001721DB">
        <w:rPr>
          <w:rFonts w:ascii="Times New Roman" w:hAnsi="Times New Roman" w:cs="Times New Roman"/>
          <w:sz w:val="24"/>
          <w:szCs w:val="24"/>
        </w:rPr>
        <w:t xml:space="preserve">(9.6%), </w:t>
      </w:r>
      <w:r w:rsidRPr="001721DB">
        <w:rPr>
          <w:rFonts w:ascii="Times New Roman" w:hAnsi="Times New Roman" w:cs="Times New Roman"/>
          <w:i/>
          <w:iCs/>
          <w:sz w:val="24"/>
          <w:szCs w:val="24"/>
        </w:rPr>
        <w:t xml:space="preserve">zone </w:t>
      </w:r>
      <w:r w:rsidRPr="001721DB">
        <w:rPr>
          <w:rFonts w:ascii="Times New Roman" w:hAnsi="Times New Roman" w:cs="Times New Roman"/>
          <w:sz w:val="24"/>
          <w:szCs w:val="24"/>
        </w:rPr>
        <w:t xml:space="preserve">(4.4%) and </w:t>
      </w:r>
      <w:r w:rsidRPr="001721DB">
        <w:rPr>
          <w:rFonts w:ascii="Times New Roman" w:hAnsi="Times New Roman" w:cs="Times New Roman"/>
          <w:i/>
          <w:iCs/>
          <w:sz w:val="24"/>
          <w:szCs w:val="24"/>
        </w:rPr>
        <w:t xml:space="preserve">region </w:t>
      </w:r>
      <w:r w:rsidRPr="001721DB">
        <w:rPr>
          <w:rFonts w:ascii="Times New Roman" w:hAnsi="Times New Roman" w:cs="Times New Roman"/>
          <w:sz w:val="24"/>
          <w:szCs w:val="24"/>
        </w:rPr>
        <w:t xml:space="preserve">(4.3%). </w:t>
      </w:r>
      <w:r w:rsidRPr="002042E6">
        <w:rPr>
          <w:rFonts w:ascii="Times New Roman" w:hAnsi="Times New Roman" w:cs="Times New Roman"/>
          <w:sz w:val="24"/>
          <w:szCs w:val="24"/>
        </w:rPr>
        <w:t xml:space="preserve">These findings partially support our hypothesis (H2) that sample locations (region/zone) and food origins would significantly moderate pesticide residue concentrations, contributing to the observed high heterogeneity. </w:t>
      </w:r>
      <w:r w:rsidRPr="001721DB">
        <w:rPr>
          <w:rFonts w:ascii="Times New Roman" w:hAnsi="Times New Roman" w:cs="Times New Roman"/>
          <w:sz w:val="24"/>
          <w:szCs w:val="24"/>
        </w:rPr>
        <w:t>The higher concentrations were found in foods under ‘Others’ category (e.g., honey, khat), and in regions such as South and Southwest. Furthermore, some zones like Bench-Sheko, Gurage, and Hararge exhibited particularly elevated levels, whereas Ilu Aba Bora showed a very low concentration.</w:t>
      </w:r>
    </w:p>
    <w:p w14:paraId="5E72A3CF" w14:textId="16D8CA25" w:rsidR="00711B85" w:rsidRPr="002042E6" w:rsidRDefault="008921EC"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However, it is important to note that the marginal R2 values for all moderators were relatively low, indicates the influence of other unmeasured or unmodeled factors contributing to the complex landscape of pesticide residues in Ethiopia. Such factors could include specific pesticide active ingredients, application dosages, agricultural management practices (e.g., pre-harvest intervals), environmental conditions (e.g., soil type, rainfall), post-harvest handling, and local variations in regulatory enforcement or monitoring programs. Challenges with degrees of freedom in robust F-tests for some moderators (e.g., region and zone) due to sparse data in certain categories also suggest limitations in fully capturing their moderating effects in all models.</w:t>
      </w:r>
    </w:p>
    <w:p w14:paraId="0CB6B6E3" w14:textId="7885183D" w:rsidR="00751BA8" w:rsidRPr="002042E6" w:rsidRDefault="00751BA8"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Table 1:</w:t>
      </w:r>
      <w:r w:rsidR="00763B0B" w:rsidRPr="002042E6">
        <w:rPr>
          <w:rFonts w:ascii="Times New Roman" w:hAnsi="Times New Roman" w:cs="Times New Roman"/>
          <w:sz w:val="24"/>
          <w:szCs w:val="24"/>
        </w:rPr>
        <w:t xml:space="preserve"> </w:t>
      </w:r>
      <w:r w:rsidR="009D4CB9" w:rsidRPr="002042E6">
        <w:rPr>
          <w:rFonts w:ascii="Times New Roman" w:hAnsi="Times New Roman" w:cs="Times New Roman"/>
          <w:sz w:val="24"/>
          <w:szCs w:val="24"/>
        </w:rPr>
        <w:t>Overall multilevel meta-analysis and meta-regression models summary.</w:t>
      </w:r>
    </w:p>
    <w:tbl>
      <w:tblPr>
        <w:tblStyle w:val="TableGrid"/>
        <w:tblW w:w="9534" w:type="dxa"/>
        <w:tblLook w:val="04A0" w:firstRow="1" w:lastRow="0" w:firstColumn="1" w:lastColumn="0" w:noHBand="0" w:noVBand="1"/>
      </w:tblPr>
      <w:tblGrid>
        <w:gridCol w:w="1391"/>
        <w:gridCol w:w="1542"/>
        <w:gridCol w:w="483"/>
        <w:gridCol w:w="715"/>
        <w:gridCol w:w="818"/>
        <w:gridCol w:w="773"/>
        <w:gridCol w:w="1121"/>
        <w:gridCol w:w="1021"/>
        <w:gridCol w:w="835"/>
        <w:gridCol w:w="835"/>
      </w:tblGrid>
      <w:tr w:rsidR="00EE04FD" w:rsidRPr="00984DC4" w14:paraId="0E6AEEFC" w14:textId="77777777" w:rsidTr="00984DC4">
        <w:trPr>
          <w:trHeight w:val="285"/>
        </w:trPr>
        <w:tc>
          <w:tcPr>
            <w:tcW w:w="0" w:type="auto"/>
            <w:noWrap/>
            <w:hideMark/>
          </w:tcPr>
          <w:p w14:paraId="4A1475F8" w14:textId="17ECFFE6" w:rsidR="00EE04FD" w:rsidRPr="00984DC4" w:rsidRDefault="00EE04FD"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Model</w:t>
            </w:r>
          </w:p>
        </w:tc>
        <w:tc>
          <w:tcPr>
            <w:tcW w:w="0" w:type="auto"/>
            <w:noWrap/>
            <w:hideMark/>
          </w:tcPr>
          <w:p w14:paraId="0DFE866F" w14:textId="0B9458E6" w:rsidR="00EE04FD" w:rsidRPr="00984DC4" w:rsidRDefault="00984DC4" w:rsidP="00984DC4">
            <w:pPr>
              <w:contextualSpacing/>
              <w:jc w:val="both"/>
              <w:rPr>
                <w:rFonts w:ascii="Times New Roman" w:hAnsi="Times New Roman" w:cs="Times New Roman"/>
                <w:b/>
                <w:bCs/>
                <w:sz w:val="20"/>
                <w:szCs w:val="20"/>
              </w:rPr>
            </w:pPr>
            <w:r>
              <w:rPr>
                <w:rFonts w:ascii="Times New Roman" w:hAnsi="Times New Roman" w:cs="Times New Roman"/>
                <w:b/>
                <w:bCs/>
                <w:sz w:val="20"/>
                <w:szCs w:val="20"/>
              </w:rPr>
              <w:t>Subgroup</w:t>
            </w:r>
          </w:p>
        </w:tc>
        <w:tc>
          <w:tcPr>
            <w:tcW w:w="0" w:type="auto"/>
            <w:noWrap/>
            <w:hideMark/>
          </w:tcPr>
          <w:p w14:paraId="787813E8" w14:textId="3FCA3E2A" w:rsidR="00EE04FD" w:rsidRPr="00984DC4" w:rsidRDefault="00984DC4" w:rsidP="00984DC4">
            <w:pPr>
              <w:contextualSpacing/>
              <w:jc w:val="both"/>
              <w:rPr>
                <w:rFonts w:ascii="Times New Roman" w:hAnsi="Times New Roman" w:cs="Times New Roman"/>
                <w:b/>
                <w:bCs/>
                <w:sz w:val="20"/>
                <w:szCs w:val="20"/>
              </w:rPr>
            </w:pPr>
            <w:r>
              <w:rPr>
                <w:rFonts w:ascii="Times New Roman" w:hAnsi="Times New Roman" w:cs="Times New Roman"/>
                <w:b/>
                <w:bCs/>
                <w:sz w:val="20"/>
                <w:szCs w:val="20"/>
              </w:rPr>
              <w:t>N</w:t>
            </w:r>
          </w:p>
        </w:tc>
        <w:tc>
          <w:tcPr>
            <w:tcW w:w="0" w:type="auto"/>
            <w:noWrap/>
            <w:hideMark/>
          </w:tcPr>
          <w:p w14:paraId="31A0A557" w14:textId="658B4CD9" w:rsidR="00EE04FD" w:rsidRPr="00984DC4" w:rsidRDefault="00984DC4" w:rsidP="00984DC4">
            <w:pPr>
              <w:contextualSpacing/>
              <w:jc w:val="both"/>
              <w:rPr>
                <w:rFonts w:ascii="Times New Roman" w:hAnsi="Times New Roman" w:cs="Times New Roman"/>
                <w:b/>
                <w:bCs/>
                <w:sz w:val="20"/>
                <w:szCs w:val="20"/>
              </w:rPr>
            </w:pPr>
            <w:r>
              <w:rPr>
                <w:rFonts w:ascii="Times New Roman" w:hAnsi="Times New Roman" w:cs="Times New Roman"/>
                <w:b/>
                <w:bCs/>
                <w:sz w:val="20"/>
                <w:szCs w:val="20"/>
              </w:rPr>
              <w:t>ES</w:t>
            </w:r>
          </w:p>
        </w:tc>
        <w:tc>
          <w:tcPr>
            <w:tcW w:w="0" w:type="auto"/>
            <w:noWrap/>
            <w:hideMark/>
          </w:tcPr>
          <w:p w14:paraId="7AF3D065" w14:textId="77777777" w:rsidR="00EE04FD" w:rsidRPr="00984DC4" w:rsidRDefault="00EE04FD"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Mean</w:t>
            </w:r>
          </w:p>
        </w:tc>
        <w:tc>
          <w:tcPr>
            <w:tcW w:w="0" w:type="auto"/>
            <w:noWrap/>
            <w:hideMark/>
          </w:tcPr>
          <w:p w14:paraId="768EB211" w14:textId="0AAE6C7F" w:rsidR="00EE04FD" w:rsidRPr="00984DC4" w:rsidRDefault="00EE04FD"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LL</w:t>
            </w:r>
          </w:p>
        </w:tc>
        <w:tc>
          <w:tcPr>
            <w:tcW w:w="0" w:type="auto"/>
            <w:noWrap/>
            <w:hideMark/>
          </w:tcPr>
          <w:p w14:paraId="5B522E49" w14:textId="4DB6F9CB" w:rsidR="00EE04FD" w:rsidRPr="00984DC4" w:rsidRDefault="00EE04FD"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UL</w:t>
            </w:r>
          </w:p>
        </w:tc>
        <w:tc>
          <w:tcPr>
            <w:tcW w:w="0" w:type="auto"/>
            <w:noWrap/>
            <w:hideMark/>
          </w:tcPr>
          <w:p w14:paraId="7AC686F3" w14:textId="38568F3A" w:rsidR="00EE04FD" w:rsidRPr="00984DC4" w:rsidRDefault="00984DC4" w:rsidP="00984DC4">
            <w:pPr>
              <w:contextualSpacing/>
              <w:jc w:val="both"/>
              <w:rPr>
                <w:rFonts w:ascii="Times New Roman" w:hAnsi="Times New Roman" w:cs="Times New Roman"/>
                <w:b/>
                <w:bCs/>
                <w:sz w:val="20"/>
                <w:szCs w:val="20"/>
              </w:rPr>
            </w:pPr>
            <w:r>
              <w:rPr>
                <w:rFonts w:ascii="Times New Roman" w:hAnsi="Times New Roman" w:cs="Times New Roman"/>
                <w:b/>
                <w:bCs/>
                <w:sz w:val="20"/>
                <w:szCs w:val="20"/>
              </w:rPr>
              <w:t xml:space="preserve">p </w:t>
            </w:r>
            <w:r w:rsidR="00EE04FD" w:rsidRPr="00984DC4">
              <w:rPr>
                <w:rFonts w:ascii="Times New Roman" w:hAnsi="Times New Roman" w:cs="Times New Roman"/>
                <w:b/>
                <w:bCs/>
                <w:sz w:val="20"/>
                <w:szCs w:val="20"/>
              </w:rPr>
              <w:t>val</w:t>
            </w:r>
          </w:p>
        </w:tc>
        <w:tc>
          <w:tcPr>
            <w:tcW w:w="0" w:type="auto"/>
            <w:noWrap/>
            <w:hideMark/>
          </w:tcPr>
          <w:p w14:paraId="2D340FB7" w14:textId="4B39984B" w:rsidR="00EE04FD" w:rsidRPr="00984DC4" w:rsidRDefault="00EE04FD"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I</w:t>
            </w:r>
            <w:r w:rsidRPr="00984DC4">
              <w:rPr>
                <w:rFonts w:ascii="Times New Roman" w:hAnsi="Times New Roman" w:cs="Times New Roman"/>
                <w:b/>
                <w:bCs/>
                <w:sz w:val="20"/>
                <w:szCs w:val="20"/>
                <w:vertAlign w:val="superscript"/>
              </w:rPr>
              <w:t>2</w:t>
            </w:r>
            <w:r w:rsidRPr="00984DC4">
              <w:rPr>
                <w:rFonts w:ascii="Times New Roman" w:hAnsi="Times New Roman" w:cs="Times New Roman"/>
                <w:b/>
                <w:bCs/>
                <w:sz w:val="20"/>
                <w:szCs w:val="20"/>
              </w:rPr>
              <w:t xml:space="preserve"> lvl2</w:t>
            </w:r>
          </w:p>
        </w:tc>
        <w:tc>
          <w:tcPr>
            <w:tcW w:w="0" w:type="auto"/>
            <w:noWrap/>
            <w:hideMark/>
          </w:tcPr>
          <w:p w14:paraId="414BA7A3" w14:textId="1E1EDA58" w:rsidR="00EE04FD" w:rsidRPr="00984DC4" w:rsidRDefault="00EE04FD"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I</w:t>
            </w:r>
            <w:r w:rsidRPr="00984DC4">
              <w:rPr>
                <w:rFonts w:ascii="Times New Roman" w:hAnsi="Times New Roman" w:cs="Times New Roman"/>
                <w:b/>
                <w:bCs/>
                <w:sz w:val="20"/>
                <w:szCs w:val="20"/>
                <w:vertAlign w:val="superscript"/>
              </w:rPr>
              <w:t>2</w:t>
            </w:r>
            <w:r w:rsidRPr="00984DC4">
              <w:rPr>
                <w:rFonts w:ascii="Times New Roman" w:hAnsi="Times New Roman" w:cs="Times New Roman"/>
                <w:b/>
                <w:bCs/>
                <w:sz w:val="20"/>
                <w:szCs w:val="20"/>
              </w:rPr>
              <w:t xml:space="preserve"> lvl3</w:t>
            </w:r>
          </w:p>
        </w:tc>
      </w:tr>
      <w:tr w:rsidR="00EE04FD" w:rsidRPr="00984DC4" w14:paraId="206BF646" w14:textId="77777777" w:rsidTr="00984DC4">
        <w:trPr>
          <w:trHeight w:val="285"/>
        </w:trPr>
        <w:tc>
          <w:tcPr>
            <w:tcW w:w="0" w:type="auto"/>
            <w:noWrap/>
          </w:tcPr>
          <w:p w14:paraId="375EFA10" w14:textId="258D6398"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Overall</w:t>
            </w:r>
          </w:p>
        </w:tc>
        <w:tc>
          <w:tcPr>
            <w:tcW w:w="0" w:type="auto"/>
            <w:noWrap/>
          </w:tcPr>
          <w:p w14:paraId="51ABFA59" w14:textId="24724812"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All Pesticides</w:t>
            </w:r>
          </w:p>
        </w:tc>
        <w:tc>
          <w:tcPr>
            <w:tcW w:w="0" w:type="auto"/>
            <w:noWrap/>
            <w:hideMark/>
          </w:tcPr>
          <w:p w14:paraId="4DB00D8F" w14:textId="77777777"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40</w:t>
            </w:r>
          </w:p>
        </w:tc>
        <w:tc>
          <w:tcPr>
            <w:tcW w:w="0" w:type="auto"/>
            <w:noWrap/>
            <w:hideMark/>
          </w:tcPr>
          <w:p w14:paraId="76050FFF" w14:textId="77777777"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2099</w:t>
            </w:r>
          </w:p>
        </w:tc>
        <w:tc>
          <w:tcPr>
            <w:tcW w:w="0" w:type="auto"/>
            <w:noWrap/>
            <w:hideMark/>
          </w:tcPr>
          <w:p w14:paraId="3B439CCD" w14:textId="77777777"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7.05</w:t>
            </w:r>
          </w:p>
        </w:tc>
        <w:tc>
          <w:tcPr>
            <w:tcW w:w="0" w:type="auto"/>
            <w:noWrap/>
            <w:hideMark/>
          </w:tcPr>
          <w:p w14:paraId="2BE3455B" w14:textId="77777777"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4.34</w:t>
            </w:r>
          </w:p>
        </w:tc>
        <w:tc>
          <w:tcPr>
            <w:tcW w:w="0" w:type="auto"/>
            <w:noWrap/>
            <w:hideMark/>
          </w:tcPr>
          <w:p w14:paraId="48E88894" w14:textId="77777777"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11.46</w:t>
            </w:r>
          </w:p>
        </w:tc>
        <w:tc>
          <w:tcPr>
            <w:tcW w:w="0" w:type="auto"/>
            <w:noWrap/>
            <w:hideMark/>
          </w:tcPr>
          <w:p w14:paraId="1BCC6B69" w14:textId="524366BA" w:rsidR="00943833" w:rsidRPr="00984DC4" w:rsidRDefault="001747A7"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w:t>
            </w:r>
            <w:r w:rsidR="00943833" w:rsidRPr="00984DC4">
              <w:rPr>
                <w:rFonts w:ascii="Times New Roman" w:hAnsi="Times New Roman" w:cs="Times New Roman"/>
                <w:b/>
                <w:bCs/>
                <w:sz w:val="20"/>
                <w:szCs w:val="20"/>
              </w:rPr>
              <w:t>0.00</w:t>
            </w:r>
            <w:r w:rsidRPr="00984DC4">
              <w:rPr>
                <w:rFonts w:ascii="Times New Roman" w:hAnsi="Times New Roman" w:cs="Times New Roman"/>
                <w:b/>
                <w:bCs/>
                <w:sz w:val="20"/>
                <w:szCs w:val="20"/>
              </w:rPr>
              <w:t>01</w:t>
            </w:r>
          </w:p>
        </w:tc>
        <w:tc>
          <w:tcPr>
            <w:tcW w:w="0" w:type="auto"/>
            <w:noWrap/>
            <w:hideMark/>
          </w:tcPr>
          <w:p w14:paraId="0C41663A" w14:textId="77777777"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49.95</w:t>
            </w:r>
          </w:p>
        </w:tc>
        <w:tc>
          <w:tcPr>
            <w:tcW w:w="0" w:type="auto"/>
            <w:noWrap/>
            <w:hideMark/>
          </w:tcPr>
          <w:p w14:paraId="43FB72B2" w14:textId="77777777" w:rsidR="00943833" w:rsidRPr="00984DC4" w:rsidRDefault="0094383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50.02</w:t>
            </w:r>
          </w:p>
        </w:tc>
      </w:tr>
      <w:tr w:rsidR="00496D23" w:rsidRPr="00984DC4" w14:paraId="49A31155" w14:textId="77777777" w:rsidTr="00984DC4">
        <w:trPr>
          <w:trHeight w:val="285"/>
        </w:trPr>
        <w:tc>
          <w:tcPr>
            <w:tcW w:w="0" w:type="auto"/>
            <w:vMerge w:val="restart"/>
            <w:noWrap/>
            <w:hideMark/>
          </w:tcPr>
          <w:p w14:paraId="68D3AC9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Use Type</w:t>
            </w:r>
          </w:p>
        </w:tc>
        <w:tc>
          <w:tcPr>
            <w:tcW w:w="0" w:type="auto"/>
            <w:noWrap/>
            <w:hideMark/>
          </w:tcPr>
          <w:p w14:paraId="1B9078BE"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Fungicide</w:t>
            </w:r>
          </w:p>
        </w:tc>
        <w:tc>
          <w:tcPr>
            <w:tcW w:w="0" w:type="auto"/>
            <w:noWrap/>
            <w:hideMark/>
          </w:tcPr>
          <w:p w14:paraId="1074D5B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w:t>
            </w:r>
          </w:p>
        </w:tc>
        <w:tc>
          <w:tcPr>
            <w:tcW w:w="0" w:type="auto"/>
            <w:noWrap/>
            <w:hideMark/>
          </w:tcPr>
          <w:p w14:paraId="6D38566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100</w:t>
            </w:r>
          </w:p>
        </w:tc>
        <w:tc>
          <w:tcPr>
            <w:tcW w:w="0" w:type="auto"/>
            <w:noWrap/>
            <w:hideMark/>
          </w:tcPr>
          <w:p w14:paraId="2558783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14.37</w:t>
            </w:r>
          </w:p>
        </w:tc>
        <w:tc>
          <w:tcPr>
            <w:tcW w:w="0" w:type="auto"/>
            <w:noWrap/>
            <w:hideMark/>
          </w:tcPr>
          <w:p w14:paraId="4E0920D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2.54</w:t>
            </w:r>
          </w:p>
        </w:tc>
        <w:tc>
          <w:tcPr>
            <w:tcW w:w="0" w:type="auto"/>
            <w:noWrap/>
            <w:hideMark/>
          </w:tcPr>
          <w:p w14:paraId="4F3C99F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81.34</w:t>
            </w:r>
          </w:p>
        </w:tc>
        <w:tc>
          <w:tcPr>
            <w:tcW w:w="0" w:type="auto"/>
            <w:noWrap/>
            <w:hideMark/>
          </w:tcPr>
          <w:p w14:paraId="62EA65E0"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0.0175</w:t>
            </w:r>
          </w:p>
        </w:tc>
        <w:tc>
          <w:tcPr>
            <w:tcW w:w="0" w:type="auto"/>
            <w:vMerge w:val="restart"/>
            <w:noWrap/>
            <w:hideMark/>
          </w:tcPr>
          <w:p w14:paraId="55532C7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50.47</w:t>
            </w:r>
          </w:p>
        </w:tc>
        <w:tc>
          <w:tcPr>
            <w:tcW w:w="0" w:type="auto"/>
            <w:vMerge w:val="restart"/>
            <w:noWrap/>
            <w:hideMark/>
          </w:tcPr>
          <w:p w14:paraId="72DDFF9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49.5</w:t>
            </w:r>
          </w:p>
        </w:tc>
      </w:tr>
      <w:tr w:rsidR="00496D23" w:rsidRPr="00984DC4" w14:paraId="12C33CBE" w14:textId="77777777" w:rsidTr="00984DC4">
        <w:trPr>
          <w:trHeight w:val="285"/>
        </w:trPr>
        <w:tc>
          <w:tcPr>
            <w:tcW w:w="0" w:type="auto"/>
            <w:vMerge/>
            <w:noWrap/>
            <w:hideMark/>
          </w:tcPr>
          <w:p w14:paraId="0FDCBCD4"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2244C76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Herbicide</w:t>
            </w:r>
          </w:p>
        </w:tc>
        <w:tc>
          <w:tcPr>
            <w:tcW w:w="0" w:type="auto"/>
            <w:noWrap/>
            <w:hideMark/>
          </w:tcPr>
          <w:p w14:paraId="43A3026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w:t>
            </w:r>
          </w:p>
        </w:tc>
        <w:tc>
          <w:tcPr>
            <w:tcW w:w="0" w:type="auto"/>
            <w:noWrap/>
            <w:hideMark/>
          </w:tcPr>
          <w:p w14:paraId="5F9FFB8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47</w:t>
            </w:r>
          </w:p>
        </w:tc>
        <w:tc>
          <w:tcPr>
            <w:tcW w:w="0" w:type="auto"/>
            <w:noWrap/>
            <w:hideMark/>
          </w:tcPr>
          <w:p w14:paraId="1781B9F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14.91</w:t>
            </w:r>
          </w:p>
        </w:tc>
        <w:tc>
          <w:tcPr>
            <w:tcW w:w="0" w:type="auto"/>
            <w:noWrap/>
            <w:hideMark/>
          </w:tcPr>
          <w:p w14:paraId="66C83AF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2.96</w:t>
            </w:r>
          </w:p>
        </w:tc>
        <w:tc>
          <w:tcPr>
            <w:tcW w:w="0" w:type="auto"/>
            <w:noWrap/>
            <w:hideMark/>
          </w:tcPr>
          <w:p w14:paraId="2A8A970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75.07</w:t>
            </w:r>
          </w:p>
        </w:tc>
        <w:tc>
          <w:tcPr>
            <w:tcW w:w="0" w:type="auto"/>
            <w:noWrap/>
            <w:hideMark/>
          </w:tcPr>
          <w:p w14:paraId="21CFDE94"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0.0103</w:t>
            </w:r>
          </w:p>
        </w:tc>
        <w:tc>
          <w:tcPr>
            <w:tcW w:w="0" w:type="auto"/>
            <w:vMerge/>
            <w:noWrap/>
            <w:hideMark/>
          </w:tcPr>
          <w:p w14:paraId="3E9A85BE"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4909A9C8"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143C11EB" w14:textId="77777777" w:rsidTr="00984DC4">
        <w:trPr>
          <w:trHeight w:val="285"/>
        </w:trPr>
        <w:tc>
          <w:tcPr>
            <w:tcW w:w="0" w:type="auto"/>
            <w:vMerge/>
            <w:noWrap/>
            <w:hideMark/>
          </w:tcPr>
          <w:p w14:paraId="66FE0BC1"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3B15D6F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Insecticide</w:t>
            </w:r>
          </w:p>
        </w:tc>
        <w:tc>
          <w:tcPr>
            <w:tcW w:w="0" w:type="auto"/>
            <w:noWrap/>
            <w:hideMark/>
          </w:tcPr>
          <w:p w14:paraId="4FE3774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40</w:t>
            </w:r>
          </w:p>
        </w:tc>
        <w:tc>
          <w:tcPr>
            <w:tcW w:w="0" w:type="auto"/>
            <w:noWrap/>
            <w:hideMark/>
          </w:tcPr>
          <w:p w14:paraId="64639A3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1952</w:t>
            </w:r>
          </w:p>
        </w:tc>
        <w:tc>
          <w:tcPr>
            <w:tcW w:w="0" w:type="auto"/>
            <w:noWrap/>
            <w:hideMark/>
          </w:tcPr>
          <w:p w14:paraId="5C1FE50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6.81</w:t>
            </w:r>
          </w:p>
        </w:tc>
        <w:tc>
          <w:tcPr>
            <w:tcW w:w="0" w:type="auto"/>
            <w:noWrap/>
            <w:hideMark/>
          </w:tcPr>
          <w:p w14:paraId="4EA22E7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4.13</w:t>
            </w:r>
          </w:p>
        </w:tc>
        <w:tc>
          <w:tcPr>
            <w:tcW w:w="0" w:type="auto"/>
            <w:noWrap/>
            <w:hideMark/>
          </w:tcPr>
          <w:p w14:paraId="3EDD347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11.2</w:t>
            </w:r>
          </w:p>
        </w:tc>
        <w:tc>
          <w:tcPr>
            <w:tcW w:w="0" w:type="auto"/>
            <w:noWrap/>
            <w:hideMark/>
          </w:tcPr>
          <w:p w14:paraId="4731A925" w14:textId="7C463781"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noWrap/>
            <w:hideMark/>
          </w:tcPr>
          <w:p w14:paraId="5732BEF7"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50D4F15B"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6CF730D9" w14:textId="77777777" w:rsidTr="00984DC4">
        <w:trPr>
          <w:trHeight w:val="285"/>
        </w:trPr>
        <w:tc>
          <w:tcPr>
            <w:tcW w:w="0" w:type="auto"/>
            <w:vMerge w:val="restart"/>
            <w:noWrap/>
            <w:hideMark/>
          </w:tcPr>
          <w:p w14:paraId="5F88206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Food Group</w:t>
            </w:r>
          </w:p>
        </w:tc>
        <w:tc>
          <w:tcPr>
            <w:tcW w:w="0" w:type="auto"/>
            <w:noWrap/>
            <w:hideMark/>
          </w:tcPr>
          <w:p w14:paraId="044F62C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Cereals</w:t>
            </w:r>
          </w:p>
        </w:tc>
        <w:tc>
          <w:tcPr>
            <w:tcW w:w="0" w:type="auto"/>
            <w:noWrap/>
            <w:hideMark/>
          </w:tcPr>
          <w:p w14:paraId="748CA2C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w:t>
            </w:r>
          </w:p>
        </w:tc>
        <w:tc>
          <w:tcPr>
            <w:tcW w:w="0" w:type="auto"/>
            <w:noWrap/>
            <w:hideMark/>
          </w:tcPr>
          <w:p w14:paraId="524DF1F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160</w:t>
            </w:r>
          </w:p>
        </w:tc>
        <w:tc>
          <w:tcPr>
            <w:tcW w:w="0" w:type="auto"/>
            <w:noWrap/>
            <w:hideMark/>
          </w:tcPr>
          <w:p w14:paraId="1347FE1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12.44</w:t>
            </w:r>
          </w:p>
        </w:tc>
        <w:tc>
          <w:tcPr>
            <w:tcW w:w="0" w:type="auto"/>
            <w:noWrap/>
            <w:hideMark/>
          </w:tcPr>
          <w:p w14:paraId="4BEAEFF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7.15</w:t>
            </w:r>
          </w:p>
        </w:tc>
        <w:tc>
          <w:tcPr>
            <w:tcW w:w="0" w:type="auto"/>
            <w:noWrap/>
            <w:hideMark/>
          </w:tcPr>
          <w:p w14:paraId="0F0511D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21.63</w:t>
            </w:r>
          </w:p>
        </w:tc>
        <w:tc>
          <w:tcPr>
            <w:tcW w:w="0" w:type="auto"/>
            <w:noWrap/>
            <w:hideMark/>
          </w:tcPr>
          <w:p w14:paraId="5089BAD8"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0.0026</w:t>
            </w:r>
          </w:p>
        </w:tc>
        <w:tc>
          <w:tcPr>
            <w:tcW w:w="0" w:type="auto"/>
            <w:vMerge w:val="restart"/>
            <w:noWrap/>
            <w:hideMark/>
          </w:tcPr>
          <w:p w14:paraId="4ED1DF9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43.52</w:t>
            </w:r>
          </w:p>
        </w:tc>
        <w:tc>
          <w:tcPr>
            <w:tcW w:w="0" w:type="auto"/>
            <w:vMerge w:val="restart"/>
            <w:noWrap/>
            <w:hideMark/>
          </w:tcPr>
          <w:p w14:paraId="647B65A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56.44</w:t>
            </w:r>
          </w:p>
        </w:tc>
      </w:tr>
      <w:tr w:rsidR="00496D23" w:rsidRPr="00984DC4" w14:paraId="3075BE45" w14:textId="77777777" w:rsidTr="00984DC4">
        <w:trPr>
          <w:trHeight w:val="285"/>
        </w:trPr>
        <w:tc>
          <w:tcPr>
            <w:tcW w:w="0" w:type="auto"/>
            <w:vMerge/>
            <w:noWrap/>
            <w:hideMark/>
          </w:tcPr>
          <w:p w14:paraId="6219E0BA"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15CF2EFE"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Fruits</w:t>
            </w:r>
          </w:p>
        </w:tc>
        <w:tc>
          <w:tcPr>
            <w:tcW w:w="0" w:type="auto"/>
            <w:noWrap/>
            <w:hideMark/>
          </w:tcPr>
          <w:p w14:paraId="484A7D9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6CC025D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46</w:t>
            </w:r>
          </w:p>
        </w:tc>
        <w:tc>
          <w:tcPr>
            <w:tcW w:w="0" w:type="auto"/>
            <w:noWrap/>
            <w:hideMark/>
          </w:tcPr>
          <w:p w14:paraId="2277FD0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2.6</w:t>
            </w:r>
          </w:p>
        </w:tc>
        <w:tc>
          <w:tcPr>
            <w:tcW w:w="0" w:type="auto"/>
            <w:noWrap/>
            <w:hideMark/>
          </w:tcPr>
          <w:p w14:paraId="703396B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1.09</w:t>
            </w:r>
          </w:p>
        </w:tc>
        <w:tc>
          <w:tcPr>
            <w:tcW w:w="0" w:type="auto"/>
            <w:noWrap/>
            <w:hideMark/>
          </w:tcPr>
          <w:p w14:paraId="0628DC4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6.19</w:t>
            </w:r>
          </w:p>
        </w:tc>
        <w:tc>
          <w:tcPr>
            <w:tcW w:w="0" w:type="auto"/>
            <w:noWrap/>
            <w:hideMark/>
          </w:tcPr>
          <w:p w14:paraId="6897002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0.0767</w:t>
            </w:r>
          </w:p>
        </w:tc>
        <w:tc>
          <w:tcPr>
            <w:tcW w:w="0" w:type="auto"/>
            <w:vMerge/>
            <w:noWrap/>
            <w:hideMark/>
          </w:tcPr>
          <w:p w14:paraId="03ECF39E"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344AB104"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2C882BA0" w14:textId="77777777" w:rsidTr="00984DC4">
        <w:trPr>
          <w:trHeight w:val="285"/>
        </w:trPr>
        <w:tc>
          <w:tcPr>
            <w:tcW w:w="0" w:type="auto"/>
            <w:vMerge/>
            <w:noWrap/>
            <w:hideMark/>
          </w:tcPr>
          <w:p w14:paraId="30113269"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1EC7BBB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Meat</w:t>
            </w:r>
          </w:p>
        </w:tc>
        <w:tc>
          <w:tcPr>
            <w:tcW w:w="0" w:type="auto"/>
            <w:noWrap/>
            <w:hideMark/>
          </w:tcPr>
          <w:p w14:paraId="6F791F9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14</w:t>
            </w:r>
          </w:p>
        </w:tc>
        <w:tc>
          <w:tcPr>
            <w:tcW w:w="0" w:type="auto"/>
            <w:noWrap/>
            <w:hideMark/>
          </w:tcPr>
          <w:p w14:paraId="14BDC1F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230</w:t>
            </w:r>
          </w:p>
        </w:tc>
        <w:tc>
          <w:tcPr>
            <w:tcW w:w="0" w:type="auto"/>
            <w:noWrap/>
            <w:hideMark/>
          </w:tcPr>
          <w:p w14:paraId="4EC6FFF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3.34</w:t>
            </w:r>
          </w:p>
        </w:tc>
        <w:tc>
          <w:tcPr>
            <w:tcW w:w="0" w:type="auto"/>
            <w:noWrap/>
            <w:hideMark/>
          </w:tcPr>
          <w:p w14:paraId="43567B6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2.14</w:t>
            </w:r>
          </w:p>
        </w:tc>
        <w:tc>
          <w:tcPr>
            <w:tcW w:w="0" w:type="auto"/>
            <w:noWrap/>
            <w:hideMark/>
          </w:tcPr>
          <w:p w14:paraId="67C8DBA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5.21</w:t>
            </w:r>
          </w:p>
        </w:tc>
        <w:tc>
          <w:tcPr>
            <w:tcW w:w="0" w:type="auto"/>
            <w:noWrap/>
            <w:hideMark/>
          </w:tcPr>
          <w:p w14:paraId="1F9EBF0E"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0.0002</w:t>
            </w:r>
          </w:p>
        </w:tc>
        <w:tc>
          <w:tcPr>
            <w:tcW w:w="0" w:type="auto"/>
            <w:vMerge/>
            <w:noWrap/>
            <w:hideMark/>
          </w:tcPr>
          <w:p w14:paraId="28143076"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2993F76F"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4B3C1E86" w14:textId="77777777" w:rsidTr="00984DC4">
        <w:trPr>
          <w:trHeight w:val="285"/>
        </w:trPr>
        <w:tc>
          <w:tcPr>
            <w:tcW w:w="0" w:type="auto"/>
            <w:vMerge/>
            <w:noWrap/>
            <w:hideMark/>
          </w:tcPr>
          <w:p w14:paraId="7EFE6BD8"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017C2BB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Milk</w:t>
            </w:r>
          </w:p>
        </w:tc>
        <w:tc>
          <w:tcPr>
            <w:tcW w:w="0" w:type="auto"/>
            <w:noWrap/>
            <w:hideMark/>
          </w:tcPr>
          <w:p w14:paraId="13A4E04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w:t>
            </w:r>
          </w:p>
        </w:tc>
        <w:tc>
          <w:tcPr>
            <w:tcW w:w="0" w:type="auto"/>
            <w:noWrap/>
            <w:hideMark/>
          </w:tcPr>
          <w:p w14:paraId="373C8F0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200</w:t>
            </w:r>
          </w:p>
        </w:tc>
        <w:tc>
          <w:tcPr>
            <w:tcW w:w="0" w:type="auto"/>
            <w:noWrap/>
            <w:hideMark/>
          </w:tcPr>
          <w:p w14:paraId="294814B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17.39</w:t>
            </w:r>
          </w:p>
        </w:tc>
        <w:tc>
          <w:tcPr>
            <w:tcW w:w="0" w:type="auto"/>
            <w:noWrap/>
            <w:hideMark/>
          </w:tcPr>
          <w:p w14:paraId="4D4E7FF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3.74</w:t>
            </w:r>
          </w:p>
        </w:tc>
        <w:tc>
          <w:tcPr>
            <w:tcW w:w="0" w:type="auto"/>
            <w:noWrap/>
            <w:hideMark/>
          </w:tcPr>
          <w:p w14:paraId="578F693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80.89</w:t>
            </w:r>
          </w:p>
        </w:tc>
        <w:tc>
          <w:tcPr>
            <w:tcW w:w="0" w:type="auto"/>
            <w:noWrap/>
            <w:hideMark/>
          </w:tcPr>
          <w:p w14:paraId="33C437F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0.0682</w:t>
            </w:r>
          </w:p>
        </w:tc>
        <w:tc>
          <w:tcPr>
            <w:tcW w:w="0" w:type="auto"/>
            <w:vMerge/>
            <w:noWrap/>
            <w:hideMark/>
          </w:tcPr>
          <w:p w14:paraId="09A33E5F"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569C74DD"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041245A7" w14:textId="77777777" w:rsidTr="00984DC4">
        <w:trPr>
          <w:trHeight w:val="285"/>
        </w:trPr>
        <w:tc>
          <w:tcPr>
            <w:tcW w:w="0" w:type="auto"/>
            <w:vMerge/>
            <w:noWrap/>
            <w:hideMark/>
          </w:tcPr>
          <w:p w14:paraId="5C6BC528"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2D777E8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Others</w:t>
            </w:r>
          </w:p>
        </w:tc>
        <w:tc>
          <w:tcPr>
            <w:tcW w:w="0" w:type="auto"/>
            <w:noWrap/>
            <w:hideMark/>
          </w:tcPr>
          <w:p w14:paraId="5C3CCEB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15</w:t>
            </w:r>
          </w:p>
        </w:tc>
        <w:tc>
          <w:tcPr>
            <w:tcW w:w="0" w:type="auto"/>
            <w:noWrap/>
            <w:hideMark/>
          </w:tcPr>
          <w:p w14:paraId="23D310A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855</w:t>
            </w:r>
          </w:p>
        </w:tc>
        <w:tc>
          <w:tcPr>
            <w:tcW w:w="0" w:type="auto"/>
            <w:noWrap/>
            <w:hideMark/>
          </w:tcPr>
          <w:p w14:paraId="7331DBA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17.3</w:t>
            </w:r>
          </w:p>
        </w:tc>
        <w:tc>
          <w:tcPr>
            <w:tcW w:w="0" w:type="auto"/>
            <w:noWrap/>
            <w:hideMark/>
          </w:tcPr>
          <w:p w14:paraId="5AC3CC5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9.45</w:t>
            </w:r>
          </w:p>
        </w:tc>
        <w:tc>
          <w:tcPr>
            <w:tcW w:w="0" w:type="auto"/>
            <w:noWrap/>
            <w:hideMark/>
          </w:tcPr>
          <w:p w14:paraId="2481F9A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31.69</w:t>
            </w:r>
          </w:p>
        </w:tc>
        <w:tc>
          <w:tcPr>
            <w:tcW w:w="0" w:type="auto"/>
            <w:noWrap/>
            <w:hideMark/>
          </w:tcPr>
          <w:p w14:paraId="29530DF4" w14:textId="414EE3FD"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noWrap/>
            <w:hideMark/>
          </w:tcPr>
          <w:p w14:paraId="724B0967"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43B4A45C"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7FCEDFB5" w14:textId="77777777" w:rsidTr="00984DC4">
        <w:trPr>
          <w:trHeight w:val="285"/>
        </w:trPr>
        <w:tc>
          <w:tcPr>
            <w:tcW w:w="0" w:type="auto"/>
            <w:vMerge/>
            <w:noWrap/>
            <w:hideMark/>
          </w:tcPr>
          <w:p w14:paraId="4C06BE2E"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39BAD27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Vegetables</w:t>
            </w:r>
          </w:p>
        </w:tc>
        <w:tc>
          <w:tcPr>
            <w:tcW w:w="0" w:type="auto"/>
            <w:noWrap/>
            <w:hideMark/>
          </w:tcPr>
          <w:p w14:paraId="4F29CED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w:t>
            </w:r>
          </w:p>
        </w:tc>
        <w:tc>
          <w:tcPr>
            <w:tcW w:w="0" w:type="auto"/>
            <w:noWrap/>
            <w:hideMark/>
          </w:tcPr>
          <w:p w14:paraId="11F0E83F"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608</w:t>
            </w:r>
          </w:p>
        </w:tc>
        <w:tc>
          <w:tcPr>
            <w:tcW w:w="0" w:type="auto"/>
            <w:noWrap/>
            <w:hideMark/>
          </w:tcPr>
          <w:p w14:paraId="620A801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3.04</w:t>
            </w:r>
          </w:p>
        </w:tc>
        <w:tc>
          <w:tcPr>
            <w:tcW w:w="0" w:type="auto"/>
            <w:noWrap/>
            <w:hideMark/>
          </w:tcPr>
          <w:p w14:paraId="47DFFB7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1.35</w:t>
            </w:r>
          </w:p>
        </w:tc>
        <w:tc>
          <w:tcPr>
            <w:tcW w:w="0" w:type="auto"/>
            <w:noWrap/>
            <w:hideMark/>
          </w:tcPr>
          <w:p w14:paraId="76BE142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6.84</w:t>
            </w:r>
          </w:p>
        </w:tc>
        <w:tc>
          <w:tcPr>
            <w:tcW w:w="0" w:type="auto"/>
            <w:noWrap/>
            <w:hideMark/>
          </w:tcPr>
          <w:p w14:paraId="751766BE"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0.0375</w:t>
            </w:r>
          </w:p>
        </w:tc>
        <w:tc>
          <w:tcPr>
            <w:tcW w:w="0" w:type="auto"/>
            <w:vMerge/>
            <w:noWrap/>
            <w:hideMark/>
          </w:tcPr>
          <w:p w14:paraId="1DCD73BF"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6DDE2F70"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1A839058" w14:textId="77777777" w:rsidTr="00984DC4">
        <w:trPr>
          <w:trHeight w:val="285"/>
        </w:trPr>
        <w:tc>
          <w:tcPr>
            <w:tcW w:w="0" w:type="auto"/>
            <w:vMerge w:val="restart"/>
            <w:noWrap/>
            <w:hideMark/>
          </w:tcPr>
          <w:p w14:paraId="3E69250E"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Instrument</w:t>
            </w:r>
          </w:p>
        </w:tc>
        <w:tc>
          <w:tcPr>
            <w:tcW w:w="0" w:type="auto"/>
            <w:noWrap/>
            <w:hideMark/>
          </w:tcPr>
          <w:p w14:paraId="62BF5F2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GC-ECD</w:t>
            </w:r>
          </w:p>
        </w:tc>
        <w:tc>
          <w:tcPr>
            <w:tcW w:w="0" w:type="auto"/>
            <w:noWrap/>
            <w:hideMark/>
          </w:tcPr>
          <w:p w14:paraId="62B1550B"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12</w:t>
            </w:r>
          </w:p>
        </w:tc>
        <w:tc>
          <w:tcPr>
            <w:tcW w:w="0" w:type="auto"/>
            <w:noWrap/>
            <w:hideMark/>
          </w:tcPr>
          <w:p w14:paraId="481881F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605</w:t>
            </w:r>
          </w:p>
        </w:tc>
        <w:tc>
          <w:tcPr>
            <w:tcW w:w="0" w:type="auto"/>
            <w:noWrap/>
            <w:hideMark/>
          </w:tcPr>
          <w:p w14:paraId="6F3E4A4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13.04</w:t>
            </w:r>
          </w:p>
        </w:tc>
        <w:tc>
          <w:tcPr>
            <w:tcW w:w="0" w:type="auto"/>
            <w:noWrap/>
            <w:hideMark/>
          </w:tcPr>
          <w:p w14:paraId="43B3669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4.78</w:t>
            </w:r>
          </w:p>
        </w:tc>
        <w:tc>
          <w:tcPr>
            <w:tcW w:w="0" w:type="auto"/>
            <w:noWrap/>
            <w:hideMark/>
          </w:tcPr>
          <w:p w14:paraId="5472C97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35.54</w:t>
            </w:r>
          </w:p>
        </w:tc>
        <w:tc>
          <w:tcPr>
            <w:tcW w:w="0" w:type="auto"/>
            <w:noWrap/>
            <w:hideMark/>
          </w:tcPr>
          <w:p w14:paraId="52A83060"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0.0004</w:t>
            </w:r>
          </w:p>
        </w:tc>
        <w:tc>
          <w:tcPr>
            <w:tcW w:w="0" w:type="auto"/>
            <w:vMerge w:val="restart"/>
            <w:noWrap/>
            <w:hideMark/>
          </w:tcPr>
          <w:p w14:paraId="1954B1A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50.29</w:t>
            </w:r>
          </w:p>
        </w:tc>
        <w:tc>
          <w:tcPr>
            <w:tcW w:w="0" w:type="auto"/>
            <w:vMerge w:val="restart"/>
            <w:noWrap/>
            <w:hideMark/>
          </w:tcPr>
          <w:p w14:paraId="6130719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49.68</w:t>
            </w:r>
          </w:p>
        </w:tc>
      </w:tr>
      <w:tr w:rsidR="00496D23" w:rsidRPr="00984DC4" w14:paraId="62A472AB" w14:textId="77777777" w:rsidTr="00984DC4">
        <w:trPr>
          <w:trHeight w:val="285"/>
        </w:trPr>
        <w:tc>
          <w:tcPr>
            <w:tcW w:w="0" w:type="auto"/>
            <w:vMerge/>
            <w:noWrap/>
            <w:hideMark/>
          </w:tcPr>
          <w:p w14:paraId="4445408F"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2FCA777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GC-MS</w:t>
            </w:r>
          </w:p>
        </w:tc>
        <w:tc>
          <w:tcPr>
            <w:tcW w:w="0" w:type="auto"/>
            <w:noWrap/>
            <w:hideMark/>
          </w:tcPr>
          <w:p w14:paraId="05557E4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22</w:t>
            </w:r>
          </w:p>
        </w:tc>
        <w:tc>
          <w:tcPr>
            <w:tcW w:w="0" w:type="auto"/>
            <w:noWrap/>
            <w:hideMark/>
          </w:tcPr>
          <w:p w14:paraId="3BD9205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1046</w:t>
            </w:r>
          </w:p>
        </w:tc>
        <w:tc>
          <w:tcPr>
            <w:tcW w:w="0" w:type="auto"/>
            <w:noWrap/>
            <w:hideMark/>
          </w:tcPr>
          <w:p w14:paraId="13B9665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5.24</w:t>
            </w:r>
          </w:p>
        </w:tc>
        <w:tc>
          <w:tcPr>
            <w:tcW w:w="0" w:type="auto"/>
            <w:noWrap/>
            <w:hideMark/>
          </w:tcPr>
          <w:p w14:paraId="4A980A2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2.81</w:t>
            </w:r>
          </w:p>
        </w:tc>
        <w:tc>
          <w:tcPr>
            <w:tcW w:w="0" w:type="auto"/>
            <w:noWrap/>
            <w:hideMark/>
          </w:tcPr>
          <w:p w14:paraId="45CB096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9.77</w:t>
            </w:r>
          </w:p>
        </w:tc>
        <w:tc>
          <w:tcPr>
            <w:tcW w:w="0" w:type="auto"/>
            <w:noWrap/>
            <w:hideMark/>
          </w:tcPr>
          <w:p w14:paraId="1934C94E" w14:textId="40CAED5F"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noWrap/>
            <w:hideMark/>
          </w:tcPr>
          <w:p w14:paraId="191B65BE"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4B1AEA89"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02D725AC" w14:textId="77777777" w:rsidTr="00984DC4">
        <w:trPr>
          <w:trHeight w:val="285"/>
        </w:trPr>
        <w:tc>
          <w:tcPr>
            <w:tcW w:w="0" w:type="auto"/>
            <w:vMerge/>
            <w:noWrap/>
            <w:hideMark/>
          </w:tcPr>
          <w:p w14:paraId="59CFEF59"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191E126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GC-MS/MS</w:t>
            </w:r>
          </w:p>
        </w:tc>
        <w:tc>
          <w:tcPr>
            <w:tcW w:w="0" w:type="auto"/>
            <w:noWrap/>
            <w:hideMark/>
          </w:tcPr>
          <w:p w14:paraId="31B4066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w:t>
            </w:r>
          </w:p>
        </w:tc>
        <w:tc>
          <w:tcPr>
            <w:tcW w:w="0" w:type="auto"/>
            <w:noWrap/>
            <w:hideMark/>
          </w:tcPr>
          <w:p w14:paraId="62667E3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188</w:t>
            </w:r>
          </w:p>
        </w:tc>
        <w:tc>
          <w:tcPr>
            <w:tcW w:w="0" w:type="auto"/>
            <w:noWrap/>
            <w:hideMark/>
          </w:tcPr>
          <w:p w14:paraId="110544A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7.87</w:t>
            </w:r>
          </w:p>
        </w:tc>
        <w:tc>
          <w:tcPr>
            <w:tcW w:w="0" w:type="auto"/>
            <w:noWrap/>
            <w:hideMark/>
          </w:tcPr>
          <w:p w14:paraId="1226618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1.69</w:t>
            </w:r>
          </w:p>
        </w:tc>
        <w:tc>
          <w:tcPr>
            <w:tcW w:w="0" w:type="auto"/>
            <w:noWrap/>
            <w:hideMark/>
          </w:tcPr>
          <w:p w14:paraId="657842BF"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36.62</w:t>
            </w:r>
          </w:p>
        </w:tc>
        <w:tc>
          <w:tcPr>
            <w:tcW w:w="0" w:type="auto"/>
            <w:noWrap/>
            <w:hideMark/>
          </w:tcPr>
          <w:p w14:paraId="51A576E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0.1194</w:t>
            </w:r>
          </w:p>
        </w:tc>
        <w:tc>
          <w:tcPr>
            <w:tcW w:w="0" w:type="auto"/>
            <w:vMerge/>
            <w:noWrap/>
            <w:hideMark/>
          </w:tcPr>
          <w:p w14:paraId="53CF2368"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4C8E1C0E"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3A05BD18" w14:textId="77777777" w:rsidTr="00984DC4">
        <w:trPr>
          <w:trHeight w:val="285"/>
        </w:trPr>
        <w:tc>
          <w:tcPr>
            <w:tcW w:w="0" w:type="auto"/>
            <w:vMerge/>
            <w:noWrap/>
            <w:hideMark/>
          </w:tcPr>
          <w:p w14:paraId="12CCF022"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5B25081E"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HPLC</w:t>
            </w:r>
          </w:p>
        </w:tc>
        <w:tc>
          <w:tcPr>
            <w:tcW w:w="0" w:type="auto"/>
            <w:noWrap/>
            <w:hideMark/>
          </w:tcPr>
          <w:p w14:paraId="36B5477B"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638418B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w:t>
            </w:r>
          </w:p>
        </w:tc>
        <w:tc>
          <w:tcPr>
            <w:tcW w:w="0" w:type="auto"/>
            <w:noWrap/>
            <w:hideMark/>
          </w:tcPr>
          <w:p w14:paraId="5DB4246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9.39</w:t>
            </w:r>
          </w:p>
        </w:tc>
        <w:tc>
          <w:tcPr>
            <w:tcW w:w="0" w:type="auto"/>
            <w:noWrap/>
            <w:hideMark/>
          </w:tcPr>
          <w:p w14:paraId="62E6598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2.9</w:t>
            </w:r>
          </w:p>
        </w:tc>
        <w:tc>
          <w:tcPr>
            <w:tcW w:w="0" w:type="auto"/>
            <w:noWrap/>
            <w:hideMark/>
          </w:tcPr>
          <w:p w14:paraId="3A05EB3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30.44</w:t>
            </w:r>
          </w:p>
        </w:tc>
        <w:tc>
          <w:tcPr>
            <w:tcW w:w="0" w:type="auto"/>
            <w:noWrap/>
            <w:hideMark/>
          </w:tcPr>
          <w:p w14:paraId="101D358F"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0.1666</w:t>
            </w:r>
          </w:p>
        </w:tc>
        <w:tc>
          <w:tcPr>
            <w:tcW w:w="0" w:type="auto"/>
            <w:vMerge/>
            <w:noWrap/>
            <w:hideMark/>
          </w:tcPr>
          <w:p w14:paraId="4B9C789A"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4CCB9AFD"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2341BBFF" w14:textId="77777777" w:rsidTr="00984DC4">
        <w:trPr>
          <w:trHeight w:val="285"/>
        </w:trPr>
        <w:tc>
          <w:tcPr>
            <w:tcW w:w="0" w:type="auto"/>
            <w:vMerge/>
            <w:noWrap/>
            <w:hideMark/>
          </w:tcPr>
          <w:p w14:paraId="09340BC0"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2CB389E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LC-MS/MS</w:t>
            </w:r>
          </w:p>
        </w:tc>
        <w:tc>
          <w:tcPr>
            <w:tcW w:w="0" w:type="auto"/>
            <w:noWrap/>
            <w:hideMark/>
          </w:tcPr>
          <w:p w14:paraId="7EBE7C3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w:t>
            </w:r>
          </w:p>
        </w:tc>
        <w:tc>
          <w:tcPr>
            <w:tcW w:w="0" w:type="auto"/>
            <w:noWrap/>
            <w:hideMark/>
          </w:tcPr>
          <w:p w14:paraId="6CB0629B"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258</w:t>
            </w:r>
          </w:p>
        </w:tc>
        <w:tc>
          <w:tcPr>
            <w:tcW w:w="0" w:type="auto"/>
            <w:noWrap/>
            <w:hideMark/>
          </w:tcPr>
          <w:p w14:paraId="45C3D4A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3.67</w:t>
            </w:r>
          </w:p>
        </w:tc>
        <w:tc>
          <w:tcPr>
            <w:tcW w:w="0" w:type="auto"/>
            <w:noWrap/>
            <w:hideMark/>
          </w:tcPr>
          <w:p w14:paraId="04C2371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0.49</w:t>
            </w:r>
          </w:p>
        </w:tc>
        <w:tc>
          <w:tcPr>
            <w:tcW w:w="0" w:type="auto"/>
            <w:noWrap/>
            <w:hideMark/>
          </w:tcPr>
          <w:p w14:paraId="29C7D26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27.63</w:t>
            </w:r>
          </w:p>
        </w:tc>
        <w:tc>
          <w:tcPr>
            <w:tcW w:w="0" w:type="auto"/>
            <w:noWrap/>
            <w:hideMark/>
          </w:tcPr>
          <w:p w14:paraId="71DEC47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0.4260</w:t>
            </w:r>
          </w:p>
        </w:tc>
        <w:tc>
          <w:tcPr>
            <w:tcW w:w="0" w:type="auto"/>
            <w:vMerge/>
            <w:noWrap/>
            <w:hideMark/>
          </w:tcPr>
          <w:p w14:paraId="0A238197"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0F2F439E"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5C0EF944" w14:textId="77777777" w:rsidTr="00984DC4">
        <w:trPr>
          <w:trHeight w:val="285"/>
        </w:trPr>
        <w:tc>
          <w:tcPr>
            <w:tcW w:w="0" w:type="auto"/>
            <w:vMerge w:val="restart"/>
            <w:noWrap/>
            <w:hideMark/>
          </w:tcPr>
          <w:p w14:paraId="2BD5F6EF"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Food Origin</w:t>
            </w:r>
          </w:p>
        </w:tc>
        <w:tc>
          <w:tcPr>
            <w:tcW w:w="0" w:type="auto"/>
            <w:noWrap/>
            <w:hideMark/>
          </w:tcPr>
          <w:p w14:paraId="4A6F0BB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Animal Orgin</w:t>
            </w:r>
          </w:p>
        </w:tc>
        <w:tc>
          <w:tcPr>
            <w:tcW w:w="0" w:type="auto"/>
            <w:noWrap/>
            <w:hideMark/>
          </w:tcPr>
          <w:p w14:paraId="21220E2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17</w:t>
            </w:r>
          </w:p>
        </w:tc>
        <w:tc>
          <w:tcPr>
            <w:tcW w:w="0" w:type="auto"/>
            <w:noWrap/>
            <w:hideMark/>
          </w:tcPr>
          <w:p w14:paraId="3284D1DE"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430</w:t>
            </w:r>
          </w:p>
        </w:tc>
        <w:tc>
          <w:tcPr>
            <w:tcW w:w="0" w:type="auto"/>
            <w:noWrap/>
            <w:hideMark/>
          </w:tcPr>
          <w:p w14:paraId="2C740F3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4.77</w:t>
            </w:r>
          </w:p>
        </w:tc>
        <w:tc>
          <w:tcPr>
            <w:tcW w:w="0" w:type="auto"/>
            <w:noWrap/>
            <w:hideMark/>
          </w:tcPr>
          <w:p w14:paraId="7B79459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2.85</w:t>
            </w:r>
          </w:p>
        </w:tc>
        <w:tc>
          <w:tcPr>
            <w:tcW w:w="0" w:type="auto"/>
            <w:noWrap/>
            <w:hideMark/>
          </w:tcPr>
          <w:p w14:paraId="7670898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7.98</w:t>
            </w:r>
          </w:p>
        </w:tc>
        <w:tc>
          <w:tcPr>
            <w:tcW w:w="0" w:type="auto"/>
            <w:noWrap/>
            <w:hideMark/>
          </w:tcPr>
          <w:p w14:paraId="5659C741" w14:textId="72179F82"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val="restart"/>
            <w:noWrap/>
            <w:hideMark/>
          </w:tcPr>
          <w:p w14:paraId="4D3DEB2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47.42</w:t>
            </w:r>
          </w:p>
        </w:tc>
        <w:tc>
          <w:tcPr>
            <w:tcW w:w="0" w:type="auto"/>
            <w:vMerge w:val="restart"/>
            <w:noWrap/>
            <w:hideMark/>
          </w:tcPr>
          <w:p w14:paraId="5B72BECF"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52.54</w:t>
            </w:r>
          </w:p>
        </w:tc>
      </w:tr>
      <w:tr w:rsidR="00496D23" w:rsidRPr="00984DC4" w14:paraId="3A2B4955" w14:textId="77777777" w:rsidTr="00984DC4">
        <w:trPr>
          <w:trHeight w:val="285"/>
        </w:trPr>
        <w:tc>
          <w:tcPr>
            <w:tcW w:w="0" w:type="auto"/>
            <w:vMerge/>
            <w:noWrap/>
            <w:hideMark/>
          </w:tcPr>
          <w:p w14:paraId="457D9F63"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7F58723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Others</w:t>
            </w:r>
          </w:p>
        </w:tc>
        <w:tc>
          <w:tcPr>
            <w:tcW w:w="0" w:type="auto"/>
            <w:noWrap/>
            <w:hideMark/>
          </w:tcPr>
          <w:p w14:paraId="7F221B8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15</w:t>
            </w:r>
          </w:p>
        </w:tc>
        <w:tc>
          <w:tcPr>
            <w:tcW w:w="0" w:type="auto"/>
            <w:noWrap/>
            <w:hideMark/>
          </w:tcPr>
          <w:p w14:paraId="5A8777A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855</w:t>
            </w:r>
          </w:p>
        </w:tc>
        <w:tc>
          <w:tcPr>
            <w:tcW w:w="0" w:type="auto"/>
            <w:noWrap/>
            <w:hideMark/>
          </w:tcPr>
          <w:p w14:paraId="1A05A7D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13.69</w:t>
            </w:r>
          </w:p>
        </w:tc>
        <w:tc>
          <w:tcPr>
            <w:tcW w:w="0" w:type="auto"/>
            <w:noWrap/>
            <w:hideMark/>
          </w:tcPr>
          <w:p w14:paraId="6603E39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7.16</w:t>
            </w:r>
          </w:p>
        </w:tc>
        <w:tc>
          <w:tcPr>
            <w:tcW w:w="0" w:type="auto"/>
            <w:noWrap/>
            <w:hideMark/>
          </w:tcPr>
          <w:p w14:paraId="3E3E78C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26.17</w:t>
            </w:r>
          </w:p>
        </w:tc>
        <w:tc>
          <w:tcPr>
            <w:tcW w:w="0" w:type="auto"/>
            <w:noWrap/>
            <w:hideMark/>
          </w:tcPr>
          <w:p w14:paraId="7DAB9C10" w14:textId="43CBEE8D"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noWrap/>
            <w:hideMark/>
          </w:tcPr>
          <w:p w14:paraId="3B8F201A"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7CCF5CE2"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07640E7F" w14:textId="77777777" w:rsidTr="00984DC4">
        <w:trPr>
          <w:trHeight w:val="285"/>
        </w:trPr>
        <w:tc>
          <w:tcPr>
            <w:tcW w:w="0" w:type="auto"/>
            <w:vMerge/>
            <w:noWrap/>
            <w:hideMark/>
          </w:tcPr>
          <w:p w14:paraId="29A905D7"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5451D94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Plant Origin</w:t>
            </w:r>
          </w:p>
        </w:tc>
        <w:tc>
          <w:tcPr>
            <w:tcW w:w="0" w:type="auto"/>
            <w:noWrap/>
            <w:hideMark/>
          </w:tcPr>
          <w:p w14:paraId="6309604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11</w:t>
            </w:r>
          </w:p>
        </w:tc>
        <w:tc>
          <w:tcPr>
            <w:tcW w:w="0" w:type="auto"/>
            <w:noWrap/>
            <w:hideMark/>
          </w:tcPr>
          <w:p w14:paraId="79BF0AF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814</w:t>
            </w:r>
          </w:p>
        </w:tc>
        <w:tc>
          <w:tcPr>
            <w:tcW w:w="0" w:type="auto"/>
            <w:noWrap/>
            <w:hideMark/>
          </w:tcPr>
          <w:p w14:paraId="3115502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5.51</w:t>
            </w:r>
          </w:p>
        </w:tc>
        <w:tc>
          <w:tcPr>
            <w:tcW w:w="0" w:type="auto"/>
            <w:noWrap/>
            <w:hideMark/>
          </w:tcPr>
          <w:p w14:paraId="19B16DBF"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2.23</w:t>
            </w:r>
          </w:p>
        </w:tc>
        <w:tc>
          <w:tcPr>
            <w:tcW w:w="0" w:type="auto"/>
            <w:noWrap/>
            <w:hideMark/>
          </w:tcPr>
          <w:p w14:paraId="46CBEFF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13.61</w:t>
            </w:r>
          </w:p>
        </w:tc>
        <w:tc>
          <w:tcPr>
            <w:tcW w:w="0" w:type="auto"/>
            <w:noWrap/>
            <w:hideMark/>
          </w:tcPr>
          <w:p w14:paraId="18C267D9"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0.0026</w:t>
            </w:r>
          </w:p>
        </w:tc>
        <w:tc>
          <w:tcPr>
            <w:tcW w:w="0" w:type="auto"/>
            <w:vMerge/>
            <w:noWrap/>
            <w:hideMark/>
          </w:tcPr>
          <w:p w14:paraId="7516A660"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00F9BA13"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760A277E" w14:textId="77777777" w:rsidTr="00984DC4">
        <w:trPr>
          <w:trHeight w:val="285"/>
        </w:trPr>
        <w:tc>
          <w:tcPr>
            <w:tcW w:w="0" w:type="auto"/>
            <w:vMerge w:val="restart"/>
            <w:noWrap/>
            <w:hideMark/>
          </w:tcPr>
          <w:p w14:paraId="248CDC5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Region</w:t>
            </w:r>
          </w:p>
        </w:tc>
        <w:tc>
          <w:tcPr>
            <w:tcW w:w="0" w:type="auto"/>
            <w:noWrap/>
            <w:hideMark/>
          </w:tcPr>
          <w:p w14:paraId="4AED5EB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Central</w:t>
            </w:r>
          </w:p>
        </w:tc>
        <w:tc>
          <w:tcPr>
            <w:tcW w:w="0" w:type="auto"/>
            <w:noWrap/>
            <w:hideMark/>
          </w:tcPr>
          <w:p w14:paraId="0F576CA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w:t>
            </w:r>
          </w:p>
        </w:tc>
        <w:tc>
          <w:tcPr>
            <w:tcW w:w="0" w:type="auto"/>
            <w:noWrap/>
            <w:hideMark/>
          </w:tcPr>
          <w:p w14:paraId="27F046D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160</w:t>
            </w:r>
          </w:p>
        </w:tc>
        <w:tc>
          <w:tcPr>
            <w:tcW w:w="0" w:type="auto"/>
            <w:noWrap/>
            <w:hideMark/>
          </w:tcPr>
          <w:p w14:paraId="47DA8FD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8.73</w:t>
            </w:r>
          </w:p>
        </w:tc>
        <w:tc>
          <w:tcPr>
            <w:tcW w:w="0" w:type="auto"/>
            <w:noWrap/>
            <w:hideMark/>
          </w:tcPr>
          <w:p w14:paraId="26CC9D2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3.11</w:t>
            </w:r>
          </w:p>
        </w:tc>
        <w:tc>
          <w:tcPr>
            <w:tcW w:w="0" w:type="auto"/>
            <w:noWrap/>
            <w:hideMark/>
          </w:tcPr>
          <w:p w14:paraId="12B65CB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24.51</w:t>
            </w:r>
          </w:p>
        </w:tc>
        <w:tc>
          <w:tcPr>
            <w:tcW w:w="0" w:type="auto"/>
            <w:noWrap/>
            <w:hideMark/>
          </w:tcPr>
          <w:p w14:paraId="790F364F"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0.1517</w:t>
            </w:r>
          </w:p>
        </w:tc>
        <w:tc>
          <w:tcPr>
            <w:tcW w:w="0" w:type="auto"/>
            <w:vMerge w:val="restart"/>
            <w:noWrap/>
            <w:hideMark/>
          </w:tcPr>
          <w:p w14:paraId="57A37B7E"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48.37</w:t>
            </w:r>
          </w:p>
        </w:tc>
        <w:tc>
          <w:tcPr>
            <w:tcW w:w="0" w:type="auto"/>
            <w:vMerge w:val="restart"/>
            <w:noWrap/>
            <w:hideMark/>
          </w:tcPr>
          <w:p w14:paraId="35C5884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51.59</w:t>
            </w:r>
          </w:p>
        </w:tc>
      </w:tr>
      <w:tr w:rsidR="00496D23" w:rsidRPr="00984DC4" w14:paraId="474C3ED7" w14:textId="77777777" w:rsidTr="00984DC4">
        <w:trPr>
          <w:trHeight w:val="285"/>
        </w:trPr>
        <w:tc>
          <w:tcPr>
            <w:tcW w:w="0" w:type="auto"/>
            <w:vMerge/>
            <w:noWrap/>
            <w:hideMark/>
          </w:tcPr>
          <w:p w14:paraId="7E99F7D8"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73C6090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East</w:t>
            </w:r>
          </w:p>
        </w:tc>
        <w:tc>
          <w:tcPr>
            <w:tcW w:w="0" w:type="auto"/>
            <w:noWrap/>
            <w:hideMark/>
          </w:tcPr>
          <w:p w14:paraId="0F5589F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5F99BD2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28</w:t>
            </w:r>
          </w:p>
        </w:tc>
        <w:tc>
          <w:tcPr>
            <w:tcW w:w="0" w:type="auto"/>
            <w:noWrap/>
            <w:hideMark/>
          </w:tcPr>
          <w:p w14:paraId="27F9D8B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13.86</w:t>
            </w:r>
          </w:p>
        </w:tc>
        <w:tc>
          <w:tcPr>
            <w:tcW w:w="0" w:type="auto"/>
            <w:noWrap/>
            <w:hideMark/>
          </w:tcPr>
          <w:p w14:paraId="36FB6E4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9.25</w:t>
            </w:r>
          </w:p>
        </w:tc>
        <w:tc>
          <w:tcPr>
            <w:tcW w:w="0" w:type="auto"/>
            <w:noWrap/>
            <w:hideMark/>
          </w:tcPr>
          <w:p w14:paraId="66C32B9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20.77</w:t>
            </w:r>
          </w:p>
        </w:tc>
        <w:tc>
          <w:tcPr>
            <w:tcW w:w="0" w:type="auto"/>
            <w:noWrap/>
            <w:hideMark/>
          </w:tcPr>
          <w:p w14:paraId="686BC207"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0.0001</w:t>
            </w:r>
          </w:p>
        </w:tc>
        <w:tc>
          <w:tcPr>
            <w:tcW w:w="0" w:type="auto"/>
            <w:vMerge/>
            <w:noWrap/>
            <w:hideMark/>
          </w:tcPr>
          <w:p w14:paraId="08FF6AA7"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49AB2F8E"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037FE569" w14:textId="77777777" w:rsidTr="00984DC4">
        <w:trPr>
          <w:trHeight w:val="285"/>
        </w:trPr>
        <w:tc>
          <w:tcPr>
            <w:tcW w:w="0" w:type="auto"/>
            <w:vMerge/>
            <w:noWrap/>
            <w:hideMark/>
          </w:tcPr>
          <w:p w14:paraId="5313994B"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31ECAE4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North</w:t>
            </w:r>
          </w:p>
        </w:tc>
        <w:tc>
          <w:tcPr>
            <w:tcW w:w="0" w:type="auto"/>
            <w:noWrap/>
            <w:hideMark/>
          </w:tcPr>
          <w:p w14:paraId="5FE5F5E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w:t>
            </w:r>
          </w:p>
        </w:tc>
        <w:tc>
          <w:tcPr>
            <w:tcW w:w="0" w:type="auto"/>
            <w:noWrap/>
            <w:hideMark/>
          </w:tcPr>
          <w:p w14:paraId="1417E6FB"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115</w:t>
            </w:r>
          </w:p>
        </w:tc>
        <w:tc>
          <w:tcPr>
            <w:tcW w:w="0" w:type="auto"/>
            <w:noWrap/>
            <w:hideMark/>
          </w:tcPr>
          <w:p w14:paraId="7404DDE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7.17</w:t>
            </w:r>
          </w:p>
        </w:tc>
        <w:tc>
          <w:tcPr>
            <w:tcW w:w="0" w:type="auto"/>
            <w:noWrap/>
            <w:hideMark/>
          </w:tcPr>
          <w:p w14:paraId="79C20C5B"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2.03</w:t>
            </w:r>
          </w:p>
        </w:tc>
        <w:tc>
          <w:tcPr>
            <w:tcW w:w="0" w:type="auto"/>
            <w:noWrap/>
            <w:hideMark/>
          </w:tcPr>
          <w:p w14:paraId="246101A9"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25.36</w:t>
            </w:r>
          </w:p>
        </w:tc>
        <w:tc>
          <w:tcPr>
            <w:tcW w:w="0" w:type="auto"/>
            <w:noWrap/>
            <w:hideMark/>
          </w:tcPr>
          <w:p w14:paraId="38897AF3"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0.0292</w:t>
            </w:r>
          </w:p>
        </w:tc>
        <w:tc>
          <w:tcPr>
            <w:tcW w:w="0" w:type="auto"/>
            <w:vMerge/>
            <w:noWrap/>
            <w:hideMark/>
          </w:tcPr>
          <w:p w14:paraId="0D3E8BDB"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3388004A"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5DFDC0EB" w14:textId="77777777" w:rsidTr="00984DC4">
        <w:trPr>
          <w:trHeight w:val="285"/>
        </w:trPr>
        <w:tc>
          <w:tcPr>
            <w:tcW w:w="0" w:type="auto"/>
            <w:vMerge/>
            <w:noWrap/>
            <w:hideMark/>
          </w:tcPr>
          <w:p w14:paraId="5C90AE68"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357FADA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Rift Valley</w:t>
            </w:r>
          </w:p>
        </w:tc>
        <w:tc>
          <w:tcPr>
            <w:tcW w:w="0" w:type="auto"/>
            <w:noWrap/>
            <w:hideMark/>
          </w:tcPr>
          <w:p w14:paraId="7E35289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16</w:t>
            </w:r>
          </w:p>
        </w:tc>
        <w:tc>
          <w:tcPr>
            <w:tcW w:w="0" w:type="auto"/>
            <w:noWrap/>
            <w:hideMark/>
          </w:tcPr>
          <w:p w14:paraId="58633C03"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763</w:t>
            </w:r>
          </w:p>
        </w:tc>
        <w:tc>
          <w:tcPr>
            <w:tcW w:w="0" w:type="auto"/>
            <w:noWrap/>
            <w:hideMark/>
          </w:tcPr>
          <w:p w14:paraId="7202356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6.09</w:t>
            </w:r>
          </w:p>
        </w:tc>
        <w:tc>
          <w:tcPr>
            <w:tcW w:w="0" w:type="auto"/>
            <w:noWrap/>
            <w:hideMark/>
          </w:tcPr>
          <w:p w14:paraId="59C782F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3.77</w:t>
            </w:r>
          </w:p>
        </w:tc>
        <w:tc>
          <w:tcPr>
            <w:tcW w:w="0" w:type="auto"/>
            <w:noWrap/>
            <w:hideMark/>
          </w:tcPr>
          <w:p w14:paraId="55F9045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9.85</w:t>
            </w:r>
          </w:p>
        </w:tc>
        <w:tc>
          <w:tcPr>
            <w:tcW w:w="0" w:type="auto"/>
            <w:noWrap/>
            <w:hideMark/>
          </w:tcPr>
          <w:p w14:paraId="4D28750A" w14:textId="135DE1B5"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noWrap/>
            <w:hideMark/>
          </w:tcPr>
          <w:p w14:paraId="241EEF01"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51C3C231"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754F0913" w14:textId="77777777" w:rsidTr="00984DC4">
        <w:trPr>
          <w:trHeight w:val="285"/>
        </w:trPr>
        <w:tc>
          <w:tcPr>
            <w:tcW w:w="0" w:type="auto"/>
            <w:vMerge/>
            <w:noWrap/>
            <w:hideMark/>
          </w:tcPr>
          <w:p w14:paraId="6ADEDF85"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0331DD9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South</w:t>
            </w:r>
          </w:p>
        </w:tc>
        <w:tc>
          <w:tcPr>
            <w:tcW w:w="0" w:type="auto"/>
            <w:noWrap/>
            <w:hideMark/>
          </w:tcPr>
          <w:p w14:paraId="2B0EAF7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w:t>
            </w:r>
          </w:p>
        </w:tc>
        <w:tc>
          <w:tcPr>
            <w:tcW w:w="0" w:type="auto"/>
            <w:noWrap/>
            <w:hideMark/>
          </w:tcPr>
          <w:p w14:paraId="6D6E384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98</w:t>
            </w:r>
          </w:p>
        </w:tc>
        <w:tc>
          <w:tcPr>
            <w:tcW w:w="0" w:type="auto"/>
            <w:noWrap/>
            <w:hideMark/>
          </w:tcPr>
          <w:p w14:paraId="38710628"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11.85</w:t>
            </w:r>
          </w:p>
        </w:tc>
        <w:tc>
          <w:tcPr>
            <w:tcW w:w="0" w:type="auto"/>
            <w:noWrap/>
            <w:hideMark/>
          </w:tcPr>
          <w:p w14:paraId="6305FFC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7.6</w:t>
            </w:r>
          </w:p>
        </w:tc>
        <w:tc>
          <w:tcPr>
            <w:tcW w:w="0" w:type="auto"/>
            <w:noWrap/>
            <w:hideMark/>
          </w:tcPr>
          <w:p w14:paraId="7832479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18.47</w:t>
            </w:r>
          </w:p>
        </w:tc>
        <w:tc>
          <w:tcPr>
            <w:tcW w:w="0" w:type="auto"/>
            <w:noWrap/>
            <w:hideMark/>
          </w:tcPr>
          <w:p w14:paraId="3BF04A16" w14:textId="77777777"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0.0049</w:t>
            </w:r>
          </w:p>
        </w:tc>
        <w:tc>
          <w:tcPr>
            <w:tcW w:w="0" w:type="auto"/>
            <w:vMerge/>
            <w:noWrap/>
            <w:hideMark/>
          </w:tcPr>
          <w:p w14:paraId="0C5701B1"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00E892A9"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2CE02BAD" w14:textId="77777777" w:rsidTr="00984DC4">
        <w:trPr>
          <w:trHeight w:val="285"/>
        </w:trPr>
        <w:tc>
          <w:tcPr>
            <w:tcW w:w="0" w:type="auto"/>
            <w:vMerge/>
            <w:noWrap/>
            <w:hideMark/>
          </w:tcPr>
          <w:p w14:paraId="741C1A22"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752375DF"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Southwest</w:t>
            </w:r>
          </w:p>
        </w:tc>
        <w:tc>
          <w:tcPr>
            <w:tcW w:w="0" w:type="auto"/>
            <w:noWrap/>
            <w:hideMark/>
          </w:tcPr>
          <w:p w14:paraId="6C6DDF0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10</w:t>
            </w:r>
          </w:p>
        </w:tc>
        <w:tc>
          <w:tcPr>
            <w:tcW w:w="0" w:type="auto"/>
            <w:noWrap/>
            <w:hideMark/>
          </w:tcPr>
          <w:p w14:paraId="4E11E27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527</w:t>
            </w:r>
          </w:p>
        </w:tc>
        <w:tc>
          <w:tcPr>
            <w:tcW w:w="0" w:type="auto"/>
            <w:noWrap/>
            <w:hideMark/>
          </w:tcPr>
          <w:p w14:paraId="1F2AB24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10.17</w:t>
            </w:r>
          </w:p>
        </w:tc>
        <w:tc>
          <w:tcPr>
            <w:tcW w:w="0" w:type="auto"/>
            <w:noWrap/>
            <w:hideMark/>
          </w:tcPr>
          <w:p w14:paraId="4404F6C0"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6.55</w:t>
            </w:r>
          </w:p>
        </w:tc>
        <w:tc>
          <w:tcPr>
            <w:tcW w:w="0" w:type="auto"/>
            <w:noWrap/>
            <w:hideMark/>
          </w:tcPr>
          <w:p w14:paraId="0D7AF1C1"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15.78</w:t>
            </w:r>
          </w:p>
        </w:tc>
        <w:tc>
          <w:tcPr>
            <w:tcW w:w="0" w:type="auto"/>
            <w:noWrap/>
            <w:hideMark/>
          </w:tcPr>
          <w:p w14:paraId="40992FF6" w14:textId="30F88481" w:rsidR="00496D23" w:rsidRPr="00984DC4" w:rsidRDefault="00496D23"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noWrap/>
            <w:hideMark/>
          </w:tcPr>
          <w:p w14:paraId="4FD1C8B5"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3E0DA783"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13FE07F1" w14:textId="77777777" w:rsidTr="00984DC4">
        <w:trPr>
          <w:trHeight w:val="285"/>
        </w:trPr>
        <w:tc>
          <w:tcPr>
            <w:tcW w:w="0" w:type="auto"/>
            <w:vMerge/>
            <w:noWrap/>
            <w:hideMark/>
          </w:tcPr>
          <w:p w14:paraId="2EF85295"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0784E397"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Uncertain</w:t>
            </w:r>
          </w:p>
        </w:tc>
        <w:tc>
          <w:tcPr>
            <w:tcW w:w="0" w:type="auto"/>
            <w:noWrap/>
            <w:hideMark/>
          </w:tcPr>
          <w:p w14:paraId="101BD9F2"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w:t>
            </w:r>
          </w:p>
        </w:tc>
        <w:tc>
          <w:tcPr>
            <w:tcW w:w="0" w:type="auto"/>
            <w:noWrap/>
            <w:hideMark/>
          </w:tcPr>
          <w:p w14:paraId="1784D456"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391</w:t>
            </w:r>
          </w:p>
        </w:tc>
        <w:tc>
          <w:tcPr>
            <w:tcW w:w="0" w:type="auto"/>
            <w:noWrap/>
            <w:hideMark/>
          </w:tcPr>
          <w:p w14:paraId="5DD29C4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8.69</w:t>
            </w:r>
          </w:p>
        </w:tc>
        <w:tc>
          <w:tcPr>
            <w:tcW w:w="0" w:type="auto"/>
            <w:noWrap/>
            <w:hideMark/>
          </w:tcPr>
          <w:p w14:paraId="73C2B3CC"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0.33</w:t>
            </w:r>
          </w:p>
        </w:tc>
        <w:tc>
          <w:tcPr>
            <w:tcW w:w="0" w:type="auto"/>
            <w:noWrap/>
            <w:hideMark/>
          </w:tcPr>
          <w:p w14:paraId="0F788F0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227.38</w:t>
            </w:r>
          </w:p>
        </w:tc>
        <w:tc>
          <w:tcPr>
            <w:tcW w:w="0" w:type="auto"/>
            <w:noWrap/>
            <w:hideMark/>
          </w:tcPr>
          <w:p w14:paraId="1F14959B"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0.2902</w:t>
            </w:r>
          </w:p>
        </w:tc>
        <w:tc>
          <w:tcPr>
            <w:tcW w:w="0" w:type="auto"/>
            <w:vMerge/>
            <w:noWrap/>
            <w:hideMark/>
          </w:tcPr>
          <w:p w14:paraId="73BC1167"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10F4A22B" w14:textId="77777777" w:rsidR="00496D23" w:rsidRPr="00984DC4" w:rsidRDefault="00496D23" w:rsidP="00984DC4">
            <w:pPr>
              <w:contextualSpacing/>
              <w:jc w:val="both"/>
              <w:rPr>
                <w:rFonts w:ascii="Times New Roman" w:hAnsi="Times New Roman" w:cs="Times New Roman"/>
                <w:sz w:val="20"/>
                <w:szCs w:val="20"/>
              </w:rPr>
            </w:pPr>
          </w:p>
        </w:tc>
      </w:tr>
      <w:tr w:rsidR="00496D23" w:rsidRPr="00984DC4" w14:paraId="753526A6" w14:textId="77777777" w:rsidTr="00984DC4">
        <w:trPr>
          <w:trHeight w:val="285"/>
        </w:trPr>
        <w:tc>
          <w:tcPr>
            <w:tcW w:w="0" w:type="auto"/>
            <w:vMerge/>
            <w:noWrap/>
            <w:hideMark/>
          </w:tcPr>
          <w:p w14:paraId="1383647F" w14:textId="77777777" w:rsidR="00496D23" w:rsidRPr="00984DC4" w:rsidRDefault="00496D23" w:rsidP="00984DC4">
            <w:pPr>
              <w:contextualSpacing/>
              <w:jc w:val="both"/>
              <w:rPr>
                <w:rFonts w:ascii="Times New Roman" w:hAnsi="Times New Roman" w:cs="Times New Roman"/>
                <w:sz w:val="20"/>
                <w:szCs w:val="20"/>
              </w:rPr>
            </w:pPr>
          </w:p>
        </w:tc>
        <w:tc>
          <w:tcPr>
            <w:tcW w:w="0" w:type="auto"/>
            <w:noWrap/>
            <w:hideMark/>
          </w:tcPr>
          <w:p w14:paraId="32B31B9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West</w:t>
            </w:r>
          </w:p>
        </w:tc>
        <w:tc>
          <w:tcPr>
            <w:tcW w:w="0" w:type="auto"/>
            <w:noWrap/>
            <w:hideMark/>
          </w:tcPr>
          <w:p w14:paraId="1C36B70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w:t>
            </w:r>
          </w:p>
        </w:tc>
        <w:tc>
          <w:tcPr>
            <w:tcW w:w="0" w:type="auto"/>
            <w:noWrap/>
            <w:hideMark/>
          </w:tcPr>
          <w:p w14:paraId="7A17E6A5"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17</w:t>
            </w:r>
          </w:p>
        </w:tc>
        <w:tc>
          <w:tcPr>
            <w:tcW w:w="0" w:type="auto"/>
            <w:noWrap/>
            <w:hideMark/>
          </w:tcPr>
          <w:p w14:paraId="01F8521D"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2E72D3EA"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0.01</w:t>
            </w:r>
          </w:p>
        </w:tc>
        <w:tc>
          <w:tcPr>
            <w:tcW w:w="0" w:type="auto"/>
            <w:noWrap/>
            <w:hideMark/>
          </w:tcPr>
          <w:p w14:paraId="06388664"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78.19</w:t>
            </w:r>
          </w:p>
        </w:tc>
        <w:tc>
          <w:tcPr>
            <w:tcW w:w="0" w:type="auto"/>
            <w:noWrap/>
            <w:hideMark/>
          </w:tcPr>
          <w:p w14:paraId="41884E4B" w14:textId="77777777" w:rsidR="00496D23" w:rsidRPr="00984DC4" w:rsidRDefault="00496D23"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0.9995</w:t>
            </w:r>
          </w:p>
        </w:tc>
        <w:tc>
          <w:tcPr>
            <w:tcW w:w="0" w:type="auto"/>
            <w:vMerge/>
            <w:noWrap/>
            <w:hideMark/>
          </w:tcPr>
          <w:p w14:paraId="25307448" w14:textId="77777777" w:rsidR="00496D23" w:rsidRPr="00984DC4" w:rsidRDefault="00496D23" w:rsidP="00984DC4">
            <w:pPr>
              <w:contextualSpacing/>
              <w:jc w:val="both"/>
              <w:rPr>
                <w:rFonts w:ascii="Times New Roman" w:hAnsi="Times New Roman" w:cs="Times New Roman"/>
                <w:sz w:val="20"/>
                <w:szCs w:val="20"/>
              </w:rPr>
            </w:pPr>
          </w:p>
        </w:tc>
        <w:tc>
          <w:tcPr>
            <w:tcW w:w="0" w:type="auto"/>
            <w:vMerge/>
            <w:noWrap/>
            <w:hideMark/>
          </w:tcPr>
          <w:p w14:paraId="4EE9AA40" w14:textId="77777777" w:rsidR="00496D23" w:rsidRPr="00984DC4" w:rsidRDefault="00496D23" w:rsidP="00984DC4">
            <w:pPr>
              <w:contextualSpacing/>
              <w:jc w:val="both"/>
              <w:rPr>
                <w:rFonts w:ascii="Times New Roman" w:hAnsi="Times New Roman" w:cs="Times New Roman"/>
                <w:sz w:val="20"/>
                <w:szCs w:val="20"/>
              </w:rPr>
            </w:pPr>
          </w:p>
        </w:tc>
      </w:tr>
      <w:tr w:rsidR="0066014F" w:rsidRPr="00984DC4" w14:paraId="7AF88649" w14:textId="77777777" w:rsidTr="00984DC4">
        <w:trPr>
          <w:trHeight w:val="285"/>
        </w:trPr>
        <w:tc>
          <w:tcPr>
            <w:tcW w:w="0" w:type="auto"/>
            <w:vMerge w:val="restart"/>
            <w:noWrap/>
            <w:hideMark/>
          </w:tcPr>
          <w:p w14:paraId="1318A08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Zone</w:t>
            </w:r>
          </w:p>
        </w:tc>
        <w:tc>
          <w:tcPr>
            <w:tcW w:w="0" w:type="auto"/>
            <w:noWrap/>
            <w:hideMark/>
          </w:tcPr>
          <w:p w14:paraId="32D1FB15"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Arsi</w:t>
            </w:r>
          </w:p>
        </w:tc>
        <w:tc>
          <w:tcPr>
            <w:tcW w:w="0" w:type="auto"/>
            <w:noWrap/>
            <w:hideMark/>
          </w:tcPr>
          <w:p w14:paraId="3C9A316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w:t>
            </w:r>
          </w:p>
        </w:tc>
        <w:tc>
          <w:tcPr>
            <w:tcW w:w="0" w:type="auto"/>
            <w:noWrap/>
            <w:hideMark/>
          </w:tcPr>
          <w:p w14:paraId="02659E3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217</w:t>
            </w:r>
          </w:p>
        </w:tc>
        <w:tc>
          <w:tcPr>
            <w:tcW w:w="0" w:type="auto"/>
            <w:noWrap/>
            <w:hideMark/>
          </w:tcPr>
          <w:p w14:paraId="0F73C2D5"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5.45</w:t>
            </w:r>
          </w:p>
        </w:tc>
        <w:tc>
          <w:tcPr>
            <w:tcW w:w="0" w:type="auto"/>
            <w:noWrap/>
            <w:hideMark/>
          </w:tcPr>
          <w:p w14:paraId="67061BD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2.69</w:t>
            </w:r>
          </w:p>
        </w:tc>
        <w:tc>
          <w:tcPr>
            <w:tcW w:w="0" w:type="auto"/>
            <w:noWrap/>
            <w:hideMark/>
          </w:tcPr>
          <w:p w14:paraId="70676D0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11.04</w:t>
            </w:r>
          </w:p>
        </w:tc>
        <w:tc>
          <w:tcPr>
            <w:tcW w:w="0" w:type="auto"/>
            <w:noWrap/>
            <w:hideMark/>
          </w:tcPr>
          <w:p w14:paraId="4ACFC3BF" w14:textId="7777777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0.0010</w:t>
            </w:r>
          </w:p>
        </w:tc>
        <w:tc>
          <w:tcPr>
            <w:tcW w:w="0" w:type="auto"/>
            <w:vMerge w:val="restart"/>
            <w:noWrap/>
            <w:hideMark/>
          </w:tcPr>
          <w:p w14:paraId="1F95546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45.47</w:t>
            </w:r>
          </w:p>
        </w:tc>
        <w:tc>
          <w:tcPr>
            <w:tcW w:w="0" w:type="auto"/>
            <w:vMerge w:val="restart"/>
            <w:noWrap/>
            <w:hideMark/>
          </w:tcPr>
          <w:p w14:paraId="3ED48B8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54.49</w:t>
            </w:r>
          </w:p>
        </w:tc>
      </w:tr>
      <w:tr w:rsidR="0066014F" w:rsidRPr="00984DC4" w14:paraId="5F5C757B" w14:textId="77777777" w:rsidTr="00984DC4">
        <w:trPr>
          <w:trHeight w:val="285"/>
        </w:trPr>
        <w:tc>
          <w:tcPr>
            <w:tcW w:w="0" w:type="auto"/>
            <w:vMerge/>
            <w:noWrap/>
            <w:hideMark/>
          </w:tcPr>
          <w:p w14:paraId="2B44A817"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03F140B8"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Bale</w:t>
            </w:r>
          </w:p>
        </w:tc>
        <w:tc>
          <w:tcPr>
            <w:tcW w:w="0" w:type="auto"/>
            <w:noWrap/>
            <w:hideMark/>
          </w:tcPr>
          <w:p w14:paraId="594C7576"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6543068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30</w:t>
            </w:r>
          </w:p>
        </w:tc>
        <w:tc>
          <w:tcPr>
            <w:tcW w:w="0" w:type="auto"/>
            <w:noWrap/>
            <w:hideMark/>
          </w:tcPr>
          <w:p w14:paraId="575F7BDB"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11.16</w:t>
            </w:r>
          </w:p>
        </w:tc>
        <w:tc>
          <w:tcPr>
            <w:tcW w:w="0" w:type="auto"/>
            <w:noWrap/>
            <w:hideMark/>
          </w:tcPr>
          <w:p w14:paraId="051F6D95"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6.87</w:t>
            </w:r>
          </w:p>
        </w:tc>
        <w:tc>
          <w:tcPr>
            <w:tcW w:w="0" w:type="auto"/>
            <w:noWrap/>
            <w:hideMark/>
          </w:tcPr>
          <w:p w14:paraId="21BBAB9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18.13</w:t>
            </w:r>
          </w:p>
        </w:tc>
        <w:tc>
          <w:tcPr>
            <w:tcW w:w="0" w:type="auto"/>
            <w:noWrap/>
            <w:hideMark/>
          </w:tcPr>
          <w:p w14:paraId="37B3B8F8" w14:textId="7777777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0.0001</w:t>
            </w:r>
          </w:p>
        </w:tc>
        <w:tc>
          <w:tcPr>
            <w:tcW w:w="0" w:type="auto"/>
            <w:vMerge/>
            <w:noWrap/>
            <w:hideMark/>
          </w:tcPr>
          <w:p w14:paraId="04CBE381"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1CE38470"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4C530332" w14:textId="77777777" w:rsidTr="00984DC4">
        <w:trPr>
          <w:trHeight w:val="285"/>
        </w:trPr>
        <w:tc>
          <w:tcPr>
            <w:tcW w:w="0" w:type="auto"/>
            <w:vMerge/>
            <w:noWrap/>
            <w:hideMark/>
          </w:tcPr>
          <w:p w14:paraId="7913E3BF"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0B14FE17"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Bench-Sheko</w:t>
            </w:r>
          </w:p>
        </w:tc>
        <w:tc>
          <w:tcPr>
            <w:tcW w:w="0" w:type="auto"/>
            <w:noWrap/>
            <w:hideMark/>
          </w:tcPr>
          <w:p w14:paraId="3F647AD1"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0CC8823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60</w:t>
            </w:r>
          </w:p>
        </w:tc>
        <w:tc>
          <w:tcPr>
            <w:tcW w:w="0" w:type="auto"/>
            <w:noWrap/>
            <w:hideMark/>
          </w:tcPr>
          <w:p w14:paraId="0337324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43.92</w:t>
            </w:r>
          </w:p>
        </w:tc>
        <w:tc>
          <w:tcPr>
            <w:tcW w:w="0" w:type="auto"/>
            <w:noWrap/>
            <w:hideMark/>
          </w:tcPr>
          <w:p w14:paraId="778F674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3.01</w:t>
            </w:r>
          </w:p>
        </w:tc>
        <w:tc>
          <w:tcPr>
            <w:tcW w:w="0" w:type="auto"/>
            <w:noWrap/>
            <w:hideMark/>
          </w:tcPr>
          <w:p w14:paraId="537B4C65"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641.76</w:t>
            </w:r>
          </w:p>
        </w:tc>
        <w:tc>
          <w:tcPr>
            <w:tcW w:w="0" w:type="auto"/>
            <w:noWrap/>
            <w:hideMark/>
          </w:tcPr>
          <w:p w14:paraId="3C2E917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0.2210</w:t>
            </w:r>
          </w:p>
        </w:tc>
        <w:tc>
          <w:tcPr>
            <w:tcW w:w="0" w:type="auto"/>
            <w:vMerge/>
            <w:noWrap/>
            <w:hideMark/>
          </w:tcPr>
          <w:p w14:paraId="6190373C"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74A3D5EE"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747BBB01" w14:textId="77777777" w:rsidTr="00984DC4">
        <w:trPr>
          <w:trHeight w:val="285"/>
        </w:trPr>
        <w:tc>
          <w:tcPr>
            <w:tcW w:w="0" w:type="auto"/>
            <w:vMerge/>
            <w:noWrap/>
            <w:hideMark/>
          </w:tcPr>
          <w:p w14:paraId="27AE7932"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6B6C3972"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Gambella</w:t>
            </w:r>
          </w:p>
        </w:tc>
        <w:tc>
          <w:tcPr>
            <w:tcW w:w="0" w:type="auto"/>
            <w:noWrap/>
            <w:hideMark/>
          </w:tcPr>
          <w:p w14:paraId="31E4B2C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2DABCA46"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13</w:t>
            </w:r>
          </w:p>
        </w:tc>
        <w:tc>
          <w:tcPr>
            <w:tcW w:w="0" w:type="auto"/>
            <w:noWrap/>
            <w:hideMark/>
          </w:tcPr>
          <w:p w14:paraId="327B9F92"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7.69</w:t>
            </w:r>
          </w:p>
        </w:tc>
        <w:tc>
          <w:tcPr>
            <w:tcW w:w="0" w:type="auto"/>
            <w:noWrap/>
            <w:hideMark/>
          </w:tcPr>
          <w:p w14:paraId="4BA56A19"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6.82</w:t>
            </w:r>
          </w:p>
        </w:tc>
        <w:tc>
          <w:tcPr>
            <w:tcW w:w="0" w:type="auto"/>
            <w:noWrap/>
            <w:hideMark/>
          </w:tcPr>
          <w:p w14:paraId="23E4148E"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8.67</w:t>
            </w:r>
          </w:p>
        </w:tc>
        <w:tc>
          <w:tcPr>
            <w:tcW w:w="0" w:type="auto"/>
            <w:noWrap/>
            <w:hideMark/>
          </w:tcPr>
          <w:p w14:paraId="7FF54C65" w14:textId="7777777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0.0191</w:t>
            </w:r>
          </w:p>
        </w:tc>
        <w:tc>
          <w:tcPr>
            <w:tcW w:w="0" w:type="auto"/>
            <w:vMerge/>
            <w:noWrap/>
            <w:hideMark/>
          </w:tcPr>
          <w:p w14:paraId="0080C378"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66D780F9"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0EB25501" w14:textId="77777777" w:rsidTr="00984DC4">
        <w:trPr>
          <w:trHeight w:val="285"/>
        </w:trPr>
        <w:tc>
          <w:tcPr>
            <w:tcW w:w="0" w:type="auto"/>
            <w:vMerge/>
            <w:noWrap/>
            <w:hideMark/>
          </w:tcPr>
          <w:p w14:paraId="49C205E8"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33696887"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Gonder</w:t>
            </w:r>
          </w:p>
        </w:tc>
        <w:tc>
          <w:tcPr>
            <w:tcW w:w="0" w:type="auto"/>
            <w:noWrap/>
            <w:hideMark/>
          </w:tcPr>
          <w:p w14:paraId="6DDBD55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259348D6"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28</w:t>
            </w:r>
          </w:p>
        </w:tc>
        <w:tc>
          <w:tcPr>
            <w:tcW w:w="0" w:type="auto"/>
            <w:noWrap/>
            <w:hideMark/>
          </w:tcPr>
          <w:p w14:paraId="1E5E0D71"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19.9</w:t>
            </w:r>
          </w:p>
        </w:tc>
        <w:tc>
          <w:tcPr>
            <w:tcW w:w="0" w:type="auto"/>
            <w:noWrap/>
            <w:hideMark/>
          </w:tcPr>
          <w:p w14:paraId="19365768"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0.03</w:t>
            </w:r>
          </w:p>
        </w:tc>
        <w:tc>
          <w:tcPr>
            <w:tcW w:w="0" w:type="auto"/>
            <w:noWrap/>
            <w:hideMark/>
          </w:tcPr>
          <w:p w14:paraId="54C402D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15102.66</w:t>
            </w:r>
          </w:p>
        </w:tc>
        <w:tc>
          <w:tcPr>
            <w:tcW w:w="0" w:type="auto"/>
            <w:noWrap/>
            <w:hideMark/>
          </w:tcPr>
          <w:p w14:paraId="7EAD54E1"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0.5392</w:t>
            </w:r>
          </w:p>
        </w:tc>
        <w:tc>
          <w:tcPr>
            <w:tcW w:w="0" w:type="auto"/>
            <w:vMerge/>
            <w:noWrap/>
            <w:hideMark/>
          </w:tcPr>
          <w:p w14:paraId="5A9E4215"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045A13B2"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72E2D893" w14:textId="77777777" w:rsidTr="00984DC4">
        <w:trPr>
          <w:trHeight w:val="285"/>
        </w:trPr>
        <w:tc>
          <w:tcPr>
            <w:tcW w:w="0" w:type="auto"/>
            <w:vMerge/>
            <w:noWrap/>
            <w:hideMark/>
          </w:tcPr>
          <w:p w14:paraId="6A73C9D3"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771281E9"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Gurage</w:t>
            </w:r>
          </w:p>
        </w:tc>
        <w:tc>
          <w:tcPr>
            <w:tcW w:w="0" w:type="auto"/>
            <w:noWrap/>
            <w:hideMark/>
          </w:tcPr>
          <w:p w14:paraId="1C0EB4D1"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w:t>
            </w:r>
          </w:p>
        </w:tc>
        <w:tc>
          <w:tcPr>
            <w:tcW w:w="0" w:type="auto"/>
            <w:noWrap/>
            <w:hideMark/>
          </w:tcPr>
          <w:p w14:paraId="7B3B826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82</w:t>
            </w:r>
          </w:p>
        </w:tc>
        <w:tc>
          <w:tcPr>
            <w:tcW w:w="0" w:type="auto"/>
            <w:noWrap/>
            <w:hideMark/>
          </w:tcPr>
          <w:p w14:paraId="35077AE5"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17.46</w:t>
            </w:r>
          </w:p>
        </w:tc>
        <w:tc>
          <w:tcPr>
            <w:tcW w:w="0" w:type="auto"/>
            <w:noWrap/>
            <w:hideMark/>
          </w:tcPr>
          <w:p w14:paraId="7B028139"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9.82</w:t>
            </w:r>
          </w:p>
        </w:tc>
        <w:tc>
          <w:tcPr>
            <w:tcW w:w="0" w:type="auto"/>
            <w:noWrap/>
            <w:hideMark/>
          </w:tcPr>
          <w:p w14:paraId="2A246656"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31.06</w:t>
            </w:r>
          </w:p>
        </w:tc>
        <w:tc>
          <w:tcPr>
            <w:tcW w:w="0" w:type="auto"/>
            <w:noWrap/>
            <w:hideMark/>
          </w:tcPr>
          <w:p w14:paraId="5176CA2E" w14:textId="7777777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0.0103</w:t>
            </w:r>
          </w:p>
        </w:tc>
        <w:tc>
          <w:tcPr>
            <w:tcW w:w="0" w:type="auto"/>
            <w:vMerge/>
            <w:noWrap/>
            <w:hideMark/>
          </w:tcPr>
          <w:p w14:paraId="553737DA"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42668AAD"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5C2BC60C" w14:textId="77777777" w:rsidTr="00984DC4">
        <w:trPr>
          <w:trHeight w:val="285"/>
        </w:trPr>
        <w:tc>
          <w:tcPr>
            <w:tcW w:w="0" w:type="auto"/>
            <w:vMerge/>
            <w:noWrap/>
            <w:hideMark/>
          </w:tcPr>
          <w:p w14:paraId="039B756B"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7DF440A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Hadiya</w:t>
            </w:r>
          </w:p>
        </w:tc>
        <w:tc>
          <w:tcPr>
            <w:tcW w:w="0" w:type="auto"/>
            <w:noWrap/>
            <w:hideMark/>
          </w:tcPr>
          <w:p w14:paraId="1E60CB51"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0264A019"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16</w:t>
            </w:r>
          </w:p>
        </w:tc>
        <w:tc>
          <w:tcPr>
            <w:tcW w:w="0" w:type="auto"/>
            <w:noWrap/>
            <w:hideMark/>
          </w:tcPr>
          <w:p w14:paraId="695E7F0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6.92</w:t>
            </w:r>
          </w:p>
        </w:tc>
        <w:tc>
          <w:tcPr>
            <w:tcW w:w="0" w:type="auto"/>
            <w:noWrap/>
            <w:hideMark/>
          </w:tcPr>
          <w:p w14:paraId="693B0B6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0.48</w:t>
            </w:r>
          </w:p>
        </w:tc>
        <w:tc>
          <w:tcPr>
            <w:tcW w:w="0" w:type="auto"/>
            <w:noWrap/>
            <w:hideMark/>
          </w:tcPr>
          <w:p w14:paraId="193053B2"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100.68</w:t>
            </w:r>
          </w:p>
        </w:tc>
        <w:tc>
          <w:tcPr>
            <w:tcW w:w="0" w:type="auto"/>
            <w:noWrap/>
            <w:hideMark/>
          </w:tcPr>
          <w:p w14:paraId="6E0783C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0.3913</w:t>
            </w:r>
          </w:p>
        </w:tc>
        <w:tc>
          <w:tcPr>
            <w:tcW w:w="0" w:type="auto"/>
            <w:vMerge/>
            <w:noWrap/>
            <w:hideMark/>
          </w:tcPr>
          <w:p w14:paraId="3156E792"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6DFE9F22"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75BA4ED1" w14:textId="77777777" w:rsidTr="00984DC4">
        <w:trPr>
          <w:trHeight w:val="285"/>
        </w:trPr>
        <w:tc>
          <w:tcPr>
            <w:tcW w:w="0" w:type="auto"/>
            <w:vMerge/>
            <w:noWrap/>
            <w:hideMark/>
          </w:tcPr>
          <w:p w14:paraId="1659AD61"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095D0EC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Hararge</w:t>
            </w:r>
          </w:p>
        </w:tc>
        <w:tc>
          <w:tcPr>
            <w:tcW w:w="0" w:type="auto"/>
            <w:noWrap/>
            <w:hideMark/>
          </w:tcPr>
          <w:p w14:paraId="520B8B2E"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1FE73CB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28</w:t>
            </w:r>
          </w:p>
        </w:tc>
        <w:tc>
          <w:tcPr>
            <w:tcW w:w="0" w:type="auto"/>
            <w:noWrap/>
            <w:hideMark/>
          </w:tcPr>
          <w:p w14:paraId="05117D52"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20.1</w:t>
            </w:r>
          </w:p>
        </w:tc>
        <w:tc>
          <w:tcPr>
            <w:tcW w:w="0" w:type="auto"/>
            <w:noWrap/>
            <w:hideMark/>
          </w:tcPr>
          <w:p w14:paraId="0B016CC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12.66</w:t>
            </w:r>
          </w:p>
        </w:tc>
        <w:tc>
          <w:tcPr>
            <w:tcW w:w="0" w:type="auto"/>
            <w:noWrap/>
            <w:hideMark/>
          </w:tcPr>
          <w:p w14:paraId="50B7251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31.92</w:t>
            </w:r>
          </w:p>
        </w:tc>
        <w:tc>
          <w:tcPr>
            <w:tcW w:w="0" w:type="auto"/>
            <w:noWrap/>
            <w:hideMark/>
          </w:tcPr>
          <w:p w14:paraId="1D1808C1" w14:textId="7777777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0.0001</w:t>
            </w:r>
          </w:p>
        </w:tc>
        <w:tc>
          <w:tcPr>
            <w:tcW w:w="0" w:type="auto"/>
            <w:vMerge/>
            <w:noWrap/>
            <w:hideMark/>
          </w:tcPr>
          <w:p w14:paraId="3E149C92"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37C75951"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4DD76695" w14:textId="77777777" w:rsidTr="00984DC4">
        <w:trPr>
          <w:trHeight w:val="285"/>
        </w:trPr>
        <w:tc>
          <w:tcPr>
            <w:tcW w:w="0" w:type="auto"/>
            <w:vMerge/>
            <w:noWrap/>
            <w:hideMark/>
          </w:tcPr>
          <w:p w14:paraId="076E9254"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37F0514B"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Ilu Aba Bora</w:t>
            </w:r>
          </w:p>
        </w:tc>
        <w:tc>
          <w:tcPr>
            <w:tcW w:w="0" w:type="auto"/>
            <w:noWrap/>
            <w:hideMark/>
          </w:tcPr>
          <w:p w14:paraId="196B8D9B"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4E24213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w:t>
            </w:r>
          </w:p>
        </w:tc>
        <w:tc>
          <w:tcPr>
            <w:tcW w:w="0" w:type="auto"/>
            <w:noWrap/>
            <w:hideMark/>
          </w:tcPr>
          <w:p w14:paraId="5B1C0843"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0.09</w:t>
            </w:r>
          </w:p>
        </w:tc>
        <w:tc>
          <w:tcPr>
            <w:tcW w:w="0" w:type="auto"/>
            <w:noWrap/>
            <w:hideMark/>
          </w:tcPr>
          <w:p w14:paraId="5D75C9C8"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0.07</w:t>
            </w:r>
          </w:p>
        </w:tc>
        <w:tc>
          <w:tcPr>
            <w:tcW w:w="0" w:type="auto"/>
            <w:noWrap/>
            <w:hideMark/>
          </w:tcPr>
          <w:p w14:paraId="0ACAD686"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0.12</w:t>
            </w:r>
          </w:p>
        </w:tc>
        <w:tc>
          <w:tcPr>
            <w:tcW w:w="0" w:type="auto"/>
            <w:noWrap/>
            <w:hideMark/>
          </w:tcPr>
          <w:p w14:paraId="2294967E" w14:textId="7777777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0.0372</w:t>
            </w:r>
          </w:p>
        </w:tc>
        <w:tc>
          <w:tcPr>
            <w:tcW w:w="0" w:type="auto"/>
            <w:vMerge/>
            <w:noWrap/>
            <w:hideMark/>
          </w:tcPr>
          <w:p w14:paraId="395E2203"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6B4B9671"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37013D81" w14:textId="77777777" w:rsidTr="00984DC4">
        <w:trPr>
          <w:trHeight w:val="285"/>
        </w:trPr>
        <w:tc>
          <w:tcPr>
            <w:tcW w:w="0" w:type="auto"/>
            <w:vMerge/>
            <w:noWrap/>
            <w:hideMark/>
          </w:tcPr>
          <w:p w14:paraId="5B8753F2"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71AC4161"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Jimma</w:t>
            </w:r>
          </w:p>
        </w:tc>
        <w:tc>
          <w:tcPr>
            <w:tcW w:w="0" w:type="auto"/>
            <w:noWrap/>
            <w:hideMark/>
          </w:tcPr>
          <w:p w14:paraId="7855179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9</w:t>
            </w:r>
          </w:p>
        </w:tc>
        <w:tc>
          <w:tcPr>
            <w:tcW w:w="0" w:type="auto"/>
            <w:noWrap/>
            <w:hideMark/>
          </w:tcPr>
          <w:p w14:paraId="73776867"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467</w:t>
            </w:r>
          </w:p>
        </w:tc>
        <w:tc>
          <w:tcPr>
            <w:tcW w:w="0" w:type="auto"/>
            <w:noWrap/>
            <w:hideMark/>
          </w:tcPr>
          <w:p w14:paraId="46ED2231"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12.06</w:t>
            </w:r>
          </w:p>
        </w:tc>
        <w:tc>
          <w:tcPr>
            <w:tcW w:w="0" w:type="auto"/>
            <w:noWrap/>
            <w:hideMark/>
          </w:tcPr>
          <w:p w14:paraId="1245858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6.97</w:t>
            </w:r>
          </w:p>
        </w:tc>
        <w:tc>
          <w:tcPr>
            <w:tcW w:w="0" w:type="auto"/>
            <w:noWrap/>
            <w:hideMark/>
          </w:tcPr>
          <w:p w14:paraId="101F2EDC"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20.89</w:t>
            </w:r>
          </w:p>
        </w:tc>
        <w:tc>
          <w:tcPr>
            <w:tcW w:w="0" w:type="auto"/>
            <w:noWrap/>
            <w:hideMark/>
          </w:tcPr>
          <w:p w14:paraId="1755599C" w14:textId="269FD1FA"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noWrap/>
            <w:hideMark/>
          </w:tcPr>
          <w:p w14:paraId="405B652D"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0D454F56"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74A5E1F8" w14:textId="77777777" w:rsidTr="00984DC4">
        <w:trPr>
          <w:trHeight w:val="285"/>
        </w:trPr>
        <w:tc>
          <w:tcPr>
            <w:tcW w:w="0" w:type="auto"/>
            <w:vMerge/>
            <w:noWrap/>
            <w:hideMark/>
          </w:tcPr>
          <w:p w14:paraId="45A15E98"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5AB6DA2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Lakes</w:t>
            </w:r>
          </w:p>
        </w:tc>
        <w:tc>
          <w:tcPr>
            <w:tcW w:w="0" w:type="auto"/>
            <w:noWrap/>
            <w:hideMark/>
          </w:tcPr>
          <w:p w14:paraId="33DC5B25"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11</w:t>
            </w:r>
          </w:p>
        </w:tc>
        <w:tc>
          <w:tcPr>
            <w:tcW w:w="0" w:type="auto"/>
            <w:noWrap/>
            <w:hideMark/>
          </w:tcPr>
          <w:p w14:paraId="27A164C6"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164</w:t>
            </w:r>
          </w:p>
        </w:tc>
        <w:tc>
          <w:tcPr>
            <w:tcW w:w="0" w:type="auto"/>
            <w:noWrap/>
            <w:hideMark/>
          </w:tcPr>
          <w:p w14:paraId="75A3BA98"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3.16</w:t>
            </w:r>
          </w:p>
        </w:tc>
        <w:tc>
          <w:tcPr>
            <w:tcW w:w="0" w:type="auto"/>
            <w:noWrap/>
            <w:hideMark/>
          </w:tcPr>
          <w:p w14:paraId="253A620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1.78</w:t>
            </w:r>
          </w:p>
        </w:tc>
        <w:tc>
          <w:tcPr>
            <w:tcW w:w="0" w:type="auto"/>
            <w:noWrap/>
            <w:hideMark/>
          </w:tcPr>
          <w:p w14:paraId="4BCFE72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5.62</w:t>
            </w:r>
          </w:p>
        </w:tc>
        <w:tc>
          <w:tcPr>
            <w:tcW w:w="0" w:type="auto"/>
            <w:noWrap/>
            <w:hideMark/>
          </w:tcPr>
          <w:p w14:paraId="01E4CFD8" w14:textId="7777777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0.0030</w:t>
            </w:r>
          </w:p>
        </w:tc>
        <w:tc>
          <w:tcPr>
            <w:tcW w:w="0" w:type="auto"/>
            <w:vMerge/>
            <w:noWrap/>
            <w:hideMark/>
          </w:tcPr>
          <w:p w14:paraId="420635CF"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034B23B7"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3BC342B8" w14:textId="77777777" w:rsidTr="00984DC4">
        <w:trPr>
          <w:trHeight w:val="285"/>
        </w:trPr>
        <w:tc>
          <w:tcPr>
            <w:tcW w:w="0" w:type="auto"/>
            <w:vMerge/>
            <w:noWrap/>
            <w:hideMark/>
          </w:tcPr>
          <w:p w14:paraId="1ADAD3AB"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57F7192B"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Shewa</w:t>
            </w:r>
          </w:p>
        </w:tc>
        <w:tc>
          <w:tcPr>
            <w:tcW w:w="0" w:type="auto"/>
            <w:noWrap/>
            <w:hideMark/>
          </w:tcPr>
          <w:p w14:paraId="3D8D5C7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7</w:t>
            </w:r>
          </w:p>
        </w:tc>
        <w:tc>
          <w:tcPr>
            <w:tcW w:w="0" w:type="auto"/>
            <w:noWrap/>
            <w:hideMark/>
          </w:tcPr>
          <w:p w14:paraId="7322076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441</w:t>
            </w:r>
          </w:p>
        </w:tc>
        <w:tc>
          <w:tcPr>
            <w:tcW w:w="0" w:type="auto"/>
            <w:noWrap/>
            <w:hideMark/>
          </w:tcPr>
          <w:p w14:paraId="7B827B5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10.54</w:t>
            </w:r>
          </w:p>
        </w:tc>
        <w:tc>
          <w:tcPr>
            <w:tcW w:w="0" w:type="auto"/>
            <w:noWrap/>
            <w:hideMark/>
          </w:tcPr>
          <w:p w14:paraId="57C1B328"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6.01</w:t>
            </w:r>
          </w:p>
        </w:tc>
        <w:tc>
          <w:tcPr>
            <w:tcW w:w="0" w:type="auto"/>
            <w:noWrap/>
            <w:hideMark/>
          </w:tcPr>
          <w:p w14:paraId="3D02F28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18.5</w:t>
            </w:r>
          </w:p>
        </w:tc>
        <w:tc>
          <w:tcPr>
            <w:tcW w:w="0" w:type="auto"/>
            <w:noWrap/>
            <w:hideMark/>
          </w:tcPr>
          <w:p w14:paraId="351FF014" w14:textId="29F4083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&lt;0.0001</w:t>
            </w:r>
          </w:p>
        </w:tc>
        <w:tc>
          <w:tcPr>
            <w:tcW w:w="0" w:type="auto"/>
            <w:vMerge/>
            <w:noWrap/>
            <w:hideMark/>
          </w:tcPr>
          <w:p w14:paraId="2549F57A"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215B045E"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3086350D" w14:textId="77777777" w:rsidTr="00984DC4">
        <w:trPr>
          <w:trHeight w:val="285"/>
        </w:trPr>
        <w:tc>
          <w:tcPr>
            <w:tcW w:w="0" w:type="auto"/>
            <w:vMerge/>
            <w:noWrap/>
            <w:hideMark/>
          </w:tcPr>
          <w:p w14:paraId="4CE36C01"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4BB3301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Sidama</w:t>
            </w:r>
          </w:p>
        </w:tc>
        <w:tc>
          <w:tcPr>
            <w:tcW w:w="0" w:type="auto"/>
            <w:noWrap/>
            <w:hideMark/>
          </w:tcPr>
          <w:p w14:paraId="3447BD8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w:t>
            </w:r>
          </w:p>
        </w:tc>
        <w:tc>
          <w:tcPr>
            <w:tcW w:w="0" w:type="auto"/>
            <w:noWrap/>
            <w:hideMark/>
          </w:tcPr>
          <w:p w14:paraId="3F3E336A"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103</w:t>
            </w:r>
          </w:p>
        </w:tc>
        <w:tc>
          <w:tcPr>
            <w:tcW w:w="0" w:type="auto"/>
            <w:noWrap/>
            <w:hideMark/>
          </w:tcPr>
          <w:p w14:paraId="504747C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5.83</w:t>
            </w:r>
          </w:p>
        </w:tc>
        <w:tc>
          <w:tcPr>
            <w:tcW w:w="0" w:type="auto"/>
            <w:noWrap/>
            <w:hideMark/>
          </w:tcPr>
          <w:p w14:paraId="5999175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1.68</w:t>
            </w:r>
          </w:p>
        </w:tc>
        <w:tc>
          <w:tcPr>
            <w:tcW w:w="0" w:type="auto"/>
            <w:noWrap/>
            <w:hideMark/>
          </w:tcPr>
          <w:p w14:paraId="61228A4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20.21</w:t>
            </w:r>
          </w:p>
        </w:tc>
        <w:tc>
          <w:tcPr>
            <w:tcW w:w="0" w:type="auto"/>
            <w:noWrap/>
            <w:hideMark/>
          </w:tcPr>
          <w:p w14:paraId="0520904E"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0.1088</w:t>
            </w:r>
          </w:p>
        </w:tc>
        <w:tc>
          <w:tcPr>
            <w:tcW w:w="0" w:type="auto"/>
            <w:vMerge/>
            <w:noWrap/>
            <w:hideMark/>
          </w:tcPr>
          <w:p w14:paraId="4D4CBC21"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13DA15E2"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30EF9A36" w14:textId="77777777" w:rsidTr="00984DC4">
        <w:trPr>
          <w:trHeight w:val="285"/>
        </w:trPr>
        <w:tc>
          <w:tcPr>
            <w:tcW w:w="0" w:type="auto"/>
            <w:vMerge/>
            <w:noWrap/>
            <w:hideMark/>
          </w:tcPr>
          <w:p w14:paraId="27AE052C"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5A092D78"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Uncertain</w:t>
            </w:r>
          </w:p>
        </w:tc>
        <w:tc>
          <w:tcPr>
            <w:tcW w:w="0" w:type="auto"/>
            <w:noWrap/>
            <w:hideMark/>
          </w:tcPr>
          <w:p w14:paraId="2D222F2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w:t>
            </w:r>
          </w:p>
        </w:tc>
        <w:tc>
          <w:tcPr>
            <w:tcW w:w="0" w:type="auto"/>
            <w:noWrap/>
            <w:hideMark/>
          </w:tcPr>
          <w:p w14:paraId="1378E8B5"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396</w:t>
            </w:r>
          </w:p>
        </w:tc>
        <w:tc>
          <w:tcPr>
            <w:tcW w:w="0" w:type="auto"/>
            <w:noWrap/>
            <w:hideMark/>
          </w:tcPr>
          <w:p w14:paraId="208417E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12.95</w:t>
            </w:r>
          </w:p>
        </w:tc>
        <w:tc>
          <w:tcPr>
            <w:tcW w:w="0" w:type="auto"/>
            <w:noWrap/>
            <w:hideMark/>
          </w:tcPr>
          <w:p w14:paraId="0696FDC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0.75</w:t>
            </w:r>
          </w:p>
        </w:tc>
        <w:tc>
          <w:tcPr>
            <w:tcW w:w="0" w:type="auto"/>
            <w:noWrap/>
            <w:hideMark/>
          </w:tcPr>
          <w:p w14:paraId="69934A02"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222.95</w:t>
            </w:r>
          </w:p>
        </w:tc>
        <w:tc>
          <w:tcPr>
            <w:tcW w:w="0" w:type="auto"/>
            <w:noWrap/>
            <w:hideMark/>
          </w:tcPr>
          <w:p w14:paraId="528B12D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0.1584</w:t>
            </w:r>
          </w:p>
        </w:tc>
        <w:tc>
          <w:tcPr>
            <w:tcW w:w="0" w:type="auto"/>
            <w:vMerge/>
            <w:noWrap/>
            <w:hideMark/>
          </w:tcPr>
          <w:p w14:paraId="3C5E42A1"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072EFEBF" w14:textId="77777777" w:rsidR="0066014F" w:rsidRPr="00984DC4" w:rsidRDefault="0066014F" w:rsidP="00984DC4">
            <w:pPr>
              <w:contextualSpacing/>
              <w:jc w:val="both"/>
              <w:rPr>
                <w:rFonts w:ascii="Times New Roman" w:hAnsi="Times New Roman" w:cs="Times New Roman"/>
                <w:sz w:val="20"/>
                <w:szCs w:val="20"/>
              </w:rPr>
            </w:pPr>
          </w:p>
        </w:tc>
      </w:tr>
      <w:tr w:rsidR="0066014F" w:rsidRPr="00984DC4" w14:paraId="350E7395" w14:textId="77777777" w:rsidTr="00984DC4">
        <w:trPr>
          <w:trHeight w:val="285"/>
        </w:trPr>
        <w:tc>
          <w:tcPr>
            <w:tcW w:w="0" w:type="auto"/>
            <w:vMerge/>
            <w:noWrap/>
            <w:hideMark/>
          </w:tcPr>
          <w:p w14:paraId="72FBE5A0" w14:textId="77777777" w:rsidR="0066014F" w:rsidRPr="00984DC4" w:rsidRDefault="0066014F" w:rsidP="00984DC4">
            <w:pPr>
              <w:contextualSpacing/>
              <w:jc w:val="both"/>
              <w:rPr>
                <w:rFonts w:ascii="Times New Roman" w:hAnsi="Times New Roman" w:cs="Times New Roman"/>
                <w:sz w:val="20"/>
                <w:szCs w:val="20"/>
              </w:rPr>
            </w:pPr>
          </w:p>
        </w:tc>
        <w:tc>
          <w:tcPr>
            <w:tcW w:w="0" w:type="auto"/>
            <w:noWrap/>
            <w:hideMark/>
          </w:tcPr>
          <w:p w14:paraId="44A52D6D"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Wollo</w:t>
            </w:r>
          </w:p>
        </w:tc>
        <w:tc>
          <w:tcPr>
            <w:tcW w:w="0" w:type="auto"/>
            <w:noWrap/>
            <w:hideMark/>
          </w:tcPr>
          <w:p w14:paraId="0FCC83A5"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1</w:t>
            </w:r>
          </w:p>
        </w:tc>
        <w:tc>
          <w:tcPr>
            <w:tcW w:w="0" w:type="auto"/>
            <w:noWrap/>
            <w:hideMark/>
          </w:tcPr>
          <w:p w14:paraId="33E30AA3"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50</w:t>
            </w:r>
          </w:p>
        </w:tc>
        <w:tc>
          <w:tcPr>
            <w:tcW w:w="0" w:type="auto"/>
            <w:noWrap/>
            <w:hideMark/>
          </w:tcPr>
          <w:p w14:paraId="281BE3D0"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4.49</w:t>
            </w:r>
          </w:p>
        </w:tc>
        <w:tc>
          <w:tcPr>
            <w:tcW w:w="0" w:type="auto"/>
            <w:noWrap/>
            <w:hideMark/>
          </w:tcPr>
          <w:p w14:paraId="50FF58CF"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3.7</w:t>
            </w:r>
          </w:p>
        </w:tc>
        <w:tc>
          <w:tcPr>
            <w:tcW w:w="0" w:type="auto"/>
            <w:noWrap/>
            <w:hideMark/>
          </w:tcPr>
          <w:p w14:paraId="6EFEEA84" w14:textId="77777777" w:rsidR="0066014F" w:rsidRPr="00984DC4" w:rsidRDefault="0066014F" w:rsidP="00984DC4">
            <w:pPr>
              <w:contextualSpacing/>
              <w:jc w:val="both"/>
              <w:rPr>
                <w:rFonts w:ascii="Times New Roman" w:hAnsi="Times New Roman" w:cs="Times New Roman"/>
                <w:sz w:val="20"/>
                <w:szCs w:val="20"/>
              </w:rPr>
            </w:pPr>
            <w:r w:rsidRPr="00984DC4">
              <w:rPr>
                <w:rFonts w:ascii="Times New Roman" w:hAnsi="Times New Roman" w:cs="Times New Roman"/>
                <w:sz w:val="20"/>
                <w:szCs w:val="20"/>
              </w:rPr>
              <w:t>5.45</w:t>
            </w:r>
          </w:p>
        </w:tc>
        <w:tc>
          <w:tcPr>
            <w:tcW w:w="0" w:type="auto"/>
            <w:noWrap/>
            <w:hideMark/>
          </w:tcPr>
          <w:p w14:paraId="4477CAAE" w14:textId="77777777" w:rsidR="0066014F" w:rsidRPr="00984DC4" w:rsidRDefault="0066014F"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0.0416</w:t>
            </w:r>
          </w:p>
        </w:tc>
        <w:tc>
          <w:tcPr>
            <w:tcW w:w="0" w:type="auto"/>
            <w:vMerge/>
            <w:noWrap/>
            <w:hideMark/>
          </w:tcPr>
          <w:p w14:paraId="42A75173" w14:textId="77777777" w:rsidR="0066014F" w:rsidRPr="00984DC4" w:rsidRDefault="0066014F" w:rsidP="00984DC4">
            <w:pPr>
              <w:contextualSpacing/>
              <w:jc w:val="both"/>
              <w:rPr>
                <w:rFonts w:ascii="Times New Roman" w:hAnsi="Times New Roman" w:cs="Times New Roman"/>
                <w:sz w:val="20"/>
                <w:szCs w:val="20"/>
              </w:rPr>
            </w:pPr>
          </w:p>
        </w:tc>
        <w:tc>
          <w:tcPr>
            <w:tcW w:w="0" w:type="auto"/>
            <w:vMerge/>
            <w:noWrap/>
            <w:hideMark/>
          </w:tcPr>
          <w:p w14:paraId="27EC7342" w14:textId="77777777" w:rsidR="0066014F" w:rsidRPr="00984DC4" w:rsidRDefault="0066014F" w:rsidP="00984DC4">
            <w:pPr>
              <w:contextualSpacing/>
              <w:jc w:val="both"/>
              <w:rPr>
                <w:rFonts w:ascii="Times New Roman" w:hAnsi="Times New Roman" w:cs="Times New Roman"/>
                <w:sz w:val="20"/>
                <w:szCs w:val="20"/>
              </w:rPr>
            </w:pPr>
          </w:p>
        </w:tc>
      </w:tr>
    </w:tbl>
    <w:p w14:paraId="1D424DE2" w14:textId="77777777" w:rsidR="00BF37A2" w:rsidRPr="002042E6" w:rsidRDefault="00BF37A2" w:rsidP="00835361">
      <w:pPr>
        <w:spacing w:line="360" w:lineRule="auto"/>
        <w:jc w:val="both"/>
        <w:rPr>
          <w:rFonts w:ascii="Times New Roman" w:hAnsi="Times New Roman" w:cs="Times New Roman"/>
          <w:sz w:val="24"/>
          <w:szCs w:val="24"/>
        </w:rPr>
      </w:pPr>
    </w:p>
    <w:p w14:paraId="5C6D77BB" w14:textId="732CEB0D" w:rsidR="00FF0C5B" w:rsidRPr="002042E6" w:rsidRDefault="00BF37A2"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Table 2: Summary of moderators of pesticide food residue concentrations</w:t>
      </w:r>
    </w:p>
    <w:tbl>
      <w:tblPr>
        <w:tblStyle w:val="TableGrid"/>
        <w:tblW w:w="3896" w:type="dxa"/>
        <w:tblLook w:val="04A0" w:firstRow="1" w:lastRow="0" w:firstColumn="1" w:lastColumn="0" w:noHBand="0" w:noVBand="1"/>
      </w:tblPr>
      <w:tblGrid>
        <w:gridCol w:w="1337"/>
        <w:gridCol w:w="771"/>
        <w:gridCol w:w="1017"/>
        <w:gridCol w:w="771"/>
      </w:tblGrid>
      <w:tr w:rsidR="00A13A62" w:rsidRPr="00984DC4" w14:paraId="373DD1DB" w14:textId="77777777" w:rsidTr="00984DC4">
        <w:trPr>
          <w:trHeight w:val="299"/>
        </w:trPr>
        <w:tc>
          <w:tcPr>
            <w:tcW w:w="0" w:type="auto"/>
            <w:noWrap/>
            <w:hideMark/>
          </w:tcPr>
          <w:p w14:paraId="1DDC44E5" w14:textId="77777777" w:rsidR="00A13A62" w:rsidRPr="00984DC4" w:rsidRDefault="00A13A62"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Moderator</w:t>
            </w:r>
          </w:p>
        </w:tc>
        <w:tc>
          <w:tcPr>
            <w:tcW w:w="0" w:type="auto"/>
            <w:noWrap/>
            <w:hideMark/>
          </w:tcPr>
          <w:p w14:paraId="264BD165" w14:textId="77777777" w:rsidR="00A13A62" w:rsidRPr="00984DC4" w:rsidRDefault="00A13A62"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LRT</w:t>
            </w:r>
          </w:p>
        </w:tc>
        <w:tc>
          <w:tcPr>
            <w:tcW w:w="0" w:type="auto"/>
            <w:noWrap/>
            <w:hideMark/>
          </w:tcPr>
          <w:p w14:paraId="45ACDF1E" w14:textId="3632F18C" w:rsidR="00A13A62" w:rsidRPr="00984DC4" w:rsidRDefault="00A13A62"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P value</w:t>
            </w:r>
          </w:p>
        </w:tc>
        <w:tc>
          <w:tcPr>
            <w:tcW w:w="0" w:type="auto"/>
            <w:noWrap/>
            <w:hideMark/>
          </w:tcPr>
          <w:p w14:paraId="13F84A0F" w14:textId="77777777" w:rsidR="00A13A62" w:rsidRPr="00984DC4" w:rsidRDefault="00A13A62" w:rsidP="00984DC4">
            <w:pPr>
              <w:contextualSpacing/>
              <w:jc w:val="both"/>
              <w:rPr>
                <w:rFonts w:ascii="Times New Roman" w:hAnsi="Times New Roman" w:cs="Times New Roman"/>
                <w:b/>
                <w:bCs/>
                <w:sz w:val="20"/>
                <w:szCs w:val="20"/>
              </w:rPr>
            </w:pPr>
            <w:r w:rsidRPr="00984DC4">
              <w:rPr>
                <w:rFonts w:ascii="Times New Roman" w:hAnsi="Times New Roman" w:cs="Times New Roman"/>
                <w:b/>
                <w:bCs/>
                <w:sz w:val="20"/>
                <w:szCs w:val="20"/>
              </w:rPr>
              <w:t>R</w:t>
            </w:r>
            <w:r w:rsidRPr="00984DC4">
              <w:rPr>
                <w:rFonts w:ascii="Times New Roman" w:hAnsi="Times New Roman" w:cs="Times New Roman"/>
                <w:b/>
                <w:bCs/>
                <w:sz w:val="20"/>
                <w:szCs w:val="20"/>
                <w:vertAlign w:val="superscript"/>
              </w:rPr>
              <w:t>2</w:t>
            </w:r>
          </w:p>
        </w:tc>
      </w:tr>
      <w:tr w:rsidR="005A76BF" w:rsidRPr="00984DC4" w14:paraId="7A0AD42F" w14:textId="77777777" w:rsidTr="00984DC4">
        <w:trPr>
          <w:trHeight w:val="299"/>
        </w:trPr>
        <w:tc>
          <w:tcPr>
            <w:tcW w:w="0" w:type="auto"/>
            <w:noWrap/>
            <w:hideMark/>
          </w:tcPr>
          <w:p w14:paraId="4B105C8F" w14:textId="55C5EDED" w:rsidR="005A76BF" w:rsidRPr="00984DC4" w:rsidRDefault="00C76EC5"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Food origin</w:t>
            </w:r>
          </w:p>
        </w:tc>
        <w:tc>
          <w:tcPr>
            <w:tcW w:w="0" w:type="auto"/>
            <w:noWrap/>
            <w:hideMark/>
          </w:tcPr>
          <w:p w14:paraId="4DBBAA0C"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17.14</w:t>
            </w:r>
          </w:p>
        </w:tc>
        <w:tc>
          <w:tcPr>
            <w:tcW w:w="0" w:type="auto"/>
            <w:noWrap/>
            <w:hideMark/>
          </w:tcPr>
          <w:p w14:paraId="33776EDE"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0.0002</w:t>
            </w:r>
          </w:p>
        </w:tc>
        <w:tc>
          <w:tcPr>
            <w:tcW w:w="0" w:type="auto"/>
            <w:noWrap/>
            <w:hideMark/>
          </w:tcPr>
          <w:p w14:paraId="07E512B1"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0.163</w:t>
            </w:r>
          </w:p>
        </w:tc>
      </w:tr>
      <w:tr w:rsidR="005A76BF" w:rsidRPr="00984DC4" w14:paraId="4C22E4F3" w14:textId="77777777" w:rsidTr="00984DC4">
        <w:trPr>
          <w:trHeight w:val="299"/>
        </w:trPr>
        <w:tc>
          <w:tcPr>
            <w:tcW w:w="0" w:type="auto"/>
            <w:noWrap/>
            <w:hideMark/>
          </w:tcPr>
          <w:p w14:paraId="0C7AFEA5" w14:textId="75554254" w:rsidR="005A76BF" w:rsidRPr="00984DC4" w:rsidRDefault="00C76EC5"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Food group</w:t>
            </w:r>
          </w:p>
        </w:tc>
        <w:tc>
          <w:tcPr>
            <w:tcW w:w="0" w:type="auto"/>
            <w:noWrap/>
            <w:hideMark/>
          </w:tcPr>
          <w:p w14:paraId="6587C540"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29.63</w:t>
            </w:r>
          </w:p>
        </w:tc>
        <w:tc>
          <w:tcPr>
            <w:tcW w:w="0" w:type="auto"/>
            <w:noWrap/>
            <w:hideMark/>
          </w:tcPr>
          <w:p w14:paraId="24A702C4" w14:textId="231B20D6"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&lt;0.0001</w:t>
            </w:r>
          </w:p>
        </w:tc>
        <w:tc>
          <w:tcPr>
            <w:tcW w:w="0" w:type="auto"/>
            <w:noWrap/>
            <w:hideMark/>
          </w:tcPr>
          <w:p w14:paraId="3621DCDD"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0.079</w:t>
            </w:r>
          </w:p>
        </w:tc>
      </w:tr>
      <w:tr w:rsidR="005A76BF" w:rsidRPr="00984DC4" w14:paraId="43586679" w14:textId="77777777" w:rsidTr="00984DC4">
        <w:trPr>
          <w:trHeight w:val="299"/>
        </w:trPr>
        <w:tc>
          <w:tcPr>
            <w:tcW w:w="0" w:type="auto"/>
            <w:noWrap/>
            <w:hideMark/>
          </w:tcPr>
          <w:p w14:paraId="71B60FDF" w14:textId="10B30563" w:rsidR="005A76BF" w:rsidRPr="00984DC4" w:rsidRDefault="00C76EC5"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Zone</w:t>
            </w:r>
          </w:p>
        </w:tc>
        <w:tc>
          <w:tcPr>
            <w:tcW w:w="0" w:type="auto"/>
            <w:noWrap/>
            <w:hideMark/>
          </w:tcPr>
          <w:p w14:paraId="708BD6CB"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31.21</w:t>
            </w:r>
          </w:p>
        </w:tc>
        <w:tc>
          <w:tcPr>
            <w:tcW w:w="0" w:type="auto"/>
            <w:noWrap/>
            <w:hideMark/>
          </w:tcPr>
          <w:p w14:paraId="3FBC2275"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0.0052</w:t>
            </w:r>
          </w:p>
        </w:tc>
        <w:tc>
          <w:tcPr>
            <w:tcW w:w="0" w:type="auto"/>
            <w:noWrap/>
            <w:hideMark/>
          </w:tcPr>
          <w:p w14:paraId="2F82ADF5"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0.056</w:t>
            </w:r>
          </w:p>
        </w:tc>
      </w:tr>
      <w:tr w:rsidR="005A76BF" w:rsidRPr="00984DC4" w14:paraId="32C6CF30" w14:textId="77777777" w:rsidTr="00984DC4">
        <w:trPr>
          <w:trHeight w:val="299"/>
        </w:trPr>
        <w:tc>
          <w:tcPr>
            <w:tcW w:w="0" w:type="auto"/>
            <w:noWrap/>
            <w:hideMark/>
          </w:tcPr>
          <w:p w14:paraId="315FFAF6" w14:textId="0F1E76EC" w:rsidR="005A76BF" w:rsidRPr="00984DC4" w:rsidRDefault="00C76EC5"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Region</w:t>
            </w:r>
          </w:p>
        </w:tc>
        <w:tc>
          <w:tcPr>
            <w:tcW w:w="0" w:type="auto"/>
            <w:noWrap/>
            <w:hideMark/>
          </w:tcPr>
          <w:p w14:paraId="4A2B8263"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8</w:t>
            </w:r>
          </w:p>
        </w:tc>
        <w:tc>
          <w:tcPr>
            <w:tcW w:w="0" w:type="auto"/>
            <w:noWrap/>
            <w:hideMark/>
          </w:tcPr>
          <w:p w14:paraId="0235F3B3"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0.3328</w:t>
            </w:r>
          </w:p>
        </w:tc>
        <w:tc>
          <w:tcPr>
            <w:tcW w:w="0" w:type="auto"/>
            <w:noWrap/>
            <w:hideMark/>
          </w:tcPr>
          <w:p w14:paraId="6AD2C46F"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0.038</w:t>
            </w:r>
          </w:p>
        </w:tc>
      </w:tr>
      <w:tr w:rsidR="005A76BF" w:rsidRPr="00984DC4" w14:paraId="377D3D4F" w14:textId="77777777" w:rsidTr="00984DC4">
        <w:trPr>
          <w:trHeight w:val="299"/>
        </w:trPr>
        <w:tc>
          <w:tcPr>
            <w:tcW w:w="0" w:type="auto"/>
            <w:noWrap/>
            <w:hideMark/>
          </w:tcPr>
          <w:p w14:paraId="10072E65" w14:textId="037BA368" w:rsidR="005A76BF" w:rsidRPr="00984DC4" w:rsidRDefault="00C76EC5"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Instrument</w:t>
            </w:r>
          </w:p>
        </w:tc>
        <w:tc>
          <w:tcPr>
            <w:tcW w:w="0" w:type="auto"/>
            <w:noWrap/>
            <w:hideMark/>
          </w:tcPr>
          <w:p w14:paraId="7E8B96E1"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3.01</w:t>
            </w:r>
          </w:p>
        </w:tc>
        <w:tc>
          <w:tcPr>
            <w:tcW w:w="0" w:type="auto"/>
            <w:noWrap/>
            <w:hideMark/>
          </w:tcPr>
          <w:p w14:paraId="4C282CCD"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0.5564</w:t>
            </w:r>
          </w:p>
        </w:tc>
        <w:tc>
          <w:tcPr>
            <w:tcW w:w="0" w:type="auto"/>
            <w:noWrap/>
            <w:hideMark/>
          </w:tcPr>
          <w:p w14:paraId="3C4B8013"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0.021</w:t>
            </w:r>
          </w:p>
        </w:tc>
      </w:tr>
      <w:tr w:rsidR="005A76BF" w:rsidRPr="00984DC4" w14:paraId="48FE50B6" w14:textId="77777777" w:rsidTr="00984DC4">
        <w:trPr>
          <w:trHeight w:val="299"/>
        </w:trPr>
        <w:tc>
          <w:tcPr>
            <w:tcW w:w="0" w:type="auto"/>
            <w:noWrap/>
            <w:hideMark/>
          </w:tcPr>
          <w:p w14:paraId="5AA5C276" w14:textId="4704DC81" w:rsidR="005A76BF" w:rsidRPr="00984DC4" w:rsidRDefault="00C76EC5"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Type</w:t>
            </w:r>
          </w:p>
        </w:tc>
        <w:tc>
          <w:tcPr>
            <w:tcW w:w="0" w:type="auto"/>
            <w:noWrap/>
            <w:hideMark/>
          </w:tcPr>
          <w:p w14:paraId="2421FCA4"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38.64</w:t>
            </w:r>
          </w:p>
        </w:tc>
        <w:tc>
          <w:tcPr>
            <w:tcW w:w="0" w:type="auto"/>
            <w:noWrap/>
            <w:hideMark/>
          </w:tcPr>
          <w:p w14:paraId="46E5D5E7" w14:textId="084563EE"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&lt;0.0001</w:t>
            </w:r>
          </w:p>
        </w:tc>
        <w:tc>
          <w:tcPr>
            <w:tcW w:w="0" w:type="auto"/>
            <w:noWrap/>
            <w:hideMark/>
          </w:tcPr>
          <w:p w14:paraId="7A4BCCD7" w14:textId="77777777" w:rsidR="005A76BF" w:rsidRPr="00984DC4" w:rsidRDefault="005A76BF" w:rsidP="00984DC4">
            <w:pPr>
              <w:contextualSpacing/>
              <w:jc w:val="both"/>
              <w:rPr>
                <w:rFonts w:ascii="Times New Roman" w:eastAsia="Times New Roman" w:hAnsi="Times New Roman" w:cs="Times New Roman"/>
                <w:color w:val="000000"/>
                <w:kern w:val="0"/>
                <w:sz w:val="20"/>
                <w:szCs w:val="20"/>
                <w:lang w:eastAsia="en-GB"/>
                <w14:ligatures w14:val="none"/>
              </w:rPr>
            </w:pPr>
            <w:r w:rsidRPr="00984DC4">
              <w:rPr>
                <w:rFonts w:ascii="Times New Roman" w:eastAsia="Times New Roman" w:hAnsi="Times New Roman" w:cs="Times New Roman"/>
                <w:color w:val="000000"/>
                <w:kern w:val="0"/>
                <w:sz w:val="20"/>
                <w:szCs w:val="20"/>
                <w:lang w:eastAsia="en-GB"/>
                <w14:ligatures w14:val="none"/>
              </w:rPr>
              <w:t>0.019</w:t>
            </w:r>
          </w:p>
        </w:tc>
      </w:tr>
    </w:tbl>
    <w:p w14:paraId="1881FF6D" w14:textId="77777777" w:rsidR="00FF0C5B" w:rsidRPr="002042E6" w:rsidRDefault="00FF0C5B" w:rsidP="00835361">
      <w:pPr>
        <w:spacing w:line="360" w:lineRule="auto"/>
        <w:jc w:val="both"/>
        <w:rPr>
          <w:rFonts w:ascii="Times New Roman" w:hAnsi="Times New Roman" w:cs="Times New Roman"/>
          <w:sz w:val="24"/>
          <w:szCs w:val="24"/>
        </w:rPr>
      </w:pPr>
    </w:p>
    <w:p w14:paraId="538BD975" w14:textId="78EE5C78" w:rsidR="00F6061B" w:rsidRPr="00162BB3" w:rsidRDefault="00162BB3" w:rsidP="00835361">
      <w:pPr>
        <w:spacing w:line="360" w:lineRule="auto"/>
        <w:jc w:val="both"/>
        <w:rPr>
          <w:rFonts w:ascii="Times New Roman" w:hAnsi="Times New Roman" w:cs="Times New Roman"/>
          <w:sz w:val="24"/>
          <w:szCs w:val="24"/>
          <w:lang w:val="en-GB"/>
        </w:rPr>
      </w:pPr>
      <w:r w:rsidRPr="00162BB3">
        <w:rPr>
          <w:rFonts w:ascii="Times New Roman" w:hAnsi="Times New Roman" w:cs="Times New Roman"/>
          <w:sz w:val="24"/>
          <w:szCs w:val="24"/>
          <w:lang w:val="en-GB"/>
        </w:rPr>
        <w:lastRenderedPageBreak/>
        <w:t xml:space="preserve">Approximately </w:t>
      </w:r>
      <w:r w:rsidRPr="00162BB3">
        <w:rPr>
          <w:rFonts w:ascii="Times New Roman" w:hAnsi="Times New Roman" w:cs="Times New Roman"/>
          <w:i/>
          <w:iCs/>
          <w:sz w:val="24"/>
          <w:szCs w:val="24"/>
          <w:lang w:val="en-GB"/>
        </w:rPr>
        <w:t xml:space="preserve">31.3% (65 out of 208) </w:t>
      </w:r>
      <w:r w:rsidRPr="00162BB3">
        <w:rPr>
          <w:rFonts w:ascii="Times New Roman" w:hAnsi="Times New Roman" w:cs="Times New Roman"/>
          <w:sz w:val="24"/>
          <w:szCs w:val="24"/>
          <w:lang w:val="en-GB"/>
        </w:rPr>
        <w:t xml:space="preserve">of pesticide-food combinations exceeded MRL. </w:t>
      </w:r>
      <w:r w:rsidR="00F6061B" w:rsidRPr="002042E6">
        <w:rPr>
          <w:rFonts w:ascii="Times New Roman" w:hAnsi="Times New Roman" w:cs="Times New Roman"/>
          <w:sz w:val="24"/>
          <w:szCs w:val="24"/>
        </w:rPr>
        <w:t>When aggregated by individual pesticides (Figure 3a), 23 out of 51 pesticides with MRL data showed no MRL exceedance. Conversely, 8 pesticides had MRL exceedance rates greater than 50%, and 4 pesticides (specifically,</w:t>
      </w:r>
      <w:r>
        <w:rPr>
          <w:rFonts w:ascii="Times New Roman" w:hAnsi="Times New Roman" w:cs="Times New Roman"/>
          <w:sz w:val="24"/>
          <w:szCs w:val="24"/>
        </w:rPr>
        <w:t xml:space="preserve"> xx</w:t>
      </w:r>
      <w:r w:rsidR="00F6061B" w:rsidRPr="002042E6">
        <w:rPr>
          <w:rFonts w:ascii="Times New Roman" w:hAnsi="Times New Roman" w:cs="Times New Roman"/>
          <w:sz w:val="24"/>
          <w:szCs w:val="24"/>
        </w:rPr>
        <w:t>) exhibited MRL exceedance rates of 100%. Similarly, aggregated by food groups (Figure 3b), Fish and Animal Meat food groups had no observed MRL exceedance. However, 5 other food groups (namely,</w:t>
      </w:r>
      <w:r>
        <w:rPr>
          <w:rFonts w:ascii="Times New Roman" w:hAnsi="Times New Roman" w:cs="Times New Roman"/>
          <w:sz w:val="24"/>
          <w:szCs w:val="24"/>
        </w:rPr>
        <w:t xml:space="preserve"> xx</w:t>
      </w:r>
      <w:r w:rsidR="00F6061B" w:rsidRPr="002042E6">
        <w:rPr>
          <w:rFonts w:ascii="Times New Roman" w:hAnsi="Times New Roman" w:cs="Times New Roman"/>
          <w:sz w:val="24"/>
          <w:szCs w:val="24"/>
        </w:rPr>
        <w:t>) showed MRL exceedance rates greater than 50%, indicating widespread contamination across these dietary categories. No single food group was found to have a 100% MRL exceedance rate.</w:t>
      </w:r>
    </w:p>
    <w:p w14:paraId="39DA7A70" w14:textId="7736D31B" w:rsidR="00D9478A" w:rsidRPr="002042E6" w:rsidRDefault="002D075D" w:rsidP="00835361">
      <w:pPr>
        <w:spacing w:line="360" w:lineRule="auto"/>
        <w:jc w:val="both"/>
        <w:rPr>
          <w:rFonts w:ascii="Times New Roman" w:hAnsi="Times New Roman" w:cs="Times New Roman"/>
          <w:sz w:val="24"/>
          <w:szCs w:val="24"/>
        </w:rPr>
      </w:pPr>
      <w:r w:rsidRPr="002042E6">
        <w:rPr>
          <w:rFonts w:ascii="Times New Roman" w:hAnsi="Times New Roman" w:cs="Times New Roman"/>
          <w:noProof/>
          <w:sz w:val="24"/>
          <w:szCs w:val="24"/>
        </w:rPr>
        <w:drawing>
          <wp:inline distT="0" distB="0" distL="0" distR="0" wp14:anchorId="0D4D9FE8" wp14:editId="3284C986">
            <wp:extent cx="5543550" cy="5117123"/>
            <wp:effectExtent l="0" t="0" r="0" b="7620"/>
            <wp:docPr id="1196844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44120" name="Picture 11968441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4386" cy="5117895"/>
                    </a:xfrm>
                    <a:prstGeom prst="rect">
                      <a:avLst/>
                    </a:prstGeom>
                  </pic:spPr>
                </pic:pic>
              </a:graphicData>
            </a:graphic>
          </wp:inline>
        </w:drawing>
      </w:r>
    </w:p>
    <w:p w14:paraId="3013F1BD" w14:textId="5926012F" w:rsidR="00945621" w:rsidRDefault="008A188A"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Figure </w:t>
      </w:r>
      <w:r w:rsidR="00DE38D6" w:rsidRPr="002042E6">
        <w:rPr>
          <w:rFonts w:ascii="Times New Roman" w:hAnsi="Times New Roman" w:cs="Times New Roman"/>
          <w:sz w:val="24"/>
          <w:szCs w:val="24"/>
        </w:rPr>
        <w:t>3</w:t>
      </w:r>
      <w:r w:rsidRPr="002042E6">
        <w:rPr>
          <w:rFonts w:ascii="Times New Roman" w:hAnsi="Times New Roman" w:cs="Times New Roman"/>
          <w:sz w:val="24"/>
          <w:szCs w:val="24"/>
        </w:rPr>
        <w:t>: Cumulative distribution function of logarithm of MRL exceedance ratio</w:t>
      </w:r>
      <w:r w:rsidR="00945621" w:rsidRPr="002042E6">
        <w:rPr>
          <w:rFonts w:ascii="Times New Roman" w:hAnsi="Times New Roman" w:cs="Times New Roman"/>
          <w:sz w:val="24"/>
          <w:szCs w:val="24"/>
        </w:rPr>
        <w:t>. A vertical red dashed line at log(1) indicates the threshold for MRL exceedance. Values to the right of this line represent exceedances.</w:t>
      </w:r>
    </w:p>
    <w:p w14:paraId="204F888E" w14:textId="1C0F5FB9" w:rsidR="00162BB3" w:rsidRDefault="00162BB3" w:rsidP="00162BB3">
      <w:pPr>
        <w:pStyle w:val="Heading2"/>
        <w:numPr>
          <w:ilvl w:val="1"/>
          <w:numId w:val="11"/>
        </w:numPr>
      </w:pPr>
      <w:r>
        <w:lastRenderedPageBreak/>
        <w:t>Dietary Risk Assessments</w:t>
      </w:r>
    </w:p>
    <w:p w14:paraId="1CAA6C8A" w14:textId="77777777" w:rsidR="00162BB3" w:rsidRPr="002042E6" w:rsidRDefault="00162BB3" w:rsidP="00162BB3">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The probabilistic assessment of chronic health risks, encompassing both non-cancer and cancer risks due to dietary pesticide exposure, is comprehensively summarized in Figure 4 and detailed in Supplementary Table S2.</w:t>
      </w:r>
    </w:p>
    <w:p w14:paraId="5112AFD1" w14:textId="77777777" w:rsidR="00162BB3" w:rsidRPr="002042E6" w:rsidRDefault="00162BB3" w:rsidP="00162BB3">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Non-cancer risks, quantified by the Hazard Quotient (HQ), were assessed for 229 pesticide-food combinations where chronic Toxicity Reference Values (TRVs) were available. While 165 combinations had HQ values below 1 (indicating negligible risk), approximately 28% (64 out of 229) of the assessed combinations exhibited HQ values exceeding 1, signaling a potential for non-cancer health effects (Figure 4, top panel). The analysis identified several critical combinations with 100% HQ exceedance probabilities, meaning all Monte Carlo simulations resulted in an HQ greater than 1. These included pesticide-food pairs involving aldrin, heptachlor epoxide, and p,p'-DDD detected in key dietary items such as corn, millet, rice, sorghum, tea, khat, milk, and drinking water. The most pronounced non-cancer risks were observed for heptachlor epoxide in khat, which presented the highest median HQ of 488.85 (5th–95th percentile range: 125.6–1974.2). This was closely followed by aldrin in corn, with a median HQ of 240.64 (5th–95th percentile range: 59.72–977.46), underscoring substantial potential for adverse non-cancer health outcomes from consuming these contaminated foods.</w:t>
      </w:r>
    </w:p>
    <w:p w14:paraId="0AF0ED83" w14:textId="4FB050EB" w:rsidR="006F1BE2" w:rsidRPr="002042E6" w:rsidRDefault="00162BB3"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Cancer risks, expressed as Lifetime Cancer Risk (LCR), were evaluated for 119 pesticide-food combinations for which Oral Slope Factors (OSFs) were available. The World Health Organization (WHO) typically considers an LCR greater than 1×10−6 as unacceptable, with values exceeding 1×10−4 warranting urgent intervention. The probabilistic assessment revealed widespread potential for increased cancer risk (Figure 4, bottom panel)</w:t>
      </w:r>
      <w:r>
        <w:rPr>
          <w:rFonts w:ascii="Times New Roman" w:hAnsi="Times New Roman" w:cs="Times New Roman"/>
          <w:sz w:val="24"/>
          <w:szCs w:val="24"/>
        </w:rPr>
        <w:t xml:space="preserve">. </w:t>
      </w:r>
      <w:r w:rsidRPr="002042E6">
        <w:rPr>
          <w:rFonts w:ascii="Times New Roman" w:hAnsi="Times New Roman" w:cs="Times New Roman"/>
          <w:sz w:val="24"/>
          <w:szCs w:val="24"/>
        </w:rPr>
        <w:t>These findings collectively underscore a concerning public health challenge in Ethiopia, with a significant proportion of dietary pesticide exposures potentially contributing to both non-cancer and cancer health risks, particularly from legacy organochlorine pesticides like aldrin and DDT in staple foods and commonly consumed items.</w:t>
      </w:r>
    </w:p>
    <w:p w14:paraId="0B7B34C2" w14:textId="2FCA3CC6" w:rsidR="006F1BE2" w:rsidRPr="002042E6" w:rsidRDefault="005D5716" w:rsidP="00835361">
      <w:pPr>
        <w:spacing w:line="360" w:lineRule="auto"/>
        <w:jc w:val="both"/>
        <w:rPr>
          <w:rFonts w:ascii="Times New Roman" w:hAnsi="Times New Roman" w:cs="Times New Roman"/>
          <w:sz w:val="24"/>
          <w:szCs w:val="24"/>
        </w:rPr>
      </w:pPr>
      <w:r w:rsidRPr="002042E6">
        <w:rPr>
          <w:rFonts w:ascii="Times New Roman" w:hAnsi="Times New Roman" w:cs="Times New Roman"/>
          <w:noProof/>
          <w:sz w:val="24"/>
          <w:szCs w:val="24"/>
        </w:rPr>
        <w:lastRenderedPageBreak/>
        <w:drawing>
          <wp:inline distT="0" distB="0" distL="0" distR="0" wp14:anchorId="7C8A3272" wp14:editId="16AE29C3">
            <wp:extent cx="5691909" cy="6261100"/>
            <wp:effectExtent l="0" t="0" r="4445" b="6350"/>
            <wp:docPr id="2184961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96106" name="Picture 2184961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4312" cy="6263743"/>
                    </a:xfrm>
                    <a:prstGeom prst="rect">
                      <a:avLst/>
                    </a:prstGeom>
                  </pic:spPr>
                </pic:pic>
              </a:graphicData>
            </a:graphic>
          </wp:inline>
        </w:drawing>
      </w:r>
    </w:p>
    <w:p w14:paraId="452F255C" w14:textId="4EE28EF5" w:rsidR="009647CF" w:rsidRPr="002042E6" w:rsidRDefault="001D55A0"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Figure 4:</w:t>
      </w:r>
      <w:r w:rsidR="00937CDB" w:rsidRPr="002042E6">
        <w:rPr>
          <w:rFonts w:ascii="Times New Roman" w:hAnsi="Times New Roman" w:cs="Times New Roman"/>
          <w:sz w:val="24"/>
          <w:szCs w:val="24"/>
        </w:rPr>
        <w:t xml:space="preserve"> Probabilistic health risk assessment of dietary pesticide exposure. This figure illustrates the cumulative distribution functions for Hazard Quotient (HQ) and Lifetime Cancer Risk (LCR), along with the percentage of HQ and LCR exceedance rates aggregated by pesticide and food categories.</w:t>
      </w:r>
    </w:p>
    <w:p w14:paraId="098DE38B" w14:textId="31728DB6" w:rsidR="003D466B" w:rsidRPr="002042E6" w:rsidRDefault="007D78C9" w:rsidP="00984DC4">
      <w:pPr>
        <w:pStyle w:val="Heading1"/>
        <w:numPr>
          <w:ilvl w:val="0"/>
          <w:numId w:val="11"/>
        </w:numPr>
        <w:jc w:val="both"/>
        <w:rPr>
          <w:rFonts w:cs="Times New Roman"/>
          <w:szCs w:val="24"/>
          <w:lang w:val="en-US"/>
        </w:rPr>
      </w:pPr>
      <w:r w:rsidRPr="002042E6">
        <w:rPr>
          <w:rFonts w:cs="Times New Roman"/>
          <w:szCs w:val="24"/>
          <w:lang w:val="en-US"/>
        </w:rPr>
        <w:lastRenderedPageBreak/>
        <w:t>Conclusion</w:t>
      </w:r>
    </w:p>
    <w:p w14:paraId="4A8535BB" w14:textId="610D4188" w:rsidR="007D78C9" w:rsidRDefault="007D78C9"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The high prevalence of MRL exceedance</w:t>
      </w:r>
      <w:r w:rsidR="00CF08DC">
        <w:rPr>
          <w:rFonts w:ascii="Times New Roman" w:hAnsi="Times New Roman" w:cs="Times New Roman"/>
          <w:sz w:val="24"/>
          <w:szCs w:val="24"/>
        </w:rPr>
        <w:t xml:space="preserve">, </w:t>
      </w:r>
      <w:r w:rsidRPr="002042E6">
        <w:rPr>
          <w:rFonts w:ascii="Times New Roman" w:hAnsi="Times New Roman" w:cs="Times New Roman"/>
          <w:sz w:val="24"/>
          <w:szCs w:val="24"/>
        </w:rPr>
        <w:t>combined with pooled concentration estimates will be critical inputs for the subsequent dietary health risk assessments. By identifying the types of pesticides, food groups, and geographical areas associated with higher concentrations, our findings provide essential data for informing targeted interventions, improving regulatory frameworks, and developing effective public health strategies to mitigate the risks associated with pesticide exposure in the Ethiopian food supply.</w:t>
      </w:r>
    </w:p>
    <w:p w14:paraId="5E916A7C" w14:textId="77777777" w:rsidR="00E36C2C" w:rsidRPr="002042E6" w:rsidRDefault="00E36C2C" w:rsidP="00835361">
      <w:pPr>
        <w:spacing w:line="360" w:lineRule="auto"/>
        <w:jc w:val="both"/>
        <w:rPr>
          <w:rFonts w:ascii="Times New Roman" w:hAnsi="Times New Roman" w:cs="Times New Roman"/>
          <w:sz w:val="24"/>
          <w:szCs w:val="24"/>
        </w:rPr>
      </w:pPr>
    </w:p>
    <w:p w14:paraId="28EBD972" w14:textId="393CB0C7" w:rsidR="003F4C8F" w:rsidRPr="002042E6" w:rsidRDefault="003F4C8F" w:rsidP="00F43F58">
      <w:pPr>
        <w:pStyle w:val="Heading1"/>
        <w:numPr>
          <w:ilvl w:val="0"/>
          <w:numId w:val="11"/>
        </w:numPr>
      </w:pPr>
      <w:r w:rsidRPr="002042E6">
        <w:t>References</w:t>
      </w:r>
    </w:p>
    <w:p w14:paraId="3E256FD7" w14:textId="0FB726C3" w:rsidR="00F43F58" w:rsidRPr="00F43F58" w:rsidRDefault="00324244"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2042E6">
        <w:rPr>
          <w:rFonts w:ascii="Times New Roman" w:hAnsi="Times New Roman" w:cs="Times New Roman"/>
          <w:sz w:val="24"/>
          <w:szCs w:val="24"/>
        </w:rPr>
        <w:fldChar w:fldCharType="begin" w:fldLock="1"/>
      </w:r>
      <w:r w:rsidRPr="002042E6">
        <w:rPr>
          <w:rFonts w:ascii="Times New Roman" w:hAnsi="Times New Roman" w:cs="Times New Roman"/>
          <w:sz w:val="24"/>
          <w:szCs w:val="24"/>
        </w:rPr>
        <w:instrText xml:space="preserve">ADDIN Mendeley Bibliography CSL_BIBLIOGRAPHY </w:instrText>
      </w:r>
      <w:r w:rsidRPr="002042E6">
        <w:rPr>
          <w:rFonts w:ascii="Times New Roman" w:hAnsi="Times New Roman" w:cs="Times New Roman"/>
          <w:sz w:val="24"/>
          <w:szCs w:val="24"/>
        </w:rPr>
        <w:fldChar w:fldCharType="separate"/>
      </w:r>
      <w:r w:rsidR="00F43F58" w:rsidRPr="00F43F58">
        <w:rPr>
          <w:rFonts w:ascii="Times New Roman" w:hAnsi="Times New Roman" w:cs="Times New Roman"/>
          <w:noProof/>
          <w:kern w:val="0"/>
          <w:sz w:val="24"/>
        </w:rPr>
        <w:t xml:space="preserve">Abbas, M., Abbas, S., Hussain, N., Javeed, M.T., Ghaffar, A., Nadeem, M., Khaliq, M., </w:t>
      </w:r>
      <w:r w:rsidR="00F43F58" w:rsidRPr="00F43F58">
        <w:rPr>
          <w:rFonts w:ascii="Times New Roman" w:hAnsi="Times New Roman" w:cs="Times New Roman"/>
          <w:i/>
          <w:iCs/>
          <w:noProof/>
          <w:kern w:val="0"/>
          <w:sz w:val="24"/>
        </w:rPr>
        <w:t>et al.</w:t>
      </w:r>
      <w:r w:rsidR="00F43F58" w:rsidRPr="00F43F58">
        <w:rPr>
          <w:rFonts w:ascii="Times New Roman" w:hAnsi="Times New Roman" w:cs="Times New Roman"/>
          <w:noProof/>
          <w:kern w:val="0"/>
          <w:sz w:val="24"/>
        </w:rPr>
        <w:t xml:space="preserve"> (2024), “Assessment of residues from common pesticides and associated risks in Pakistan”, </w:t>
      </w:r>
      <w:r w:rsidR="00F43F58" w:rsidRPr="00F43F58">
        <w:rPr>
          <w:rFonts w:ascii="Times New Roman" w:hAnsi="Times New Roman" w:cs="Times New Roman"/>
          <w:i/>
          <w:iCs/>
          <w:noProof/>
          <w:kern w:val="0"/>
          <w:sz w:val="24"/>
        </w:rPr>
        <w:t>Environmental Monitoring and Assessment</w:t>
      </w:r>
      <w:r w:rsidR="00F43F58" w:rsidRPr="00F43F58">
        <w:rPr>
          <w:rFonts w:ascii="Times New Roman" w:hAnsi="Times New Roman" w:cs="Times New Roman"/>
          <w:noProof/>
          <w:kern w:val="0"/>
          <w:sz w:val="24"/>
        </w:rPr>
        <w:t>, Vol. 196 No. 11, p. 1061, doi: 10.1007/s10661-024-13220-x.</w:t>
      </w:r>
    </w:p>
    <w:p w14:paraId="3D4052E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Asefa, E.M., Damtew, Y.T. and Ober, J. (2024), “Pesticide water pollution, human health risks, and regulatory evaluation: A nationwide analysis in Ethiopia”, </w:t>
      </w:r>
      <w:r w:rsidRPr="00F43F58">
        <w:rPr>
          <w:rFonts w:ascii="Times New Roman" w:hAnsi="Times New Roman" w:cs="Times New Roman"/>
          <w:i/>
          <w:iCs/>
          <w:noProof/>
          <w:kern w:val="0"/>
          <w:sz w:val="24"/>
        </w:rPr>
        <w:t>Journal of Hazardous Materials</w:t>
      </w:r>
      <w:r w:rsidRPr="00F43F58">
        <w:rPr>
          <w:rFonts w:ascii="Times New Roman" w:hAnsi="Times New Roman" w:cs="Times New Roman"/>
          <w:noProof/>
          <w:kern w:val="0"/>
          <w:sz w:val="24"/>
        </w:rPr>
        <w:t>, Vol. 478, doi: 10.1016/j.jhazmat.2024.135326.</w:t>
      </w:r>
    </w:p>
    <w:p w14:paraId="67B8A8C0"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Asefa, E.M., Mergia, M.T., Ayele, S., Damtew, Y.T., Teklu, B.M. and Weldemariam, E.D. (2024), “Pesticides in Ethiopian surface waters: A meta-analytic based ecological risk assessment”, </w:t>
      </w:r>
      <w:r w:rsidRPr="00F43F58">
        <w:rPr>
          <w:rFonts w:ascii="Times New Roman" w:hAnsi="Times New Roman" w:cs="Times New Roman"/>
          <w:i/>
          <w:iCs/>
          <w:noProof/>
          <w:kern w:val="0"/>
          <w:sz w:val="24"/>
        </w:rPr>
        <w:t>Science of the Total Environment</w:t>
      </w:r>
      <w:r w:rsidRPr="00F43F58">
        <w:rPr>
          <w:rFonts w:ascii="Times New Roman" w:hAnsi="Times New Roman" w:cs="Times New Roman"/>
          <w:noProof/>
          <w:kern w:val="0"/>
          <w:sz w:val="24"/>
        </w:rPr>
        <w:t>, Vol. 911, p. 168727, doi: 10.1016/j.scitotenv.2023.168727.</w:t>
      </w:r>
    </w:p>
    <w:p w14:paraId="322EC93C"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Azur, M.J., Stuart, E.A., Frangakis, C. and Leaf, P.J. (2011), “Multiple imputation by chained equations: What is it and how does it work?”, </w:t>
      </w:r>
      <w:r w:rsidRPr="00F43F58">
        <w:rPr>
          <w:rFonts w:ascii="Times New Roman" w:hAnsi="Times New Roman" w:cs="Times New Roman"/>
          <w:i/>
          <w:iCs/>
          <w:noProof/>
          <w:kern w:val="0"/>
          <w:sz w:val="24"/>
        </w:rPr>
        <w:t>International Journal of Methods in Psychiatric Research</w:t>
      </w:r>
      <w:r w:rsidRPr="00F43F58">
        <w:rPr>
          <w:rFonts w:ascii="Times New Roman" w:hAnsi="Times New Roman" w:cs="Times New Roman"/>
          <w:noProof/>
          <w:kern w:val="0"/>
          <w:sz w:val="24"/>
        </w:rPr>
        <w:t>, Vol. 20 No. 1, pp. 40–49, doi: 10.1002/mpr.329.</w:t>
      </w:r>
    </w:p>
    <w:p w14:paraId="47EAC37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Beyuo, J., Sackey, L.N.A., Yeboah, C., Kayoung, P.Y. and Koudadje, D. (2024), “The implications of pesticide residue in food crops on human health: a critical review”, </w:t>
      </w:r>
      <w:r w:rsidRPr="00F43F58">
        <w:rPr>
          <w:rFonts w:ascii="Times New Roman" w:hAnsi="Times New Roman" w:cs="Times New Roman"/>
          <w:i/>
          <w:iCs/>
          <w:noProof/>
          <w:kern w:val="0"/>
          <w:sz w:val="24"/>
        </w:rPr>
        <w:t>Discover Agriculture</w:t>
      </w:r>
      <w:r w:rsidRPr="00F43F58">
        <w:rPr>
          <w:rFonts w:ascii="Times New Roman" w:hAnsi="Times New Roman" w:cs="Times New Roman"/>
          <w:noProof/>
          <w:kern w:val="0"/>
          <w:sz w:val="24"/>
        </w:rPr>
        <w:t>, Vol. 2 No. 1, p. 123, doi: 10.1007/s44279-024-00141-z.</w:t>
      </w:r>
    </w:p>
    <w:p w14:paraId="1459565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Buuren, S. van and Groothuis-Oudshoorn, K. (2011), “mice : Multivariate Imputation by Chained Equations in R”, </w:t>
      </w:r>
      <w:r w:rsidRPr="00F43F58">
        <w:rPr>
          <w:rFonts w:ascii="Times New Roman" w:hAnsi="Times New Roman" w:cs="Times New Roman"/>
          <w:i/>
          <w:iCs/>
          <w:noProof/>
          <w:kern w:val="0"/>
          <w:sz w:val="24"/>
        </w:rPr>
        <w:t>Journal of Statistical Software</w:t>
      </w:r>
      <w:r w:rsidRPr="00F43F58">
        <w:rPr>
          <w:rFonts w:ascii="Times New Roman" w:hAnsi="Times New Roman" w:cs="Times New Roman"/>
          <w:noProof/>
          <w:kern w:val="0"/>
          <w:sz w:val="24"/>
        </w:rPr>
        <w:t xml:space="preserve">, Vol. 45 No. 3, pp. 1–67, doi: </w:t>
      </w:r>
      <w:r w:rsidRPr="00F43F58">
        <w:rPr>
          <w:rFonts w:ascii="Times New Roman" w:hAnsi="Times New Roman" w:cs="Times New Roman"/>
          <w:noProof/>
          <w:kern w:val="0"/>
          <w:sz w:val="24"/>
        </w:rPr>
        <w:lastRenderedPageBreak/>
        <w:t>10.18637/jss.v045.i03.</w:t>
      </w:r>
    </w:p>
    <w:p w14:paraId="42522497"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Canales, R.A., Wilson, A.M., Pearce-Walker, J.I., Verhougstraete, M.P. and Reynolds, K.A. (2018), “Methods for handling left-censored data in quantitative microbial risk assessment”, </w:t>
      </w:r>
      <w:r w:rsidRPr="00F43F58">
        <w:rPr>
          <w:rFonts w:ascii="Times New Roman" w:hAnsi="Times New Roman" w:cs="Times New Roman"/>
          <w:i/>
          <w:iCs/>
          <w:noProof/>
          <w:kern w:val="0"/>
          <w:sz w:val="24"/>
        </w:rPr>
        <w:t>Applied and Environmental Microbiology</w:t>
      </w:r>
      <w:r w:rsidRPr="00F43F58">
        <w:rPr>
          <w:rFonts w:ascii="Times New Roman" w:hAnsi="Times New Roman" w:cs="Times New Roman"/>
          <w:noProof/>
          <w:kern w:val="0"/>
          <w:sz w:val="24"/>
        </w:rPr>
        <w:t>, Vol. 84 No. 20, doi: 10.1128/AEM.01203-18.</w:t>
      </w:r>
    </w:p>
    <w:p w14:paraId="64529EA7"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Carrasco Cabrera, L., Di Piazza, G., Dujardin, B., Marchese, E. and Medina Pastor, P. (2024), “The 2022 European Union report on pesticide residues in food”, </w:t>
      </w:r>
      <w:r w:rsidRPr="00F43F58">
        <w:rPr>
          <w:rFonts w:ascii="Times New Roman" w:hAnsi="Times New Roman" w:cs="Times New Roman"/>
          <w:i/>
          <w:iCs/>
          <w:noProof/>
          <w:kern w:val="0"/>
          <w:sz w:val="24"/>
        </w:rPr>
        <w:t>EFSA Journal</w:t>
      </w:r>
      <w:r w:rsidRPr="00F43F58">
        <w:rPr>
          <w:rFonts w:ascii="Times New Roman" w:hAnsi="Times New Roman" w:cs="Times New Roman"/>
          <w:noProof/>
          <w:kern w:val="0"/>
          <w:sz w:val="24"/>
        </w:rPr>
        <w:t>, Vol. 22 No. 4, doi: 10.2903/j.efsa.2024.8753.</w:t>
      </w:r>
    </w:p>
    <w:p w14:paraId="509D58CA"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CSA. (2020), “Socioeconomic Survey 2018-2019 [Data set]”, World Bank, Development Data Group, doi: 10.48529/K739-C548.</w:t>
      </w:r>
    </w:p>
    <w:p w14:paraId="3F641B5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Daba, D., Hymete, A., Bekhit, A.A., Mohamed, A.M.I. and Bekhit, A.E.D.A. (2011), “Multi residue analysis of pesticides in wheat and khat collected from different regions of Ethiopia”, </w:t>
      </w:r>
      <w:r w:rsidRPr="00F43F58">
        <w:rPr>
          <w:rFonts w:ascii="Times New Roman" w:hAnsi="Times New Roman" w:cs="Times New Roman"/>
          <w:i/>
          <w:iCs/>
          <w:noProof/>
          <w:kern w:val="0"/>
          <w:sz w:val="24"/>
        </w:rPr>
        <w:t>Bulletin of Environmental Contamination and Toxicology</w:t>
      </w:r>
      <w:r w:rsidRPr="00F43F58">
        <w:rPr>
          <w:rFonts w:ascii="Times New Roman" w:hAnsi="Times New Roman" w:cs="Times New Roman"/>
          <w:noProof/>
          <w:kern w:val="0"/>
          <w:sz w:val="24"/>
        </w:rPr>
        <w:t>, Vol. 86 No. 3, pp. 336–341, doi: 10.1007/s00128-011-0207-1.</w:t>
      </w:r>
    </w:p>
    <w:p w14:paraId="7E79D04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Dinede, G., Bihon, W., Gazu, L., Foukmeniok Mbokou, S., Girma, S., Srinivasan, R., Roothaert, R.,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(2023), “Assessment of pesticide residues in vegetables produced in central and eastern Ethiopia”, </w:t>
      </w:r>
      <w:r w:rsidRPr="00F43F58">
        <w:rPr>
          <w:rFonts w:ascii="Times New Roman" w:hAnsi="Times New Roman" w:cs="Times New Roman"/>
          <w:i/>
          <w:iCs/>
          <w:noProof/>
          <w:kern w:val="0"/>
          <w:sz w:val="24"/>
        </w:rPr>
        <w:t>Frontiers in Sustainable Food Systems</w:t>
      </w:r>
      <w:r w:rsidRPr="00F43F58">
        <w:rPr>
          <w:rFonts w:ascii="Times New Roman" w:hAnsi="Times New Roman" w:cs="Times New Roman"/>
          <w:noProof/>
          <w:kern w:val="0"/>
          <w:sz w:val="24"/>
        </w:rPr>
        <w:t>, Vol. 7, doi: 10.3389/fsufs.2023.1143753.</w:t>
      </w:r>
    </w:p>
    <w:p w14:paraId="22379D9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EFSA. (2010), “Management of left‐censored data in dietary exposure assessment of chemical substances”, </w:t>
      </w:r>
      <w:r w:rsidRPr="00F43F58">
        <w:rPr>
          <w:rFonts w:ascii="Times New Roman" w:hAnsi="Times New Roman" w:cs="Times New Roman"/>
          <w:i/>
          <w:iCs/>
          <w:noProof/>
          <w:kern w:val="0"/>
          <w:sz w:val="24"/>
        </w:rPr>
        <w:t>EFSA Journal</w:t>
      </w:r>
      <w:r w:rsidRPr="00F43F58">
        <w:rPr>
          <w:rFonts w:ascii="Times New Roman" w:hAnsi="Times New Roman" w:cs="Times New Roman"/>
          <w:noProof/>
          <w:kern w:val="0"/>
          <w:sz w:val="24"/>
        </w:rPr>
        <w:t>, Vol. 8 No. 3, doi: 10.2903/j.efsa.2010.1557.</w:t>
      </w:r>
    </w:p>
    <w:p w14:paraId="4AA672D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Egger, M., Smith, G.D., Schneider, M. and Minder, C. (1997), “Bias in meta-analysis detected by a simple, graphical test”, </w:t>
      </w:r>
      <w:r w:rsidRPr="00F43F58">
        <w:rPr>
          <w:rFonts w:ascii="Times New Roman" w:hAnsi="Times New Roman" w:cs="Times New Roman"/>
          <w:i/>
          <w:iCs/>
          <w:noProof/>
          <w:kern w:val="0"/>
          <w:sz w:val="24"/>
        </w:rPr>
        <w:t>British Medical Journal</w:t>
      </w:r>
      <w:r w:rsidRPr="00F43F58">
        <w:rPr>
          <w:rFonts w:ascii="Times New Roman" w:hAnsi="Times New Roman" w:cs="Times New Roman"/>
          <w:noProof/>
          <w:kern w:val="0"/>
          <w:sz w:val="24"/>
        </w:rPr>
        <w:t>, Vol. 315 No. 7109, pp. 629–634, doi: 10.1136/bmj.315.7109.629.</w:t>
      </w:r>
    </w:p>
    <w:p w14:paraId="6E91788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El-Sheikh, E.-S.A., Ramadan, M.M., El-Sobki, A.E., Shalaby, A.A., McCoy, M.R., Hamed, I.A., Ashour, M.-B.,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(2022), “Pesticide Residues in Vegetables and Fruits from Farmer Markets and Associated Dietary Risks”, </w:t>
      </w:r>
      <w:r w:rsidRPr="00F43F58">
        <w:rPr>
          <w:rFonts w:ascii="Times New Roman" w:hAnsi="Times New Roman" w:cs="Times New Roman"/>
          <w:i/>
          <w:iCs/>
          <w:noProof/>
          <w:kern w:val="0"/>
          <w:sz w:val="24"/>
        </w:rPr>
        <w:t>Molecules</w:t>
      </w:r>
      <w:r w:rsidRPr="00F43F58">
        <w:rPr>
          <w:rFonts w:ascii="Times New Roman" w:hAnsi="Times New Roman" w:cs="Times New Roman"/>
          <w:noProof/>
          <w:kern w:val="0"/>
          <w:sz w:val="24"/>
        </w:rPr>
        <w:t>, Vol. 27 No. 22, p. 8072, doi: 10.3390/molecules27228072.</w:t>
      </w:r>
    </w:p>
    <w:p w14:paraId="5DC9B0A0"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Flinders, C., Barnhart, B., Morrison, E.B., Anderson, P.D. and Landis, W.G. (2025), “Probabilistic approaches for risk assessment and regulatory criteria development: current </w:t>
      </w:r>
      <w:r w:rsidRPr="00F43F58">
        <w:rPr>
          <w:rFonts w:ascii="Times New Roman" w:hAnsi="Times New Roman" w:cs="Times New Roman"/>
          <w:noProof/>
          <w:kern w:val="0"/>
          <w:sz w:val="24"/>
        </w:rPr>
        <w:lastRenderedPageBreak/>
        <w:t xml:space="preserve">applications, gaps, and opportunities”, </w:t>
      </w:r>
      <w:r w:rsidRPr="00F43F58">
        <w:rPr>
          <w:rFonts w:ascii="Times New Roman" w:hAnsi="Times New Roman" w:cs="Times New Roman"/>
          <w:i/>
          <w:iCs/>
          <w:noProof/>
          <w:kern w:val="0"/>
          <w:sz w:val="24"/>
        </w:rPr>
        <w:t>Integrated Environmental Assessment and Management</w:t>
      </w:r>
      <w:r w:rsidRPr="00F43F58">
        <w:rPr>
          <w:rFonts w:ascii="Times New Roman" w:hAnsi="Times New Roman" w:cs="Times New Roman"/>
          <w:noProof/>
          <w:kern w:val="0"/>
          <w:sz w:val="24"/>
        </w:rPr>
        <w:t>, doi: 10.1093/inteam/vjaf016.</w:t>
      </w:r>
    </w:p>
    <w:p w14:paraId="1D89E562"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Gentil, C., Fantke, P., Mottes, C. and Basset-Mens, C. (2020), “Challenges and ways forward in pesticide emission and toxicity characterization modeling for tropical conditions”, </w:t>
      </w:r>
      <w:r w:rsidRPr="00F43F58">
        <w:rPr>
          <w:rFonts w:ascii="Times New Roman" w:hAnsi="Times New Roman" w:cs="Times New Roman"/>
          <w:i/>
          <w:iCs/>
          <w:noProof/>
          <w:kern w:val="0"/>
          <w:sz w:val="24"/>
        </w:rPr>
        <w:t>The International Journal of Life Cycle Assessment</w:t>
      </w:r>
      <w:r w:rsidRPr="00F43F58">
        <w:rPr>
          <w:rFonts w:ascii="Times New Roman" w:hAnsi="Times New Roman" w:cs="Times New Roman"/>
          <w:noProof/>
          <w:kern w:val="0"/>
          <w:sz w:val="24"/>
        </w:rPr>
        <w:t>, Vol. 25 No. 7, pp. 1290–1306, doi: 10.1007/s11367-019-01685-9.</w:t>
      </w:r>
    </w:p>
    <w:p w14:paraId="4E31B2B9"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Gómez-Carracedo, M.P., Andrade, J.M., López-Mahía, P., Muniategui, S. and Prada, D. (2014), “A practical comparison of single and multiple imputation methods to handle complex missing data in air quality datasets”, </w:t>
      </w:r>
      <w:r w:rsidRPr="00F43F58">
        <w:rPr>
          <w:rFonts w:ascii="Times New Roman" w:hAnsi="Times New Roman" w:cs="Times New Roman"/>
          <w:i/>
          <w:iCs/>
          <w:noProof/>
          <w:kern w:val="0"/>
          <w:sz w:val="24"/>
        </w:rPr>
        <w:t>Chemometrics and Intelligent Laboratory Systems</w:t>
      </w:r>
      <w:r w:rsidRPr="00F43F58">
        <w:rPr>
          <w:rFonts w:ascii="Times New Roman" w:hAnsi="Times New Roman" w:cs="Times New Roman"/>
          <w:noProof/>
          <w:kern w:val="0"/>
          <w:sz w:val="24"/>
        </w:rPr>
        <w:t>, Vol. 134, pp. 23–33, doi: 10.1016/j.chemolab.2014.02.007.</w:t>
      </w:r>
    </w:p>
    <w:p w14:paraId="63A2400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Handford, C.E., Elliott, C.T. and Campbell, K. (2015), “A review of the global pesticide legislation and the scale of challenge in reaching the global harmonization of food safety standards”, </w:t>
      </w:r>
      <w:r w:rsidRPr="00F43F58">
        <w:rPr>
          <w:rFonts w:ascii="Times New Roman" w:hAnsi="Times New Roman" w:cs="Times New Roman"/>
          <w:i/>
          <w:iCs/>
          <w:noProof/>
          <w:kern w:val="0"/>
          <w:sz w:val="24"/>
        </w:rPr>
        <w:t>Integrated Environmental Assessment and Management</w:t>
      </w:r>
      <w:r w:rsidRPr="00F43F58">
        <w:rPr>
          <w:rFonts w:ascii="Times New Roman" w:hAnsi="Times New Roman" w:cs="Times New Roman"/>
          <w:noProof/>
          <w:kern w:val="0"/>
          <w:sz w:val="24"/>
        </w:rPr>
        <w:t>, Vol. 11 No. 4, pp. 525–536, doi: 10.1002/ieam.1635.</w:t>
      </w:r>
    </w:p>
    <w:p w14:paraId="627FC1D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Helsel, D.R. (2006), “Fabricating data: How substituting values for nondetects can ruin results, and what can be done about it”, </w:t>
      </w:r>
      <w:r w:rsidRPr="00F43F58">
        <w:rPr>
          <w:rFonts w:ascii="Times New Roman" w:hAnsi="Times New Roman" w:cs="Times New Roman"/>
          <w:i/>
          <w:iCs/>
          <w:noProof/>
          <w:kern w:val="0"/>
          <w:sz w:val="24"/>
        </w:rPr>
        <w:t>Chemosphere</w:t>
      </w:r>
      <w:r w:rsidRPr="00F43F58">
        <w:rPr>
          <w:rFonts w:ascii="Times New Roman" w:hAnsi="Times New Roman" w:cs="Times New Roman"/>
          <w:noProof/>
          <w:kern w:val="0"/>
          <w:sz w:val="24"/>
        </w:rPr>
        <w:t>, Vol. 65 No. 11, pp. 2434–2439, doi: 10.1016/j.chemosphere.2006.04.051.</w:t>
      </w:r>
    </w:p>
    <w:p w14:paraId="5A3CE2EC"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Ian, R.W., Patrick, R. and W., A.M. (2011), “Multiple imputation using chained equations: Issues and guidance for practice”, </w:t>
      </w:r>
      <w:r w:rsidRPr="00F43F58">
        <w:rPr>
          <w:rFonts w:ascii="Times New Roman" w:hAnsi="Times New Roman" w:cs="Times New Roman"/>
          <w:i/>
          <w:iCs/>
          <w:noProof/>
          <w:kern w:val="0"/>
          <w:sz w:val="24"/>
        </w:rPr>
        <w:t>Statistics in Medicine</w:t>
      </w:r>
      <w:r w:rsidRPr="00F43F58">
        <w:rPr>
          <w:rFonts w:ascii="Times New Roman" w:hAnsi="Times New Roman" w:cs="Times New Roman"/>
          <w:noProof/>
          <w:kern w:val="0"/>
          <w:sz w:val="24"/>
        </w:rPr>
        <w:t>, Vol. 30 No. 4, pp. 377–399.</w:t>
      </w:r>
    </w:p>
    <w:p w14:paraId="6CDA54F1"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Ingenbleek, L., Verger, P., Gimou, M.M., Adegboye, A., Adebayo, S.B., Hossou, S.E., Koné, A.Z.,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(2020), “Human dietary exposure to chemicals in sub-Saharan Africa: safety assessment through a total diet study”, </w:t>
      </w:r>
      <w:r w:rsidRPr="00F43F58">
        <w:rPr>
          <w:rFonts w:ascii="Times New Roman" w:hAnsi="Times New Roman" w:cs="Times New Roman"/>
          <w:i/>
          <w:iCs/>
          <w:noProof/>
          <w:kern w:val="0"/>
          <w:sz w:val="24"/>
        </w:rPr>
        <w:t>The Lancet Planetary Health</w:t>
      </w:r>
      <w:r w:rsidRPr="00F43F58">
        <w:rPr>
          <w:rFonts w:ascii="Times New Roman" w:hAnsi="Times New Roman" w:cs="Times New Roman"/>
          <w:noProof/>
          <w:kern w:val="0"/>
          <w:sz w:val="24"/>
        </w:rPr>
        <w:t>, Vol. 4 No. 7, pp. e292–e300, doi: 10.1016/S2542-5196(20)30104-2.</w:t>
      </w:r>
    </w:p>
    <w:p w14:paraId="0EF9A042"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Kambach, S., Bruelheide, H., Gerstner, K., Gurevitch, J., Beckmann, M. and Seppelt, R. (2020), “Consequences of multiple imputation of missing standard deviations and sample sizes in meta-analysis”, </w:t>
      </w:r>
      <w:r w:rsidRPr="00F43F58">
        <w:rPr>
          <w:rFonts w:ascii="Times New Roman" w:hAnsi="Times New Roman" w:cs="Times New Roman"/>
          <w:i/>
          <w:iCs/>
          <w:noProof/>
          <w:kern w:val="0"/>
          <w:sz w:val="24"/>
        </w:rPr>
        <w:t>Ecology and Evolution</w:t>
      </w:r>
      <w:r w:rsidRPr="00F43F58">
        <w:rPr>
          <w:rFonts w:ascii="Times New Roman" w:hAnsi="Times New Roman" w:cs="Times New Roman"/>
          <w:noProof/>
          <w:kern w:val="0"/>
          <w:sz w:val="24"/>
        </w:rPr>
        <w:t>, Vol. 10 No. 20, pp. 11699–11712, doi: 10.1002/ece3.6806.</w:t>
      </w:r>
    </w:p>
    <w:p w14:paraId="1985BD7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Khatun, P., Islam, A., Sachi, S., Islam, M.Z. and Islam, P. (2023), “Pesticides in vegetable </w:t>
      </w:r>
      <w:r w:rsidRPr="00F43F58">
        <w:rPr>
          <w:rFonts w:ascii="Times New Roman" w:hAnsi="Times New Roman" w:cs="Times New Roman"/>
          <w:noProof/>
          <w:kern w:val="0"/>
          <w:sz w:val="24"/>
        </w:rPr>
        <w:lastRenderedPageBreak/>
        <w:t xml:space="preserve">production in Bangladesh: A systemic review of contamination levels and associated health risks in the last decade”, </w:t>
      </w:r>
      <w:r w:rsidRPr="00F43F58">
        <w:rPr>
          <w:rFonts w:ascii="Times New Roman" w:hAnsi="Times New Roman" w:cs="Times New Roman"/>
          <w:i/>
          <w:iCs/>
          <w:noProof/>
          <w:kern w:val="0"/>
          <w:sz w:val="24"/>
        </w:rPr>
        <w:t>Toxicology Reports</w:t>
      </w:r>
      <w:r w:rsidRPr="00F43F58">
        <w:rPr>
          <w:rFonts w:ascii="Times New Roman" w:hAnsi="Times New Roman" w:cs="Times New Roman"/>
          <w:noProof/>
          <w:kern w:val="0"/>
          <w:sz w:val="24"/>
        </w:rPr>
        <w:t>, Vol. 11, pp. 199–211, doi: 10.1016/j.toxrep.2023.09.003.</w:t>
      </w:r>
    </w:p>
    <w:p w14:paraId="3AC1A47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Kim, K.H., Kabir, E. and Jahan, S.A. (2017), “Exposure to pesticides and the associated human health effects”, </w:t>
      </w:r>
      <w:r w:rsidRPr="00F43F58">
        <w:rPr>
          <w:rFonts w:ascii="Times New Roman" w:hAnsi="Times New Roman" w:cs="Times New Roman"/>
          <w:i/>
          <w:iCs/>
          <w:noProof/>
          <w:kern w:val="0"/>
          <w:sz w:val="24"/>
        </w:rPr>
        <w:t>Science of the Total Environment</w:t>
      </w:r>
      <w:r w:rsidRPr="00F43F58">
        <w:rPr>
          <w:rFonts w:ascii="Times New Roman" w:hAnsi="Times New Roman" w:cs="Times New Roman"/>
          <w:noProof/>
          <w:kern w:val="0"/>
          <w:sz w:val="24"/>
        </w:rPr>
        <w:t>, Vol. 575, pp. 525–535, doi: 10.1016/j.scitotenv.2016.09.009.</w:t>
      </w:r>
    </w:p>
    <w:p w14:paraId="31CF5235"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Lagisz, M., Yang, Y., Young, S. and Nakagawa, S. (2025), “A practical guide to evaluating sensitivity of literature search strings for systematic reviews using relative recall”, </w:t>
      </w:r>
      <w:r w:rsidRPr="00F43F58">
        <w:rPr>
          <w:rFonts w:ascii="Times New Roman" w:hAnsi="Times New Roman" w:cs="Times New Roman"/>
          <w:i/>
          <w:iCs/>
          <w:noProof/>
          <w:kern w:val="0"/>
          <w:sz w:val="24"/>
        </w:rPr>
        <w:t>Research Synthesis Methods</w:t>
      </w:r>
      <w:r w:rsidRPr="00F43F58">
        <w:rPr>
          <w:rFonts w:ascii="Times New Roman" w:hAnsi="Times New Roman" w:cs="Times New Roman"/>
          <w:noProof/>
          <w:kern w:val="0"/>
          <w:sz w:val="24"/>
        </w:rPr>
        <w:t>, Vol. 16 No. 1, pp. 1–14, doi: 10.1017/rsm.2024.6.</w:t>
      </w:r>
    </w:p>
    <w:p w14:paraId="79918115"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Lee, M., Saha, A., Sundaram, R., Albert, P.S. and Zhao, S. (2024), “Accommodating detection limits of multiple exposures in environmental mixture analyses: an overview of statistical approaches”, </w:t>
      </w:r>
      <w:r w:rsidRPr="00F43F58">
        <w:rPr>
          <w:rFonts w:ascii="Times New Roman" w:hAnsi="Times New Roman" w:cs="Times New Roman"/>
          <w:i/>
          <w:iCs/>
          <w:noProof/>
          <w:kern w:val="0"/>
          <w:sz w:val="24"/>
        </w:rPr>
        <w:t>Environmental Health: A Global Access Science Source</w:t>
      </w:r>
      <w:r w:rsidRPr="00F43F58">
        <w:rPr>
          <w:rFonts w:ascii="Times New Roman" w:hAnsi="Times New Roman" w:cs="Times New Roman"/>
          <w:noProof/>
          <w:kern w:val="0"/>
          <w:sz w:val="24"/>
        </w:rPr>
        <w:t>, Vol. 23 No. 1, doi: 10.1186/s12940-024-01088-w.</w:t>
      </w:r>
    </w:p>
    <w:p w14:paraId="5E120DE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Mekonen, S., Lachat, C., Ambelu, A., Steurbaut, W., Kolsteren, P., Jacxsens, L., Wondafrash, M.,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(2015), “Risk of DDT residue in maize consumed by infants as complementary diet in southwest Ethiopia”, </w:t>
      </w:r>
      <w:r w:rsidRPr="00F43F58">
        <w:rPr>
          <w:rFonts w:ascii="Times New Roman" w:hAnsi="Times New Roman" w:cs="Times New Roman"/>
          <w:i/>
          <w:iCs/>
          <w:noProof/>
          <w:kern w:val="0"/>
          <w:sz w:val="24"/>
        </w:rPr>
        <w:t>Science of the Total Environment</w:t>
      </w:r>
      <w:r w:rsidRPr="00F43F58">
        <w:rPr>
          <w:rFonts w:ascii="Times New Roman" w:hAnsi="Times New Roman" w:cs="Times New Roman"/>
          <w:noProof/>
          <w:kern w:val="0"/>
          <w:sz w:val="24"/>
        </w:rPr>
        <w:t>, Vol. 511, pp. 454–460, doi: 10.1016/j.scitotenv.2014.12.087.</w:t>
      </w:r>
    </w:p>
    <w:p w14:paraId="75ACE3FC"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Mengistu, D.A., Geremew, A., Tessema, R.A. and Wolfing, T. (2025), “Concentrations of DDT metabolites in different food items and public health risk in Africa regions: systematic review and metal analysis”, </w:t>
      </w:r>
      <w:r w:rsidRPr="00F43F58">
        <w:rPr>
          <w:rFonts w:ascii="Times New Roman" w:hAnsi="Times New Roman" w:cs="Times New Roman"/>
          <w:i/>
          <w:iCs/>
          <w:noProof/>
          <w:kern w:val="0"/>
          <w:sz w:val="24"/>
        </w:rPr>
        <w:t>Frontiers in Public Health</w:t>
      </w:r>
      <w:r w:rsidRPr="00F43F58">
        <w:rPr>
          <w:rFonts w:ascii="Times New Roman" w:hAnsi="Times New Roman" w:cs="Times New Roman"/>
          <w:noProof/>
          <w:kern w:val="0"/>
          <w:sz w:val="24"/>
        </w:rPr>
        <w:t>, Vol. 13, doi: 10.3389/fpubh.2025.1511012.</w:t>
      </w:r>
    </w:p>
    <w:p w14:paraId="04B31EC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Nakagawa, S. and Freckleton, R.P. (2008), “Missing inaction: the dangers of ignoring missing data”, </w:t>
      </w:r>
      <w:r w:rsidRPr="00F43F58">
        <w:rPr>
          <w:rFonts w:ascii="Times New Roman" w:hAnsi="Times New Roman" w:cs="Times New Roman"/>
          <w:i/>
          <w:iCs/>
          <w:noProof/>
          <w:kern w:val="0"/>
          <w:sz w:val="24"/>
        </w:rPr>
        <w:t>Trends in Ecology and Evolution</w:t>
      </w:r>
      <w:r w:rsidRPr="00F43F58">
        <w:rPr>
          <w:rFonts w:ascii="Times New Roman" w:hAnsi="Times New Roman" w:cs="Times New Roman"/>
          <w:noProof/>
          <w:kern w:val="0"/>
          <w:sz w:val="24"/>
        </w:rPr>
        <w:t>, Vol. 23 No. 11, pp. 592–596, doi: 10.1016/j.tree.2008.06.014.</w:t>
      </w:r>
    </w:p>
    <w:p w14:paraId="66B179CF"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Nakagawa, S., Johnson, P.C.D. and Schielzeth, H. (2017), “The coefficient of determination R2 and intra-class correlation coefficient from generalized linear mixed-effects models revisited and expanded”, </w:t>
      </w:r>
      <w:r w:rsidRPr="00F43F58">
        <w:rPr>
          <w:rFonts w:ascii="Times New Roman" w:hAnsi="Times New Roman" w:cs="Times New Roman"/>
          <w:i/>
          <w:iCs/>
          <w:noProof/>
          <w:kern w:val="0"/>
          <w:sz w:val="24"/>
        </w:rPr>
        <w:t>Journal of the Royal Society Interface</w:t>
      </w:r>
      <w:r w:rsidRPr="00F43F58">
        <w:rPr>
          <w:rFonts w:ascii="Times New Roman" w:hAnsi="Times New Roman" w:cs="Times New Roman"/>
          <w:noProof/>
          <w:kern w:val="0"/>
          <w:sz w:val="24"/>
        </w:rPr>
        <w:t>, Vol. 14 No. 134, doi: 10.1098/rsif.2017.0213.</w:t>
      </w:r>
    </w:p>
    <w:p w14:paraId="419AE42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lastRenderedPageBreak/>
        <w:t xml:space="preserve">Nakagawa, S., Lagisz, M., Jennions, M.D., Koricheva, J., Noble, D.W.A., Parker, T.H., Sánchez-Tójar, A.,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(2022), “Methods for testing publication bias in ecological and evolutionary meta-analyses”, </w:t>
      </w:r>
      <w:r w:rsidRPr="00F43F58">
        <w:rPr>
          <w:rFonts w:ascii="Times New Roman" w:hAnsi="Times New Roman" w:cs="Times New Roman"/>
          <w:i/>
          <w:iCs/>
          <w:noProof/>
          <w:kern w:val="0"/>
          <w:sz w:val="24"/>
        </w:rPr>
        <w:t>Methods in Ecology and Evolution</w:t>
      </w:r>
      <w:r w:rsidRPr="00F43F58">
        <w:rPr>
          <w:rFonts w:ascii="Times New Roman" w:hAnsi="Times New Roman" w:cs="Times New Roman"/>
          <w:noProof/>
          <w:kern w:val="0"/>
          <w:sz w:val="24"/>
        </w:rPr>
        <w:t>, Vol. 13 No. 1, pp. 4–21, doi: 10.1111/2041-210X.13724.</w:t>
      </w:r>
    </w:p>
    <w:p w14:paraId="6E2F597F"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Nakagawa, S., Lagisz, M., O’Dea, R.E., Pottier, P., Rutkowska, J., Senior, A.M., Yang, Y.,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(2023), “orchaRd 2.0: An R package for visualising meta-analyses with orchard plots”, </w:t>
      </w:r>
      <w:r w:rsidRPr="00F43F58">
        <w:rPr>
          <w:rFonts w:ascii="Times New Roman" w:hAnsi="Times New Roman" w:cs="Times New Roman"/>
          <w:i/>
          <w:iCs/>
          <w:noProof/>
          <w:kern w:val="0"/>
          <w:sz w:val="24"/>
        </w:rPr>
        <w:t>Methods in Ecology and Evolution</w:t>
      </w:r>
      <w:r w:rsidRPr="00F43F58">
        <w:rPr>
          <w:rFonts w:ascii="Times New Roman" w:hAnsi="Times New Roman" w:cs="Times New Roman"/>
          <w:noProof/>
          <w:kern w:val="0"/>
          <w:sz w:val="24"/>
        </w:rPr>
        <w:t>, Vol. 14 No. 8, pp. 2003–2010, doi: 10.1111/2041-210X.14152.</w:t>
      </w:r>
    </w:p>
    <w:p w14:paraId="2989593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Nakagawa, S., Yang, Y., Macartney, E.L., Spake, R. and Lagisz, M. (2023), “Quantitative evidence synthesis: a practical guide on meta-analysis, meta-regression, and publication bias tests for environmental sciences”, </w:t>
      </w:r>
      <w:r w:rsidRPr="00F43F58">
        <w:rPr>
          <w:rFonts w:ascii="Times New Roman" w:hAnsi="Times New Roman" w:cs="Times New Roman"/>
          <w:i/>
          <w:iCs/>
          <w:noProof/>
          <w:kern w:val="0"/>
          <w:sz w:val="24"/>
        </w:rPr>
        <w:t>Environmental Evidence</w:t>
      </w:r>
      <w:r w:rsidRPr="00F43F58">
        <w:rPr>
          <w:rFonts w:ascii="Times New Roman" w:hAnsi="Times New Roman" w:cs="Times New Roman"/>
          <w:noProof/>
          <w:kern w:val="0"/>
          <w:sz w:val="24"/>
        </w:rPr>
        <w:t>, Vol. 12 No. 1, p. 8, doi: 10.1186/s13750-023-00301-6.</w:t>
      </w:r>
    </w:p>
    <w:p w14:paraId="15308B65"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Nielsen, G.H., Heiger-Bernays, W.J., Levy, J.I., White, R.F., Axelrad, D.A., Lam, J., Chartres, N.,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(2023), “Application of probabilistic methods to address variability and uncertainty in estimating risks for non-cancer health effects”, </w:t>
      </w:r>
      <w:r w:rsidRPr="00F43F58">
        <w:rPr>
          <w:rFonts w:ascii="Times New Roman" w:hAnsi="Times New Roman" w:cs="Times New Roman"/>
          <w:i/>
          <w:iCs/>
          <w:noProof/>
          <w:kern w:val="0"/>
          <w:sz w:val="24"/>
        </w:rPr>
        <w:t>Environmental Health: A Global Access Science Source</w:t>
      </w:r>
      <w:r w:rsidRPr="00F43F58">
        <w:rPr>
          <w:rFonts w:ascii="Times New Roman" w:hAnsi="Times New Roman" w:cs="Times New Roman"/>
          <w:noProof/>
          <w:kern w:val="0"/>
          <w:sz w:val="24"/>
        </w:rPr>
        <w:t>, Vol. 21, doi: 10.1186/s12940-022-00918-z.</w:t>
      </w:r>
    </w:p>
    <w:p w14:paraId="0260513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Van den Noortgate, W., López-López, J.A., Marín-Martínez, F. and Sánchez-Meca, J. (2013), “Three-level meta-analysis of dependent effect sizes”, </w:t>
      </w:r>
      <w:r w:rsidRPr="00F43F58">
        <w:rPr>
          <w:rFonts w:ascii="Times New Roman" w:hAnsi="Times New Roman" w:cs="Times New Roman"/>
          <w:i/>
          <w:iCs/>
          <w:noProof/>
          <w:kern w:val="0"/>
          <w:sz w:val="24"/>
        </w:rPr>
        <w:t>Behavior Research Methods</w:t>
      </w:r>
      <w:r w:rsidRPr="00F43F58">
        <w:rPr>
          <w:rFonts w:ascii="Times New Roman" w:hAnsi="Times New Roman" w:cs="Times New Roman"/>
          <w:noProof/>
          <w:kern w:val="0"/>
          <w:sz w:val="24"/>
        </w:rPr>
        <w:t>, Vol. 45 No. 2, pp. 576–594, doi: 10.3758/s13428-012-0261-6.</w:t>
      </w:r>
    </w:p>
    <w:p w14:paraId="4417CB2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Perobelli, J.E. (2025), “Pesticides and public health: discussing risks in Brazilian agro-industrial growth”, </w:t>
      </w:r>
      <w:r w:rsidRPr="00F43F58">
        <w:rPr>
          <w:rFonts w:ascii="Times New Roman" w:hAnsi="Times New Roman" w:cs="Times New Roman"/>
          <w:i/>
          <w:iCs/>
          <w:noProof/>
          <w:kern w:val="0"/>
          <w:sz w:val="24"/>
        </w:rPr>
        <w:t>Frontiers in Toxicology</w:t>
      </w:r>
      <w:r w:rsidRPr="00F43F58">
        <w:rPr>
          <w:rFonts w:ascii="Times New Roman" w:hAnsi="Times New Roman" w:cs="Times New Roman"/>
          <w:noProof/>
          <w:kern w:val="0"/>
          <w:sz w:val="24"/>
        </w:rPr>
        <w:t>, Vol. 7, doi: 10.3389/ftox.2025.1442801.</w:t>
      </w:r>
    </w:p>
    <w:p w14:paraId="5FD93E6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Pustejovsky, J. (2017), “clubSandwich: Cluster-Robust (Sandwich) Variance Estimators with Small-Sample Corrections. R Package Version 0.2”, p. 3.</w:t>
      </w:r>
    </w:p>
    <w:p w14:paraId="2C3CF9B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Pustejovsky, J.E. and Tipton, E. (2022), “Meta-analysis with Robust Variance Estimation: Expanding the Range of Working Models”, </w:t>
      </w:r>
      <w:r w:rsidRPr="00F43F58">
        <w:rPr>
          <w:rFonts w:ascii="Times New Roman" w:hAnsi="Times New Roman" w:cs="Times New Roman"/>
          <w:i/>
          <w:iCs/>
          <w:noProof/>
          <w:kern w:val="0"/>
          <w:sz w:val="24"/>
        </w:rPr>
        <w:t>Prevention Science</w:t>
      </w:r>
      <w:r w:rsidRPr="00F43F58">
        <w:rPr>
          <w:rFonts w:ascii="Times New Roman" w:hAnsi="Times New Roman" w:cs="Times New Roman"/>
          <w:noProof/>
          <w:kern w:val="0"/>
          <w:sz w:val="24"/>
        </w:rPr>
        <w:t>, Vol. 23 No. 3, pp. 425–438, doi: 10.1007/s11121-021-01246-3.</w:t>
      </w:r>
    </w:p>
    <w:p w14:paraId="3A44058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Sang, C., Niu, Y., Gao, Q., Zhang, J., An, W., Shao, B. and Yang, M. (2024), “Characterizing the cumulative health risks of 19 kinds of pesticides in Chinese food from the cancer and </w:t>
      </w:r>
      <w:r w:rsidRPr="00F43F58">
        <w:rPr>
          <w:rFonts w:ascii="Times New Roman" w:hAnsi="Times New Roman" w:cs="Times New Roman"/>
          <w:noProof/>
          <w:kern w:val="0"/>
          <w:sz w:val="24"/>
        </w:rPr>
        <w:lastRenderedPageBreak/>
        <w:t xml:space="preserve">non-cancer perspective”, </w:t>
      </w:r>
      <w:r w:rsidRPr="00F43F58">
        <w:rPr>
          <w:rFonts w:ascii="Times New Roman" w:hAnsi="Times New Roman" w:cs="Times New Roman"/>
          <w:i/>
          <w:iCs/>
          <w:noProof/>
          <w:kern w:val="0"/>
          <w:sz w:val="24"/>
        </w:rPr>
        <w:t>Journal of Environmental Management</w:t>
      </w:r>
      <w:r w:rsidRPr="00F43F58">
        <w:rPr>
          <w:rFonts w:ascii="Times New Roman" w:hAnsi="Times New Roman" w:cs="Times New Roman"/>
          <w:noProof/>
          <w:kern w:val="0"/>
          <w:sz w:val="24"/>
        </w:rPr>
        <w:t>, Vol. 351, p. 119813, doi: 10.1016/j.jenvman.2023.119813.</w:t>
      </w:r>
    </w:p>
    <w:p w14:paraId="5E958434"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Tang, F.H.M., Lenzen, M., McBratney, A. and Maggi, F. (2021), “Risk of pesticide pollution at the global scale”, </w:t>
      </w:r>
      <w:r w:rsidRPr="00F43F58">
        <w:rPr>
          <w:rFonts w:ascii="Times New Roman" w:hAnsi="Times New Roman" w:cs="Times New Roman"/>
          <w:i/>
          <w:iCs/>
          <w:noProof/>
          <w:kern w:val="0"/>
          <w:sz w:val="24"/>
        </w:rPr>
        <w:t>Nature Geoscience</w:t>
      </w:r>
      <w:r w:rsidRPr="00F43F58">
        <w:rPr>
          <w:rFonts w:ascii="Times New Roman" w:hAnsi="Times New Roman" w:cs="Times New Roman"/>
          <w:noProof/>
          <w:kern w:val="0"/>
          <w:sz w:val="24"/>
        </w:rPr>
        <w:t>, Vol. 14 No. 4, pp. 206–210, doi: 10.1038/s41561-021-00712-5.</w:t>
      </w:r>
    </w:p>
    <w:p w14:paraId="28FDAF82"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Tang, F.H.M., Malik, A., Li, M., Lenzen, M. and Maggi, F. (2022), “International demand for food and services drives environmental footprints of pesticide use”, </w:t>
      </w:r>
      <w:r w:rsidRPr="00F43F58">
        <w:rPr>
          <w:rFonts w:ascii="Times New Roman" w:hAnsi="Times New Roman" w:cs="Times New Roman"/>
          <w:i/>
          <w:iCs/>
          <w:noProof/>
          <w:kern w:val="0"/>
          <w:sz w:val="24"/>
        </w:rPr>
        <w:t>Communications Earth and Environment</w:t>
      </w:r>
      <w:r w:rsidRPr="00F43F58">
        <w:rPr>
          <w:rFonts w:ascii="Times New Roman" w:hAnsi="Times New Roman" w:cs="Times New Roman"/>
          <w:noProof/>
          <w:kern w:val="0"/>
          <w:sz w:val="24"/>
        </w:rPr>
        <w:t>, Vol. 3 No. 1, p. 272, doi: 10.1038/s43247-022-00601-8.</w:t>
      </w:r>
    </w:p>
    <w:p w14:paraId="2742E84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Tang, F.H.M., Wyckhuys, K.A.G., Li, Z., Maggi, F. and Silva, V. (2025), “Transboundary impacts of pesticide use in food production”, </w:t>
      </w:r>
      <w:r w:rsidRPr="00F43F58">
        <w:rPr>
          <w:rFonts w:ascii="Times New Roman" w:hAnsi="Times New Roman" w:cs="Times New Roman"/>
          <w:i/>
          <w:iCs/>
          <w:noProof/>
          <w:kern w:val="0"/>
          <w:sz w:val="24"/>
        </w:rPr>
        <w:t>Nature Reviews Earth &amp; Environment</w:t>
      </w:r>
      <w:r w:rsidRPr="00F43F58">
        <w:rPr>
          <w:rFonts w:ascii="Times New Roman" w:hAnsi="Times New Roman" w:cs="Times New Roman"/>
          <w:noProof/>
          <w:kern w:val="0"/>
          <w:sz w:val="24"/>
        </w:rPr>
        <w:t>, Vol. 6 No. 6, pp. 383–400, doi: 10.1038/s43017-025-00673-y.</w:t>
      </w:r>
    </w:p>
    <w:p w14:paraId="4CD6457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Teklu, B.M., Adriaanse, P.I., Ter Horst, M.M.S., Deneer, J.W. and Van den Brink, P.J. (2015), “Surface water risk assessment of pesticides in Ethiopia”, </w:t>
      </w:r>
      <w:r w:rsidRPr="00F43F58">
        <w:rPr>
          <w:rFonts w:ascii="Times New Roman" w:hAnsi="Times New Roman" w:cs="Times New Roman"/>
          <w:i/>
          <w:iCs/>
          <w:noProof/>
          <w:kern w:val="0"/>
          <w:sz w:val="24"/>
        </w:rPr>
        <w:t>Science of the Total Environment</w:t>
      </w:r>
      <w:r w:rsidRPr="00F43F58">
        <w:rPr>
          <w:rFonts w:ascii="Times New Roman" w:hAnsi="Times New Roman" w:cs="Times New Roman"/>
          <w:noProof/>
          <w:kern w:val="0"/>
          <w:sz w:val="24"/>
        </w:rPr>
        <w:t>, Vol. 508, pp. 566–574, doi: 10.1016/j.scitotenv.2014.11.049.</w:t>
      </w:r>
    </w:p>
    <w:p w14:paraId="53338CE5"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Tipton, E. and Pustejovsky, J.E. (2015), “Small-Sample Adjustments for Tests of Moderators and Model Fit Using Robust Variance Estimation in Meta-Regression”, </w:t>
      </w:r>
      <w:r w:rsidRPr="00F43F58">
        <w:rPr>
          <w:rFonts w:ascii="Times New Roman" w:hAnsi="Times New Roman" w:cs="Times New Roman"/>
          <w:i/>
          <w:iCs/>
          <w:noProof/>
          <w:kern w:val="0"/>
          <w:sz w:val="24"/>
        </w:rPr>
        <w:t>Journal of Educational and Behavioral Statistics</w:t>
      </w:r>
      <w:r w:rsidRPr="00F43F58">
        <w:rPr>
          <w:rFonts w:ascii="Times New Roman" w:hAnsi="Times New Roman" w:cs="Times New Roman"/>
          <w:noProof/>
          <w:kern w:val="0"/>
          <w:sz w:val="24"/>
        </w:rPr>
        <w:t>, Vol. 40 No. 6, pp. 604–634, doi: 10.3102/1076998615606099.</w:t>
      </w:r>
    </w:p>
    <w:p w14:paraId="7BB0FC8A"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US EPA. (2000), “Assigning values to non-detected/non-quantified pesticide residues in human health food exposure assessments”, No. 6047, pp. 1–25.</w:t>
      </w:r>
    </w:p>
    <w:p w14:paraId="4FD521AF"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US EPA. (2014), “Risk Assessment Forum White Paper: Probabilistic Risk Assessment Methods and Case Studies. EPA/100/R-14/004”, No. July, p. 98.</w:t>
      </w:r>
    </w:p>
    <w:p w14:paraId="3E7A119D"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USDA. (2024), “Pesticide Data Program Annual Summary - 2023”, p. 246.</w:t>
      </w:r>
    </w:p>
    <w:p w14:paraId="6C02821C"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Viechtbauer, W. (2010), “Conducting Meta-Analyses in R with the metafor Package”, </w:t>
      </w:r>
      <w:r w:rsidRPr="00F43F58">
        <w:rPr>
          <w:rFonts w:ascii="Times New Roman" w:hAnsi="Times New Roman" w:cs="Times New Roman"/>
          <w:i/>
          <w:iCs/>
          <w:noProof/>
          <w:kern w:val="0"/>
          <w:sz w:val="24"/>
        </w:rPr>
        <w:t>Journal of Statistical Software</w:t>
      </w:r>
      <w:r w:rsidRPr="00F43F58">
        <w:rPr>
          <w:rFonts w:ascii="Times New Roman" w:hAnsi="Times New Roman" w:cs="Times New Roman"/>
          <w:noProof/>
          <w:kern w:val="0"/>
          <w:sz w:val="24"/>
        </w:rPr>
        <w:t>, Vol. 36 No. 3, pp. 1–48, doi: 10.18637/jss.v036.i03.</w:t>
      </w:r>
    </w:p>
    <w:p w14:paraId="3746505A"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Westgate, M. and Grames, E. (2020), “Package ‘synthesisr’”, </w:t>
      </w:r>
      <w:r w:rsidRPr="00F43F58">
        <w:rPr>
          <w:rFonts w:ascii="Times New Roman" w:hAnsi="Times New Roman" w:cs="Times New Roman"/>
          <w:i/>
          <w:iCs/>
          <w:noProof/>
          <w:kern w:val="0"/>
          <w:sz w:val="24"/>
        </w:rPr>
        <w:t>R Project</w:t>
      </w:r>
      <w:r w:rsidRPr="00F43F58">
        <w:rPr>
          <w:rFonts w:ascii="Times New Roman" w:hAnsi="Times New Roman" w:cs="Times New Roman"/>
          <w:noProof/>
          <w:kern w:val="0"/>
          <w:sz w:val="24"/>
        </w:rPr>
        <w:t>.</w:t>
      </w:r>
    </w:p>
    <w:p w14:paraId="1F8560F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Whaley, P., Halsall, C., Ågerstrand, M., Aiassa, E., Benford, D., Bilotta, G., Coggon, D.,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w:t>
      </w:r>
      <w:r w:rsidRPr="00F43F58">
        <w:rPr>
          <w:rFonts w:ascii="Times New Roman" w:hAnsi="Times New Roman" w:cs="Times New Roman"/>
          <w:noProof/>
          <w:kern w:val="0"/>
          <w:sz w:val="24"/>
        </w:rPr>
        <w:lastRenderedPageBreak/>
        <w:t xml:space="preserve">(2016), “Implementing systematic review techniques in chemical risk assessment: Challenges, opportunities and recommendations”, </w:t>
      </w:r>
      <w:r w:rsidRPr="00F43F58">
        <w:rPr>
          <w:rFonts w:ascii="Times New Roman" w:hAnsi="Times New Roman" w:cs="Times New Roman"/>
          <w:i/>
          <w:iCs/>
          <w:noProof/>
          <w:kern w:val="0"/>
          <w:sz w:val="24"/>
        </w:rPr>
        <w:t>Environment International</w:t>
      </w:r>
      <w:r w:rsidRPr="00F43F58">
        <w:rPr>
          <w:rFonts w:ascii="Times New Roman" w:hAnsi="Times New Roman" w:cs="Times New Roman"/>
          <w:noProof/>
          <w:kern w:val="0"/>
          <w:sz w:val="24"/>
        </w:rPr>
        <w:t>, Vol. 92–93, pp. 556–564, doi: 10.1016/j.envint.2015.11.002.</w:t>
      </w:r>
    </w:p>
    <w:p w14:paraId="5AE6B10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WHO/FAO. (2009), “Principles and Methods for the Risk Assessment of Chemicals in Food”, </w:t>
      </w:r>
      <w:r w:rsidRPr="00F43F58">
        <w:rPr>
          <w:rFonts w:ascii="Times New Roman" w:hAnsi="Times New Roman" w:cs="Times New Roman"/>
          <w:i/>
          <w:iCs/>
          <w:noProof/>
          <w:kern w:val="0"/>
          <w:sz w:val="24"/>
        </w:rPr>
        <w:t>International Journal of Environmental Studies</w:t>
      </w:r>
      <w:r w:rsidRPr="00F43F58">
        <w:rPr>
          <w:rFonts w:ascii="Times New Roman" w:hAnsi="Times New Roman" w:cs="Times New Roman"/>
          <w:noProof/>
          <w:kern w:val="0"/>
          <w:sz w:val="24"/>
        </w:rPr>
        <w:t>, pp. 1–7.</w:t>
      </w:r>
    </w:p>
    <w:p w14:paraId="5F21978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Yang, M., Wang, Y., Yang, G., Wang, Y., Liu, F. and Chen, C. (2024), “A review of cumulative risk assessment of multiple pesticide residues in food: Current status, approaches and future perspectives”, </w:t>
      </w:r>
      <w:r w:rsidRPr="00F43F58">
        <w:rPr>
          <w:rFonts w:ascii="Times New Roman" w:hAnsi="Times New Roman" w:cs="Times New Roman"/>
          <w:i/>
          <w:iCs/>
          <w:noProof/>
          <w:kern w:val="0"/>
          <w:sz w:val="24"/>
        </w:rPr>
        <w:t>Trends in Food Science and Technology</w:t>
      </w:r>
      <w:r w:rsidRPr="00F43F58">
        <w:rPr>
          <w:rFonts w:ascii="Times New Roman" w:hAnsi="Times New Roman" w:cs="Times New Roman"/>
          <w:noProof/>
          <w:kern w:val="0"/>
          <w:sz w:val="24"/>
        </w:rPr>
        <w:t>, Vol. 144, doi: 10.1016/j.tifs.2024.104340.</w:t>
      </w:r>
    </w:p>
    <w:p w14:paraId="26BF154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sz w:val="24"/>
        </w:rPr>
      </w:pPr>
      <w:r w:rsidRPr="00F43F58">
        <w:rPr>
          <w:rFonts w:ascii="Times New Roman" w:hAnsi="Times New Roman" w:cs="Times New Roman"/>
          <w:noProof/>
          <w:kern w:val="0"/>
          <w:sz w:val="24"/>
        </w:rPr>
        <w:t xml:space="preserve">Yang, Y., Lagisz, M. and Nakagawa, S. (2025), “Visualization toolkits for enriching meta-analyses through evidence maps, bibliometrics, and alternative impact metrics”, </w:t>
      </w:r>
      <w:r w:rsidRPr="00F43F58">
        <w:rPr>
          <w:rFonts w:ascii="Times New Roman" w:hAnsi="Times New Roman" w:cs="Times New Roman"/>
          <w:i/>
          <w:iCs/>
          <w:noProof/>
          <w:kern w:val="0"/>
          <w:sz w:val="24"/>
        </w:rPr>
        <w:t>Research Synthesis Methods</w:t>
      </w:r>
      <w:r w:rsidRPr="00F43F58">
        <w:rPr>
          <w:rFonts w:ascii="Times New Roman" w:hAnsi="Times New Roman" w:cs="Times New Roman"/>
          <w:noProof/>
          <w:kern w:val="0"/>
          <w:sz w:val="24"/>
        </w:rPr>
        <w:t>, Vol. 16 No. 1, pp. 15–29, doi: 10.1017/rsm.2024.3.</w:t>
      </w:r>
    </w:p>
    <w:p w14:paraId="5005C1AE" w14:textId="11D49FA8" w:rsidR="00517AAF" w:rsidRPr="008D49CC" w:rsidRDefault="00324244"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fldChar w:fldCharType="end"/>
      </w:r>
    </w:p>
    <w:sectPr w:rsidR="00517AAF" w:rsidRPr="008D49C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78F9B" w14:textId="77777777" w:rsidR="00192E42" w:rsidRPr="002042E6" w:rsidRDefault="00192E42" w:rsidP="00B123A1">
      <w:pPr>
        <w:spacing w:after="0" w:line="240" w:lineRule="auto"/>
      </w:pPr>
      <w:r w:rsidRPr="002042E6">
        <w:separator/>
      </w:r>
    </w:p>
  </w:endnote>
  <w:endnote w:type="continuationSeparator" w:id="0">
    <w:p w14:paraId="7D18252E" w14:textId="77777777" w:rsidR="00192E42" w:rsidRPr="002042E6" w:rsidRDefault="00192E42" w:rsidP="00B123A1">
      <w:pPr>
        <w:spacing w:after="0" w:line="240" w:lineRule="auto"/>
      </w:pPr>
      <w:r w:rsidRPr="002042E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4361425"/>
      <w:docPartObj>
        <w:docPartGallery w:val="Page Numbers (Bottom of Page)"/>
        <w:docPartUnique/>
      </w:docPartObj>
    </w:sdtPr>
    <w:sdtContent>
      <w:p w14:paraId="48492CA2" w14:textId="17AC48F2" w:rsidR="00835361" w:rsidRPr="002042E6" w:rsidRDefault="00835361">
        <w:pPr>
          <w:pStyle w:val="Footer"/>
          <w:jc w:val="center"/>
        </w:pPr>
        <w:r w:rsidRPr="002042E6">
          <w:fldChar w:fldCharType="begin"/>
        </w:r>
        <w:r w:rsidRPr="002042E6">
          <w:instrText>PAGE   \* MERGEFORMAT</w:instrText>
        </w:r>
        <w:r w:rsidRPr="002042E6">
          <w:fldChar w:fldCharType="separate"/>
        </w:r>
        <w:r w:rsidRPr="002042E6">
          <w:t>2</w:t>
        </w:r>
        <w:r w:rsidRPr="002042E6">
          <w:fldChar w:fldCharType="end"/>
        </w:r>
      </w:p>
    </w:sdtContent>
  </w:sdt>
  <w:p w14:paraId="61ABD567" w14:textId="77777777" w:rsidR="00B123A1" w:rsidRPr="002042E6" w:rsidRDefault="00B12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FD2BE" w14:textId="77777777" w:rsidR="00192E42" w:rsidRPr="002042E6" w:rsidRDefault="00192E42" w:rsidP="00B123A1">
      <w:pPr>
        <w:spacing w:after="0" w:line="240" w:lineRule="auto"/>
      </w:pPr>
      <w:r w:rsidRPr="002042E6">
        <w:separator/>
      </w:r>
    </w:p>
  </w:footnote>
  <w:footnote w:type="continuationSeparator" w:id="0">
    <w:p w14:paraId="2822660C" w14:textId="77777777" w:rsidR="00192E42" w:rsidRPr="002042E6" w:rsidRDefault="00192E42" w:rsidP="00B123A1">
      <w:pPr>
        <w:spacing w:after="0" w:line="240" w:lineRule="auto"/>
      </w:pPr>
      <w:r w:rsidRPr="002042E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09C"/>
    <w:multiLevelType w:val="hybridMultilevel"/>
    <w:tmpl w:val="897CF3E0"/>
    <w:lvl w:ilvl="0" w:tplc="DCEE5B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31EC4"/>
    <w:multiLevelType w:val="multilevel"/>
    <w:tmpl w:val="F1C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6149"/>
    <w:multiLevelType w:val="hybridMultilevel"/>
    <w:tmpl w:val="FA38E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921EAC"/>
    <w:multiLevelType w:val="multilevel"/>
    <w:tmpl w:val="CB0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F1762"/>
    <w:multiLevelType w:val="multilevel"/>
    <w:tmpl w:val="B05AE6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9582024"/>
    <w:multiLevelType w:val="multilevel"/>
    <w:tmpl w:val="9D1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75101"/>
    <w:multiLevelType w:val="multilevel"/>
    <w:tmpl w:val="A41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B1CA0"/>
    <w:multiLevelType w:val="hybridMultilevel"/>
    <w:tmpl w:val="13286618"/>
    <w:lvl w:ilvl="0" w:tplc="DCEE5B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FC6608"/>
    <w:multiLevelType w:val="hybridMultilevel"/>
    <w:tmpl w:val="2A428056"/>
    <w:lvl w:ilvl="0" w:tplc="DCEE5B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3A4EFB"/>
    <w:multiLevelType w:val="multilevel"/>
    <w:tmpl w:val="6984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127B0"/>
    <w:multiLevelType w:val="multilevel"/>
    <w:tmpl w:val="A14C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756503">
    <w:abstractNumId w:val="9"/>
  </w:num>
  <w:num w:numId="2" w16cid:durableId="1816529391">
    <w:abstractNumId w:val="1"/>
  </w:num>
  <w:num w:numId="3" w16cid:durableId="926186041">
    <w:abstractNumId w:val="5"/>
  </w:num>
  <w:num w:numId="4" w16cid:durableId="589847788">
    <w:abstractNumId w:val="6"/>
  </w:num>
  <w:num w:numId="5" w16cid:durableId="1875726520">
    <w:abstractNumId w:val="3"/>
  </w:num>
  <w:num w:numId="6" w16cid:durableId="3627324">
    <w:abstractNumId w:val="2"/>
  </w:num>
  <w:num w:numId="7" w16cid:durableId="602497363">
    <w:abstractNumId w:val="7"/>
  </w:num>
  <w:num w:numId="8" w16cid:durableId="1345549439">
    <w:abstractNumId w:val="0"/>
  </w:num>
  <w:num w:numId="9" w16cid:durableId="1081101268">
    <w:abstractNumId w:val="8"/>
  </w:num>
  <w:num w:numId="10" w16cid:durableId="12809350">
    <w:abstractNumId w:val="10"/>
  </w:num>
  <w:num w:numId="11" w16cid:durableId="195089012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5E"/>
    <w:rsid w:val="00002044"/>
    <w:rsid w:val="000024E0"/>
    <w:rsid w:val="0000256B"/>
    <w:rsid w:val="00003E52"/>
    <w:rsid w:val="0000587B"/>
    <w:rsid w:val="00006324"/>
    <w:rsid w:val="00010539"/>
    <w:rsid w:val="000115FC"/>
    <w:rsid w:val="00012A8C"/>
    <w:rsid w:val="000134AA"/>
    <w:rsid w:val="000151CB"/>
    <w:rsid w:val="00015E4E"/>
    <w:rsid w:val="000178D4"/>
    <w:rsid w:val="0002047F"/>
    <w:rsid w:val="000219DD"/>
    <w:rsid w:val="00024B41"/>
    <w:rsid w:val="000276EF"/>
    <w:rsid w:val="00030204"/>
    <w:rsid w:val="0003059B"/>
    <w:rsid w:val="00031934"/>
    <w:rsid w:val="000334BF"/>
    <w:rsid w:val="0003413A"/>
    <w:rsid w:val="000358DA"/>
    <w:rsid w:val="00035EC1"/>
    <w:rsid w:val="0003676E"/>
    <w:rsid w:val="00036B4E"/>
    <w:rsid w:val="00036C0C"/>
    <w:rsid w:val="00036E11"/>
    <w:rsid w:val="00037EC7"/>
    <w:rsid w:val="000419E0"/>
    <w:rsid w:val="0004222E"/>
    <w:rsid w:val="0004351C"/>
    <w:rsid w:val="00043AE6"/>
    <w:rsid w:val="00043B1F"/>
    <w:rsid w:val="000446B7"/>
    <w:rsid w:val="000448C6"/>
    <w:rsid w:val="00045029"/>
    <w:rsid w:val="00045059"/>
    <w:rsid w:val="000464E8"/>
    <w:rsid w:val="00046836"/>
    <w:rsid w:val="00046F45"/>
    <w:rsid w:val="00051C14"/>
    <w:rsid w:val="000520C6"/>
    <w:rsid w:val="00052C40"/>
    <w:rsid w:val="000551A9"/>
    <w:rsid w:val="00055560"/>
    <w:rsid w:val="00056643"/>
    <w:rsid w:val="00057F55"/>
    <w:rsid w:val="00060CB6"/>
    <w:rsid w:val="00060D18"/>
    <w:rsid w:val="00061AA4"/>
    <w:rsid w:val="000625EF"/>
    <w:rsid w:val="0006274B"/>
    <w:rsid w:val="00063E13"/>
    <w:rsid w:val="00064EE5"/>
    <w:rsid w:val="0006506B"/>
    <w:rsid w:val="000651D4"/>
    <w:rsid w:val="000656E2"/>
    <w:rsid w:val="00065A16"/>
    <w:rsid w:val="000664F3"/>
    <w:rsid w:val="000676FA"/>
    <w:rsid w:val="00070BB6"/>
    <w:rsid w:val="00073417"/>
    <w:rsid w:val="00073C22"/>
    <w:rsid w:val="00074C34"/>
    <w:rsid w:val="00076D9C"/>
    <w:rsid w:val="00077B04"/>
    <w:rsid w:val="0008281E"/>
    <w:rsid w:val="00082DAA"/>
    <w:rsid w:val="000837E5"/>
    <w:rsid w:val="00083F2F"/>
    <w:rsid w:val="00084054"/>
    <w:rsid w:val="000841A9"/>
    <w:rsid w:val="00085874"/>
    <w:rsid w:val="00087F53"/>
    <w:rsid w:val="0009028A"/>
    <w:rsid w:val="00092009"/>
    <w:rsid w:val="00092448"/>
    <w:rsid w:val="0009382F"/>
    <w:rsid w:val="00093910"/>
    <w:rsid w:val="00094184"/>
    <w:rsid w:val="00094342"/>
    <w:rsid w:val="0009437C"/>
    <w:rsid w:val="000956DF"/>
    <w:rsid w:val="00095819"/>
    <w:rsid w:val="0009598C"/>
    <w:rsid w:val="00096338"/>
    <w:rsid w:val="000970DA"/>
    <w:rsid w:val="00097DEC"/>
    <w:rsid w:val="000A3356"/>
    <w:rsid w:val="000A3ED5"/>
    <w:rsid w:val="000A4211"/>
    <w:rsid w:val="000A440E"/>
    <w:rsid w:val="000A6248"/>
    <w:rsid w:val="000A7539"/>
    <w:rsid w:val="000B1165"/>
    <w:rsid w:val="000B2704"/>
    <w:rsid w:val="000B2AA3"/>
    <w:rsid w:val="000B68AE"/>
    <w:rsid w:val="000C3015"/>
    <w:rsid w:val="000C3856"/>
    <w:rsid w:val="000C3B78"/>
    <w:rsid w:val="000C41D9"/>
    <w:rsid w:val="000C5725"/>
    <w:rsid w:val="000C5B04"/>
    <w:rsid w:val="000C5EC7"/>
    <w:rsid w:val="000C69E6"/>
    <w:rsid w:val="000C7A90"/>
    <w:rsid w:val="000D02DF"/>
    <w:rsid w:val="000D1C24"/>
    <w:rsid w:val="000D2BB8"/>
    <w:rsid w:val="000D4180"/>
    <w:rsid w:val="000D5C3E"/>
    <w:rsid w:val="000D62E4"/>
    <w:rsid w:val="000D7DF6"/>
    <w:rsid w:val="000E05EA"/>
    <w:rsid w:val="000E0752"/>
    <w:rsid w:val="000E0D42"/>
    <w:rsid w:val="000E1802"/>
    <w:rsid w:val="000E2F02"/>
    <w:rsid w:val="000E5156"/>
    <w:rsid w:val="000F1868"/>
    <w:rsid w:val="000F2244"/>
    <w:rsid w:val="000F2D27"/>
    <w:rsid w:val="000F3067"/>
    <w:rsid w:val="000F47F5"/>
    <w:rsid w:val="000F4E2E"/>
    <w:rsid w:val="000F61A6"/>
    <w:rsid w:val="000F750F"/>
    <w:rsid w:val="00101F67"/>
    <w:rsid w:val="00104F6E"/>
    <w:rsid w:val="001050F8"/>
    <w:rsid w:val="00107EA8"/>
    <w:rsid w:val="001101A8"/>
    <w:rsid w:val="0011074F"/>
    <w:rsid w:val="0011126A"/>
    <w:rsid w:val="00116C13"/>
    <w:rsid w:val="001208DC"/>
    <w:rsid w:val="00123FC9"/>
    <w:rsid w:val="00124F04"/>
    <w:rsid w:val="00126699"/>
    <w:rsid w:val="00127267"/>
    <w:rsid w:val="00127554"/>
    <w:rsid w:val="00130C5E"/>
    <w:rsid w:val="00130CBF"/>
    <w:rsid w:val="00131F81"/>
    <w:rsid w:val="00132845"/>
    <w:rsid w:val="00133125"/>
    <w:rsid w:val="00133814"/>
    <w:rsid w:val="001338BF"/>
    <w:rsid w:val="00133B9A"/>
    <w:rsid w:val="00134310"/>
    <w:rsid w:val="00135424"/>
    <w:rsid w:val="00135B4E"/>
    <w:rsid w:val="0014135C"/>
    <w:rsid w:val="00141CFD"/>
    <w:rsid w:val="00143945"/>
    <w:rsid w:val="0014631E"/>
    <w:rsid w:val="00154283"/>
    <w:rsid w:val="001563B5"/>
    <w:rsid w:val="0015714D"/>
    <w:rsid w:val="00162BB3"/>
    <w:rsid w:val="001670C7"/>
    <w:rsid w:val="001673DE"/>
    <w:rsid w:val="00167B68"/>
    <w:rsid w:val="00170062"/>
    <w:rsid w:val="001721DB"/>
    <w:rsid w:val="0017395C"/>
    <w:rsid w:val="00174782"/>
    <w:rsid w:val="001747A7"/>
    <w:rsid w:val="00175B95"/>
    <w:rsid w:val="00180CE9"/>
    <w:rsid w:val="001813E1"/>
    <w:rsid w:val="0018149B"/>
    <w:rsid w:val="00181B3A"/>
    <w:rsid w:val="00184C49"/>
    <w:rsid w:val="0018525D"/>
    <w:rsid w:val="00186DF4"/>
    <w:rsid w:val="00187E52"/>
    <w:rsid w:val="00187F12"/>
    <w:rsid w:val="0019033F"/>
    <w:rsid w:val="00190F91"/>
    <w:rsid w:val="00192E42"/>
    <w:rsid w:val="00194C5E"/>
    <w:rsid w:val="001958AB"/>
    <w:rsid w:val="0019612F"/>
    <w:rsid w:val="00197E68"/>
    <w:rsid w:val="001A1881"/>
    <w:rsid w:val="001A1C2A"/>
    <w:rsid w:val="001A298F"/>
    <w:rsid w:val="001A3F83"/>
    <w:rsid w:val="001A590E"/>
    <w:rsid w:val="001B0620"/>
    <w:rsid w:val="001B16CD"/>
    <w:rsid w:val="001B28BF"/>
    <w:rsid w:val="001B2905"/>
    <w:rsid w:val="001B388D"/>
    <w:rsid w:val="001B43D5"/>
    <w:rsid w:val="001B49F1"/>
    <w:rsid w:val="001B52FB"/>
    <w:rsid w:val="001B5C3A"/>
    <w:rsid w:val="001B5C92"/>
    <w:rsid w:val="001C2983"/>
    <w:rsid w:val="001C37A3"/>
    <w:rsid w:val="001C4D42"/>
    <w:rsid w:val="001C5FCB"/>
    <w:rsid w:val="001C60EA"/>
    <w:rsid w:val="001C7421"/>
    <w:rsid w:val="001C7D13"/>
    <w:rsid w:val="001D03F0"/>
    <w:rsid w:val="001D153B"/>
    <w:rsid w:val="001D4562"/>
    <w:rsid w:val="001D4A14"/>
    <w:rsid w:val="001D55A0"/>
    <w:rsid w:val="001D55DC"/>
    <w:rsid w:val="001D6783"/>
    <w:rsid w:val="001D7050"/>
    <w:rsid w:val="001D70E9"/>
    <w:rsid w:val="001D7C04"/>
    <w:rsid w:val="001E14AD"/>
    <w:rsid w:val="001E4787"/>
    <w:rsid w:val="001E4AB4"/>
    <w:rsid w:val="001E519F"/>
    <w:rsid w:val="001F01E9"/>
    <w:rsid w:val="001F08BC"/>
    <w:rsid w:val="001F1383"/>
    <w:rsid w:val="001F1DB6"/>
    <w:rsid w:val="001F2571"/>
    <w:rsid w:val="001F4EAD"/>
    <w:rsid w:val="002004B6"/>
    <w:rsid w:val="002008B9"/>
    <w:rsid w:val="00202C8D"/>
    <w:rsid w:val="00203368"/>
    <w:rsid w:val="00203871"/>
    <w:rsid w:val="002042E6"/>
    <w:rsid w:val="002043E8"/>
    <w:rsid w:val="00205707"/>
    <w:rsid w:val="00205EF3"/>
    <w:rsid w:val="00211760"/>
    <w:rsid w:val="00212349"/>
    <w:rsid w:val="00213394"/>
    <w:rsid w:val="00215F50"/>
    <w:rsid w:val="00217034"/>
    <w:rsid w:val="00221E0F"/>
    <w:rsid w:val="0022479F"/>
    <w:rsid w:val="00225904"/>
    <w:rsid w:val="002266A7"/>
    <w:rsid w:val="00227F2B"/>
    <w:rsid w:val="00227FE2"/>
    <w:rsid w:val="002308D2"/>
    <w:rsid w:val="00231B1D"/>
    <w:rsid w:val="00231F49"/>
    <w:rsid w:val="00232809"/>
    <w:rsid w:val="00232CC1"/>
    <w:rsid w:val="00232EF9"/>
    <w:rsid w:val="00233444"/>
    <w:rsid w:val="002337D3"/>
    <w:rsid w:val="002345AC"/>
    <w:rsid w:val="00235646"/>
    <w:rsid w:val="00236818"/>
    <w:rsid w:val="00240778"/>
    <w:rsid w:val="00240ACC"/>
    <w:rsid w:val="00241A87"/>
    <w:rsid w:val="00242CB4"/>
    <w:rsid w:val="00243E12"/>
    <w:rsid w:val="00246F4F"/>
    <w:rsid w:val="00250F78"/>
    <w:rsid w:val="00251E6D"/>
    <w:rsid w:val="002522B9"/>
    <w:rsid w:val="00252BF5"/>
    <w:rsid w:val="00253192"/>
    <w:rsid w:val="0025367B"/>
    <w:rsid w:val="00256CF9"/>
    <w:rsid w:val="00261800"/>
    <w:rsid w:val="00262932"/>
    <w:rsid w:val="0026417B"/>
    <w:rsid w:val="0026622D"/>
    <w:rsid w:val="00266F71"/>
    <w:rsid w:val="00267FF5"/>
    <w:rsid w:val="00271FE7"/>
    <w:rsid w:val="002728B3"/>
    <w:rsid w:val="00272C52"/>
    <w:rsid w:val="002737A4"/>
    <w:rsid w:val="00276E6C"/>
    <w:rsid w:val="0027763E"/>
    <w:rsid w:val="00277863"/>
    <w:rsid w:val="002810FE"/>
    <w:rsid w:val="00281C4A"/>
    <w:rsid w:val="00284623"/>
    <w:rsid w:val="0028482D"/>
    <w:rsid w:val="002850FC"/>
    <w:rsid w:val="00285F85"/>
    <w:rsid w:val="002870C2"/>
    <w:rsid w:val="00287510"/>
    <w:rsid w:val="00290506"/>
    <w:rsid w:val="00290793"/>
    <w:rsid w:val="00293AFD"/>
    <w:rsid w:val="0029452F"/>
    <w:rsid w:val="0029794E"/>
    <w:rsid w:val="002A08BA"/>
    <w:rsid w:val="002A32BF"/>
    <w:rsid w:val="002A3752"/>
    <w:rsid w:val="002A380E"/>
    <w:rsid w:val="002A38D5"/>
    <w:rsid w:val="002A5EDD"/>
    <w:rsid w:val="002A6231"/>
    <w:rsid w:val="002B0FD5"/>
    <w:rsid w:val="002B1924"/>
    <w:rsid w:val="002B2CB3"/>
    <w:rsid w:val="002B376E"/>
    <w:rsid w:val="002B455A"/>
    <w:rsid w:val="002B6626"/>
    <w:rsid w:val="002B7884"/>
    <w:rsid w:val="002C06FB"/>
    <w:rsid w:val="002C0EC5"/>
    <w:rsid w:val="002C33C3"/>
    <w:rsid w:val="002C3AD7"/>
    <w:rsid w:val="002C530F"/>
    <w:rsid w:val="002C5C46"/>
    <w:rsid w:val="002D075D"/>
    <w:rsid w:val="002D0E0F"/>
    <w:rsid w:val="002D0E44"/>
    <w:rsid w:val="002D1BD6"/>
    <w:rsid w:val="002D2C45"/>
    <w:rsid w:val="002D3CE7"/>
    <w:rsid w:val="002D3E3F"/>
    <w:rsid w:val="002D72FA"/>
    <w:rsid w:val="002E0EFE"/>
    <w:rsid w:val="002E12E3"/>
    <w:rsid w:val="002E1504"/>
    <w:rsid w:val="002E1ACA"/>
    <w:rsid w:val="002E2997"/>
    <w:rsid w:val="002E2D95"/>
    <w:rsid w:val="002E3612"/>
    <w:rsid w:val="002E5E4F"/>
    <w:rsid w:val="002E5E55"/>
    <w:rsid w:val="002F0985"/>
    <w:rsid w:val="002F37B2"/>
    <w:rsid w:val="002F3F0F"/>
    <w:rsid w:val="002F4ED2"/>
    <w:rsid w:val="002F58EF"/>
    <w:rsid w:val="002F6949"/>
    <w:rsid w:val="002F69E7"/>
    <w:rsid w:val="002F702B"/>
    <w:rsid w:val="003023C9"/>
    <w:rsid w:val="00303668"/>
    <w:rsid w:val="00303BD3"/>
    <w:rsid w:val="00305E19"/>
    <w:rsid w:val="003075BA"/>
    <w:rsid w:val="003078C0"/>
    <w:rsid w:val="00310051"/>
    <w:rsid w:val="00310120"/>
    <w:rsid w:val="00311689"/>
    <w:rsid w:val="00311E6F"/>
    <w:rsid w:val="00311EEE"/>
    <w:rsid w:val="0031352F"/>
    <w:rsid w:val="003140A2"/>
    <w:rsid w:val="00314AF4"/>
    <w:rsid w:val="0031546A"/>
    <w:rsid w:val="00315AE9"/>
    <w:rsid w:val="003177C1"/>
    <w:rsid w:val="00320CA3"/>
    <w:rsid w:val="00320D6C"/>
    <w:rsid w:val="00322633"/>
    <w:rsid w:val="00322A27"/>
    <w:rsid w:val="00324244"/>
    <w:rsid w:val="0032769E"/>
    <w:rsid w:val="00330DA0"/>
    <w:rsid w:val="003342F0"/>
    <w:rsid w:val="00335E9E"/>
    <w:rsid w:val="003362B8"/>
    <w:rsid w:val="0033694B"/>
    <w:rsid w:val="00336D46"/>
    <w:rsid w:val="00342DA7"/>
    <w:rsid w:val="00342E67"/>
    <w:rsid w:val="003447AC"/>
    <w:rsid w:val="003448AA"/>
    <w:rsid w:val="0034749A"/>
    <w:rsid w:val="00347956"/>
    <w:rsid w:val="00351CF1"/>
    <w:rsid w:val="003522BE"/>
    <w:rsid w:val="00352884"/>
    <w:rsid w:val="003541EE"/>
    <w:rsid w:val="00354412"/>
    <w:rsid w:val="00354451"/>
    <w:rsid w:val="00354707"/>
    <w:rsid w:val="003547DD"/>
    <w:rsid w:val="00354B19"/>
    <w:rsid w:val="00354BE6"/>
    <w:rsid w:val="0035551A"/>
    <w:rsid w:val="00356FD3"/>
    <w:rsid w:val="00360299"/>
    <w:rsid w:val="00361E86"/>
    <w:rsid w:val="00363712"/>
    <w:rsid w:val="003649E5"/>
    <w:rsid w:val="00366F90"/>
    <w:rsid w:val="003670BF"/>
    <w:rsid w:val="00371165"/>
    <w:rsid w:val="0037350C"/>
    <w:rsid w:val="00373826"/>
    <w:rsid w:val="00373ABF"/>
    <w:rsid w:val="00374128"/>
    <w:rsid w:val="003747EA"/>
    <w:rsid w:val="0038013C"/>
    <w:rsid w:val="00380961"/>
    <w:rsid w:val="0038259D"/>
    <w:rsid w:val="003831DE"/>
    <w:rsid w:val="00383838"/>
    <w:rsid w:val="00384886"/>
    <w:rsid w:val="00384C76"/>
    <w:rsid w:val="003875C2"/>
    <w:rsid w:val="0039054C"/>
    <w:rsid w:val="00391EBB"/>
    <w:rsid w:val="00393570"/>
    <w:rsid w:val="00393599"/>
    <w:rsid w:val="003939F6"/>
    <w:rsid w:val="00394D31"/>
    <w:rsid w:val="00395E58"/>
    <w:rsid w:val="00395E78"/>
    <w:rsid w:val="00397B41"/>
    <w:rsid w:val="003A1540"/>
    <w:rsid w:val="003A4216"/>
    <w:rsid w:val="003A5740"/>
    <w:rsid w:val="003B0681"/>
    <w:rsid w:val="003B0EA3"/>
    <w:rsid w:val="003B1217"/>
    <w:rsid w:val="003B2696"/>
    <w:rsid w:val="003B3FFB"/>
    <w:rsid w:val="003B40C6"/>
    <w:rsid w:val="003B41B4"/>
    <w:rsid w:val="003B4749"/>
    <w:rsid w:val="003B4FAA"/>
    <w:rsid w:val="003B6B77"/>
    <w:rsid w:val="003C01B4"/>
    <w:rsid w:val="003C02E2"/>
    <w:rsid w:val="003C29E8"/>
    <w:rsid w:val="003C3366"/>
    <w:rsid w:val="003C3FA3"/>
    <w:rsid w:val="003C5446"/>
    <w:rsid w:val="003D1902"/>
    <w:rsid w:val="003D1D7E"/>
    <w:rsid w:val="003D1F40"/>
    <w:rsid w:val="003D2F8E"/>
    <w:rsid w:val="003D3863"/>
    <w:rsid w:val="003D38D7"/>
    <w:rsid w:val="003D3D13"/>
    <w:rsid w:val="003D466B"/>
    <w:rsid w:val="003D6149"/>
    <w:rsid w:val="003D6C30"/>
    <w:rsid w:val="003E005A"/>
    <w:rsid w:val="003E0D86"/>
    <w:rsid w:val="003E1818"/>
    <w:rsid w:val="003E28FE"/>
    <w:rsid w:val="003E2A9C"/>
    <w:rsid w:val="003E2D40"/>
    <w:rsid w:val="003E3629"/>
    <w:rsid w:val="003E4190"/>
    <w:rsid w:val="003E5B33"/>
    <w:rsid w:val="003E6F22"/>
    <w:rsid w:val="003F0158"/>
    <w:rsid w:val="003F2252"/>
    <w:rsid w:val="003F25FC"/>
    <w:rsid w:val="003F42BA"/>
    <w:rsid w:val="003F4C8F"/>
    <w:rsid w:val="003F59DA"/>
    <w:rsid w:val="003F689A"/>
    <w:rsid w:val="003F6C50"/>
    <w:rsid w:val="003F7F71"/>
    <w:rsid w:val="00400309"/>
    <w:rsid w:val="004016D5"/>
    <w:rsid w:val="0040323A"/>
    <w:rsid w:val="00405EEF"/>
    <w:rsid w:val="00407985"/>
    <w:rsid w:val="00407FBD"/>
    <w:rsid w:val="00410B8D"/>
    <w:rsid w:val="0041131D"/>
    <w:rsid w:val="00412091"/>
    <w:rsid w:val="004146D8"/>
    <w:rsid w:val="00414D08"/>
    <w:rsid w:val="00414EFC"/>
    <w:rsid w:val="00415989"/>
    <w:rsid w:val="00415A8B"/>
    <w:rsid w:val="00416160"/>
    <w:rsid w:val="00417F13"/>
    <w:rsid w:val="00420554"/>
    <w:rsid w:val="004208EF"/>
    <w:rsid w:val="004210D2"/>
    <w:rsid w:val="0042131F"/>
    <w:rsid w:val="00424682"/>
    <w:rsid w:val="0042515D"/>
    <w:rsid w:val="004270B4"/>
    <w:rsid w:val="004309D0"/>
    <w:rsid w:val="00435543"/>
    <w:rsid w:val="00441B02"/>
    <w:rsid w:val="00441CEC"/>
    <w:rsid w:val="00441E5A"/>
    <w:rsid w:val="004422BB"/>
    <w:rsid w:val="00442829"/>
    <w:rsid w:val="00443901"/>
    <w:rsid w:val="0044433E"/>
    <w:rsid w:val="00444B25"/>
    <w:rsid w:val="0045012C"/>
    <w:rsid w:val="00450319"/>
    <w:rsid w:val="00451451"/>
    <w:rsid w:val="00451AC2"/>
    <w:rsid w:val="004522F6"/>
    <w:rsid w:val="0045333A"/>
    <w:rsid w:val="00453BD5"/>
    <w:rsid w:val="00455088"/>
    <w:rsid w:val="00455704"/>
    <w:rsid w:val="004568AE"/>
    <w:rsid w:val="004577AC"/>
    <w:rsid w:val="00460213"/>
    <w:rsid w:val="0046038C"/>
    <w:rsid w:val="00463C9F"/>
    <w:rsid w:val="00463E36"/>
    <w:rsid w:val="00464045"/>
    <w:rsid w:val="00467972"/>
    <w:rsid w:val="00467B65"/>
    <w:rsid w:val="004704A3"/>
    <w:rsid w:val="0047166D"/>
    <w:rsid w:val="00471883"/>
    <w:rsid w:val="00471990"/>
    <w:rsid w:val="004769E9"/>
    <w:rsid w:val="00477A95"/>
    <w:rsid w:val="00477FAB"/>
    <w:rsid w:val="00481395"/>
    <w:rsid w:val="00481D8D"/>
    <w:rsid w:val="00482179"/>
    <w:rsid w:val="00483801"/>
    <w:rsid w:val="004843F6"/>
    <w:rsid w:val="00484B4A"/>
    <w:rsid w:val="00484C13"/>
    <w:rsid w:val="00485B07"/>
    <w:rsid w:val="00485CAB"/>
    <w:rsid w:val="004870D2"/>
    <w:rsid w:val="00490009"/>
    <w:rsid w:val="00493FFE"/>
    <w:rsid w:val="004942FD"/>
    <w:rsid w:val="0049673C"/>
    <w:rsid w:val="00496D23"/>
    <w:rsid w:val="004A0210"/>
    <w:rsid w:val="004A0BF9"/>
    <w:rsid w:val="004A1FA7"/>
    <w:rsid w:val="004A3023"/>
    <w:rsid w:val="004A39BB"/>
    <w:rsid w:val="004A3BC5"/>
    <w:rsid w:val="004A4209"/>
    <w:rsid w:val="004A555B"/>
    <w:rsid w:val="004B0BE3"/>
    <w:rsid w:val="004B1648"/>
    <w:rsid w:val="004B18AF"/>
    <w:rsid w:val="004B1B18"/>
    <w:rsid w:val="004B1D1A"/>
    <w:rsid w:val="004B302E"/>
    <w:rsid w:val="004B4379"/>
    <w:rsid w:val="004B4995"/>
    <w:rsid w:val="004B56E0"/>
    <w:rsid w:val="004B5FB0"/>
    <w:rsid w:val="004B7D6D"/>
    <w:rsid w:val="004C105E"/>
    <w:rsid w:val="004C239F"/>
    <w:rsid w:val="004C2434"/>
    <w:rsid w:val="004C358E"/>
    <w:rsid w:val="004C5FA4"/>
    <w:rsid w:val="004C7E55"/>
    <w:rsid w:val="004D004D"/>
    <w:rsid w:val="004D0E12"/>
    <w:rsid w:val="004D1238"/>
    <w:rsid w:val="004D1620"/>
    <w:rsid w:val="004D1F67"/>
    <w:rsid w:val="004D401F"/>
    <w:rsid w:val="004D552C"/>
    <w:rsid w:val="004D5B20"/>
    <w:rsid w:val="004D5C98"/>
    <w:rsid w:val="004E0185"/>
    <w:rsid w:val="004E0340"/>
    <w:rsid w:val="004E09FF"/>
    <w:rsid w:val="004E26B4"/>
    <w:rsid w:val="004E2836"/>
    <w:rsid w:val="004E4B67"/>
    <w:rsid w:val="004E54FF"/>
    <w:rsid w:val="004F07D5"/>
    <w:rsid w:val="004F1E8E"/>
    <w:rsid w:val="004F29E2"/>
    <w:rsid w:val="004F32D0"/>
    <w:rsid w:val="004F47B8"/>
    <w:rsid w:val="004F4BCD"/>
    <w:rsid w:val="004F5518"/>
    <w:rsid w:val="00501B50"/>
    <w:rsid w:val="00503F8A"/>
    <w:rsid w:val="005042E6"/>
    <w:rsid w:val="0050550A"/>
    <w:rsid w:val="00507280"/>
    <w:rsid w:val="00507E40"/>
    <w:rsid w:val="0051006C"/>
    <w:rsid w:val="00511427"/>
    <w:rsid w:val="00511B95"/>
    <w:rsid w:val="00512104"/>
    <w:rsid w:val="0051280F"/>
    <w:rsid w:val="00513529"/>
    <w:rsid w:val="00515564"/>
    <w:rsid w:val="0051674B"/>
    <w:rsid w:val="00517AAF"/>
    <w:rsid w:val="005203F4"/>
    <w:rsid w:val="005230D2"/>
    <w:rsid w:val="00524937"/>
    <w:rsid w:val="00525F49"/>
    <w:rsid w:val="00526F10"/>
    <w:rsid w:val="00530A2B"/>
    <w:rsid w:val="00531D31"/>
    <w:rsid w:val="00533242"/>
    <w:rsid w:val="00533C91"/>
    <w:rsid w:val="005353B1"/>
    <w:rsid w:val="00535433"/>
    <w:rsid w:val="00541B4F"/>
    <w:rsid w:val="00545E2E"/>
    <w:rsid w:val="005469E2"/>
    <w:rsid w:val="00547D1F"/>
    <w:rsid w:val="0055050D"/>
    <w:rsid w:val="0055090A"/>
    <w:rsid w:val="00550CED"/>
    <w:rsid w:val="00556A2E"/>
    <w:rsid w:val="0055718A"/>
    <w:rsid w:val="00560A17"/>
    <w:rsid w:val="0056198C"/>
    <w:rsid w:val="00563E6F"/>
    <w:rsid w:val="0056464B"/>
    <w:rsid w:val="00565A5F"/>
    <w:rsid w:val="00567A47"/>
    <w:rsid w:val="00567A5B"/>
    <w:rsid w:val="00567C90"/>
    <w:rsid w:val="00567E24"/>
    <w:rsid w:val="00571405"/>
    <w:rsid w:val="00571ABD"/>
    <w:rsid w:val="005724DE"/>
    <w:rsid w:val="00573D67"/>
    <w:rsid w:val="00574E02"/>
    <w:rsid w:val="00574F8E"/>
    <w:rsid w:val="005761D1"/>
    <w:rsid w:val="005767C0"/>
    <w:rsid w:val="00580B1C"/>
    <w:rsid w:val="005824CA"/>
    <w:rsid w:val="00583E41"/>
    <w:rsid w:val="0058447F"/>
    <w:rsid w:val="00585B97"/>
    <w:rsid w:val="00586091"/>
    <w:rsid w:val="0058696E"/>
    <w:rsid w:val="0058737E"/>
    <w:rsid w:val="005877E0"/>
    <w:rsid w:val="00590E78"/>
    <w:rsid w:val="005910D5"/>
    <w:rsid w:val="00591C79"/>
    <w:rsid w:val="00593121"/>
    <w:rsid w:val="00593E17"/>
    <w:rsid w:val="00594894"/>
    <w:rsid w:val="00597386"/>
    <w:rsid w:val="005A193F"/>
    <w:rsid w:val="005A249D"/>
    <w:rsid w:val="005A6CC1"/>
    <w:rsid w:val="005A76BF"/>
    <w:rsid w:val="005B2A37"/>
    <w:rsid w:val="005B2BB0"/>
    <w:rsid w:val="005B3512"/>
    <w:rsid w:val="005B379A"/>
    <w:rsid w:val="005B487D"/>
    <w:rsid w:val="005B5447"/>
    <w:rsid w:val="005C0873"/>
    <w:rsid w:val="005C1504"/>
    <w:rsid w:val="005C2DD2"/>
    <w:rsid w:val="005C3D0F"/>
    <w:rsid w:val="005C6C71"/>
    <w:rsid w:val="005C7670"/>
    <w:rsid w:val="005C7679"/>
    <w:rsid w:val="005D0EEC"/>
    <w:rsid w:val="005D1B85"/>
    <w:rsid w:val="005D4997"/>
    <w:rsid w:val="005D5716"/>
    <w:rsid w:val="005D58B4"/>
    <w:rsid w:val="005D64CB"/>
    <w:rsid w:val="005D6811"/>
    <w:rsid w:val="005D6835"/>
    <w:rsid w:val="005D6B2C"/>
    <w:rsid w:val="005E0658"/>
    <w:rsid w:val="005E1426"/>
    <w:rsid w:val="005E5087"/>
    <w:rsid w:val="005E5229"/>
    <w:rsid w:val="005E55BC"/>
    <w:rsid w:val="005E571B"/>
    <w:rsid w:val="005E608B"/>
    <w:rsid w:val="005E75B0"/>
    <w:rsid w:val="005F0128"/>
    <w:rsid w:val="005F0BBA"/>
    <w:rsid w:val="005F20A2"/>
    <w:rsid w:val="005F2410"/>
    <w:rsid w:val="005F2D03"/>
    <w:rsid w:val="005F3C6D"/>
    <w:rsid w:val="005F44BB"/>
    <w:rsid w:val="005F48E6"/>
    <w:rsid w:val="005F61E8"/>
    <w:rsid w:val="005F6CED"/>
    <w:rsid w:val="005F732F"/>
    <w:rsid w:val="005F7858"/>
    <w:rsid w:val="0060040D"/>
    <w:rsid w:val="00600B6B"/>
    <w:rsid w:val="00602292"/>
    <w:rsid w:val="00602AC4"/>
    <w:rsid w:val="00607D47"/>
    <w:rsid w:val="0061074A"/>
    <w:rsid w:val="006109C3"/>
    <w:rsid w:val="00613DBC"/>
    <w:rsid w:val="0061475C"/>
    <w:rsid w:val="00614F4C"/>
    <w:rsid w:val="00614F78"/>
    <w:rsid w:val="00615182"/>
    <w:rsid w:val="00615E61"/>
    <w:rsid w:val="00616298"/>
    <w:rsid w:val="0061699F"/>
    <w:rsid w:val="00616F2F"/>
    <w:rsid w:val="00620AF5"/>
    <w:rsid w:val="00624E4D"/>
    <w:rsid w:val="0062730A"/>
    <w:rsid w:val="0063068B"/>
    <w:rsid w:val="006310C4"/>
    <w:rsid w:val="006312D2"/>
    <w:rsid w:val="00631B11"/>
    <w:rsid w:val="0063278E"/>
    <w:rsid w:val="006335C1"/>
    <w:rsid w:val="00636B22"/>
    <w:rsid w:val="006373C4"/>
    <w:rsid w:val="00637AB6"/>
    <w:rsid w:val="00642340"/>
    <w:rsid w:val="00645545"/>
    <w:rsid w:val="0064570B"/>
    <w:rsid w:val="00646874"/>
    <w:rsid w:val="00646CB1"/>
    <w:rsid w:val="00650A2D"/>
    <w:rsid w:val="0065159C"/>
    <w:rsid w:val="00653FA2"/>
    <w:rsid w:val="0065583D"/>
    <w:rsid w:val="00656909"/>
    <w:rsid w:val="00657411"/>
    <w:rsid w:val="0066014F"/>
    <w:rsid w:val="00661A7C"/>
    <w:rsid w:val="0066304E"/>
    <w:rsid w:val="00663A0B"/>
    <w:rsid w:val="006666D0"/>
    <w:rsid w:val="006669DB"/>
    <w:rsid w:val="00666FB8"/>
    <w:rsid w:val="00667D24"/>
    <w:rsid w:val="006714AF"/>
    <w:rsid w:val="00672539"/>
    <w:rsid w:val="006731A4"/>
    <w:rsid w:val="0067610A"/>
    <w:rsid w:val="006773C2"/>
    <w:rsid w:val="00677776"/>
    <w:rsid w:val="00677991"/>
    <w:rsid w:val="006826FD"/>
    <w:rsid w:val="00682EE0"/>
    <w:rsid w:val="00683163"/>
    <w:rsid w:val="0068372C"/>
    <w:rsid w:val="006843DE"/>
    <w:rsid w:val="0068491A"/>
    <w:rsid w:val="006856FC"/>
    <w:rsid w:val="0068612C"/>
    <w:rsid w:val="006871AD"/>
    <w:rsid w:val="0069005D"/>
    <w:rsid w:val="00694236"/>
    <w:rsid w:val="006942A8"/>
    <w:rsid w:val="00694754"/>
    <w:rsid w:val="006A09D8"/>
    <w:rsid w:val="006A40B4"/>
    <w:rsid w:val="006A5219"/>
    <w:rsid w:val="006A6D2E"/>
    <w:rsid w:val="006A6E16"/>
    <w:rsid w:val="006A746E"/>
    <w:rsid w:val="006B09A7"/>
    <w:rsid w:val="006B469C"/>
    <w:rsid w:val="006B4817"/>
    <w:rsid w:val="006C0ED9"/>
    <w:rsid w:val="006C1F22"/>
    <w:rsid w:val="006C3F28"/>
    <w:rsid w:val="006C60A2"/>
    <w:rsid w:val="006C6FB7"/>
    <w:rsid w:val="006D1558"/>
    <w:rsid w:val="006D2E91"/>
    <w:rsid w:val="006D322C"/>
    <w:rsid w:val="006D40B4"/>
    <w:rsid w:val="006D532C"/>
    <w:rsid w:val="006D6776"/>
    <w:rsid w:val="006D71F5"/>
    <w:rsid w:val="006E1623"/>
    <w:rsid w:val="006E4D18"/>
    <w:rsid w:val="006E61E9"/>
    <w:rsid w:val="006F042A"/>
    <w:rsid w:val="006F12B9"/>
    <w:rsid w:val="006F1B36"/>
    <w:rsid w:val="006F1BE2"/>
    <w:rsid w:val="006F26D4"/>
    <w:rsid w:val="006F2C6E"/>
    <w:rsid w:val="006F3A56"/>
    <w:rsid w:val="006F3D74"/>
    <w:rsid w:val="006F4A17"/>
    <w:rsid w:val="006F7011"/>
    <w:rsid w:val="006F7805"/>
    <w:rsid w:val="007045BA"/>
    <w:rsid w:val="00704AC0"/>
    <w:rsid w:val="007054E6"/>
    <w:rsid w:val="007059E2"/>
    <w:rsid w:val="00706BC2"/>
    <w:rsid w:val="007100DC"/>
    <w:rsid w:val="00710369"/>
    <w:rsid w:val="00711B85"/>
    <w:rsid w:val="00714071"/>
    <w:rsid w:val="007162F2"/>
    <w:rsid w:val="0071673E"/>
    <w:rsid w:val="00721DD9"/>
    <w:rsid w:val="00722470"/>
    <w:rsid w:val="007233D7"/>
    <w:rsid w:val="007235F5"/>
    <w:rsid w:val="007248DB"/>
    <w:rsid w:val="007259DB"/>
    <w:rsid w:val="007266EF"/>
    <w:rsid w:val="00727DB0"/>
    <w:rsid w:val="007305B2"/>
    <w:rsid w:val="007307D9"/>
    <w:rsid w:val="007310D2"/>
    <w:rsid w:val="00732468"/>
    <w:rsid w:val="00732A8D"/>
    <w:rsid w:val="007359BB"/>
    <w:rsid w:val="00735FA6"/>
    <w:rsid w:val="00740987"/>
    <w:rsid w:val="00741A15"/>
    <w:rsid w:val="0074246C"/>
    <w:rsid w:val="00742D6C"/>
    <w:rsid w:val="00743532"/>
    <w:rsid w:val="007442AD"/>
    <w:rsid w:val="007448C2"/>
    <w:rsid w:val="0074543A"/>
    <w:rsid w:val="00745CB2"/>
    <w:rsid w:val="007460DC"/>
    <w:rsid w:val="00746103"/>
    <w:rsid w:val="00747E1C"/>
    <w:rsid w:val="00751B1B"/>
    <w:rsid w:val="00751BA8"/>
    <w:rsid w:val="00754CB3"/>
    <w:rsid w:val="00755C22"/>
    <w:rsid w:val="00756F15"/>
    <w:rsid w:val="00762A8B"/>
    <w:rsid w:val="00763B0B"/>
    <w:rsid w:val="00767278"/>
    <w:rsid w:val="0077021A"/>
    <w:rsid w:val="00770320"/>
    <w:rsid w:val="00771AA3"/>
    <w:rsid w:val="00771FE0"/>
    <w:rsid w:val="00772089"/>
    <w:rsid w:val="00773396"/>
    <w:rsid w:val="00774085"/>
    <w:rsid w:val="007809C2"/>
    <w:rsid w:val="00782077"/>
    <w:rsid w:val="00782C75"/>
    <w:rsid w:val="00783408"/>
    <w:rsid w:val="007846CB"/>
    <w:rsid w:val="007862A8"/>
    <w:rsid w:val="007902C6"/>
    <w:rsid w:val="007906A9"/>
    <w:rsid w:val="0079106B"/>
    <w:rsid w:val="00791499"/>
    <w:rsid w:val="00792319"/>
    <w:rsid w:val="0079273F"/>
    <w:rsid w:val="007A02C7"/>
    <w:rsid w:val="007A1E2E"/>
    <w:rsid w:val="007A242B"/>
    <w:rsid w:val="007A2565"/>
    <w:rsid w:val="007A32DE"/>
    <w:rsid w:val="007A3E4D"/>
    <w:rsid w:val="007A42EA"/>
    <w:rsid w:val="007A4A21"/>
    <w:rsid w:val="007A4D27"/>
    <w:rsid w:val="007A4E20"/>
    <w:rsid w:val="007A62E2"/>
    <w:rsid w:val="007A702B"/>
    <w:rsid w:val="007B15DE"/>
    <w:rsid w:val="007B3BCF"/>
    <w:rsid w:val="007B423E"/>
    <w:rsid w:val="007B5FCF"/>
    <w:rsid w:val="007B6CDD"/>
    <w:rsid w:val="007B6F40"/>
    <w:rsid w:val="007C088A"/>
    <w:rsid w:val="007C3461"/>
    <w:rsid w:val="007C36BA"/>
    <w:rsid w:val="007C679C"/>
    <w:rsid w:val="007C78A6"/>
    <w:rsid w:val="007C7C33"/>
    <w:rsid w:val="007D0D88"/>
    <w:rsid w:val="007D4BDC"/>
    <w:rsid w:val="007D4E8B"/>
    <w:rsid w:val="007D5E48"/>
    <w:rsid w:val="007D5F8E"/>
    <w:rsid w:val="007D68E3"/>
    <w:rsid w:val="007D78C9"/>
    <w:rsid w:val="007D7F6C"/>
    <w:rsid w:val="007E057E"/>
    <w:rsid w:val="007E07A1"/>
    <w:rsid w:val="007E20EF"/>
    <w:rsid w:val="007E32DE"/>
    <w:rsid w:val="007E46C9"/>
    <w:rsid w:val="007E6DF1"/>
    <w:rsid w:val="007E7175"/>
    <w:rsid w:val="007F1DEB"/>
    <w:rsid w:val="007F32B2"/>
    <w:rsid w:val="007F4614"/>
    <w:rsid w:val="007F51A3"/>
    <w:rsid w:val="007F5A7F"/>
    <w:rsid w:val="007F67CA"/>
    <w:rsid w:val="007F71AD"/>
    <w:rsid w:val="007F75ED"/>
    <w:rsid w:val="0080070D"/>
    <w:rsid w:val="0080122A"/>
    <w:rsid w:val="008019E3"/>
    <w:rsid w:val="00801C5E"/>
    <w:rsid w:val="00802021"/>
    <w:rsid w:val="008035EE"/>
    <w:rsid w:val="0080450A"/>
    <w:rsid w:val="0080699A"/>
    <w:rsid w:val="0080748E"/>
    <w:rsid w:val="00810196"/>
    <w:rsid w:val="008103CA"/>
    <w:rsid w:val="0081150E"/>
    <w:rsid w:val="00811873"/>
    <w:rsid w:val="00812657"/>
    <w:rsid w:val="00813318"/>
    <w:rsid w:val="0081343F"/>
    <w:rsid w:val="00813583"/>
    <w:rsid w:val="008136E9"/>
    <w:rsid w:val="00814F6D"/>
    <w:rsid w:val="008160B8"/>
    <w:rsid w:val="0081640C"/>
    <w:rsid w:val="00816E5F"/>
    <w:rsid w:val="00816EA6"/>
    <w:rsid w:val="00817292"/>
    <w:rsid w:val="00820A28"/>
    <w:rsid w:val="00820A52"/>
    <w:rsid w:val="008212D7"/>
    <w:rsid w:val="008222C7"/>
    <w:rsid w:val="00822621"/>
    <w:rsid w:val="00822CE6"/>
    <w:rsid w:val="00823BE5"/>
    <w:rsid w:val="0082437E"/>
    <w:rsid w:val="00825296"/>
    <w:rsid w:val="00826B91"/>
    <w:rsid w:val="008300CF"/>
    <w:rsid w:val="00830549"/>
    <w:rsid w:val="00830950"/>
    <w:rsid w:val="00832458"/>
    <w:rsid w:val="00832A61"/>
    <w:rsid w:val="008331CD"/>
    <w:rsid w:val="008332CB"/>
    <w:rsid w:val="008332ED"/>
    <w:rsid w:val="00833C4B"/>
    <w:rsid w:val="00833C4E"/>
    <w:rsid w:val="00835361"/>
    <w:rsid w:val="00836685"/>
    <w:rsid w:val="00837313"/>
    <w:rsid w:val="0084338A"/>
    <w:rsid w:val="0084403E"/>
    <w:rsid w:val="008453AC"/>
    <w:rsid w:val="00845EA6"/>
    <w:rsid w:val="00847324"/>
    <w:rsid w:val="00847534"/>
    <w:rsid w:val="0085192B"/>
    <w:rsid w:val="00851A6E"/>
    <w:rsid w:val="008524EF"/>
    <w:rsid w:val="00852A1D"/>
    <w:rsid w:val="008531EC"/>
    <w:rsid w:val="00853B7C"/>
    <w:rsid w:val="00853EAE"/>
    <w:rsid w:val="0085468B"/>
    <w:rsid w:val="0085481D"/>
    <w:rsid w:val="00854A91"/>
    <w:rsid w:val="00855775"/>
    <w:rsid w:val="008562C2"/>
    <w:rsid w:val="00856DD2"/>
    <w:rsid w:val="008575FF"/>
    <w:rsid w:val="0086051A"/>
    <w:rsid w:val="00860C21"/>
    <w:rsid w:val="00860F14"/>
    <w:rsid w:val="00860F63"/>
    <w:rsid w:val="008615ED"/>
    <w:rsid w:val="00863AEB"/>
    <w:rsid w:val="00865E51"/>
    <w:rsid w:val="00866096"/>
    <w:rsid w:val="00866DBA"/>
    <w:rsid w:val="008673A3"/>
    <w:rsid w:val="00870A2E"/>
    <w:rsid w:val="00871FEA"/>
    <w:rsid w:val="00873389"/>
    <w:rsid w:val="00874718"/>
    <w:rsid w:val="00877F54"/>
    <w:rsid w:val="008803F3"/>
    <w:rsid w:val="00880A13"/>
    <w:rsid w:val="008820D9"/>
    <w:rsid w:val="0088354E"/>
    <w:rsid w:val="00883BA9"/>
    <w:rsid w:val="00884C37"/>
    <w:rsid w:val="0088507C"/>
    <w:rsid w:val="00886ECA"/>
    <w:rsid w:val="0088722B"/>
    <w:rsid w:val="00890336"/>
    <w:rsid w:val="008921EC"/>
    <w:rsid w:val="00892539"/>
    <w:rsid w:val="00893786"/>
    <w:rsid w:val="00893C2F"/>
    <w:rsid w:val="00894FA4"/>
    <w:rsid w:val="008953DD"/>
    <w:rsid w:val="008955D7"/>
    <w:rsid w:val="00895C16"/>
    <w:rsid w:val="00895F4D"/>
    <w:rsid w:val="00896A5C"/>
    <w:rsid w:val="008A012E"/>
    <w:rsid w:val="008A01AE"/>
    <w:rsid w:val="008A0861"/>
    <w:rsid w:val="008A188A"/>
    <w:rsid w:val="008A306D"/>
    <w:rsid w:val="008A68D3"/>
    <w:rsid w:val="008B020A"/>
    <w:rsid w:val="008B06BE"/>
    <w:rsid w:val="008B263F"/>
    <w:rsid w:val="008B3AD3"/>
    <w:rsid w:val="008B4473"/>
    <w:rsid w:val="008B5799"/>
    <w:rsid w:val="008B5E51"/>
    <w:rsid w:val="008B5F34"/>
    <w:rsid w:val="008B6631"/>
    <w:rsid w:val="008B6D87"/>
    <w:rsid w:val="008B7D64"/>
    <w:rsid w:val="008C0D3E"/>
    <w:rsid w:val="008C290C"/>
    <w:rsid w:val="008C2C1C"/>
    <w:rsid w:val="008C4A8E"/>
    <w:rsid w:val="008C7796"/>
    <w:rsid w:val="008D2834"/>
    <w:rsid w:val="008D3D97"/>
    <w:rsid w:val="008D49CC"/>
    <w:rsid w:val="008D5336"/>
    <w:rsid w:val="008D5C19"/>
    <w:rsid w:val="008D699E"/>
    <w:rsid w:val="008D7504"/>
    <w:rsid w:val="008D7F0E"/>
    <w:rsid w:val="008E05CA"/>
    <w:rsid w:val="008E0867"/>
    <w:rsid w:val="008E1810"/>
    <w:rsid w:val="008E2634"/>
    <w:rsid w:val="008E70BC"/>
    <w:rsid w:val="008F04F0"/>
    <w:rsid w:val="008F10D0"/>
    <w:rsid w:val="008F146F"/>
    <w:rsid w:val="008F149C"/>
    <w:rsid w:val="008F380A"/>
    <w:rsid w:val="008F3E41"/>
    <w:rsid w:val="008F46C6"/>
    <w:rsid w:val="00902D9D"/>
    <w:rsid w:val="00902E96"/>
    <w:rsid w:val="0090354F"/>
    <w:rsid w:val="0090560F"/>
    <w:rsid w:val="00907E32"/>
    <w:rsid w:val="00913E9B"/>
    <w:rsid w:val="00914AD9"/>
    <w:rsid w:val="00916DB2"/>
    <w:rsid w:val="009201C9"/>
    <w:rsid w:val="00921701"/>
    <w:rsid w:val="0092176B"/>
    <w:rsid w:val="00923002"/>
    <w:rsid w:val="00923D1F"/>
    <w:rsid w:val="00924AFD"/>
    <w:rsid w:val="00924FE8"/>
    <w:rsid w:val="00925A3A"/>
    <w:rsid w:val="0092617A"/>
    <w:rsid w:val="0093040A"/>
    <w:rsid w:val="0093261B"/>
    <w:rsid w:val="00932D7D"/>
    <w:rsid w:val="009343C8"/>
    <w:rsid w:val="00934BE1"/>
    <w:rsid w:val="00935A6D"/>
    <w:rsid w:val="00937CDB"/>
    <w:rsid w:val="00940965"/>
    <w:rsid w:val="00940CBB"/>
    <w:rsid w:val="00940CC7"/>
    <w:rsid w:val="00943833"/>
    <w:rsid w:val="009438CA"/>
    <w:rsid w:val="00945252"/>
    <w:rsid w:val="00945479"/>
    <w:rsid w:val="00945621"/>
    <w:rsid w:val="0094587E"/>
    <w:rsid w:val="009462D4"/>
    <w:rsid w:val="00946E7D"/>
    <w:rsid w:val="00947947"/>
    <w:rsid w:val="009500CE"/>
    <w:rsid w:val="009508EC"/>
    <w:rsid w:val="00951663"/>
    <w:rsid w:val="00952F02"/>
    <w:rsid w:val="009551E5"/>
    <w:rsid w:val="0095615D"/>
    <w:rsid w:val="009577FA"/>
    <w:rsid w:val="00962613"/>
    <w:rsid w:val="00962A4E"/>
    <w:rsid w:val="0096438E"/>
    <w:rsid w:val="009647CF"/>
    <w:rsid w:val="009667E5"/>
    <w:rsid w:val="00967A94"/>
    <w:rsid w:val="009705AD"/>
    <w:rsid w:val="009740B6"/>
    <w:rsid w:val="00974C99"/>
    <w:rsid w:val="00974EF1"/>
    <w:rsid w:val="00975E8A"/>
    <w:rsid w:val="00976491"/>
    <w:rsid w:val="009765E0"/>
    <w:rsid w:val="00976D59"/>
    <w:rsid w:val="00980968"/>
    <w:rsid w:val="00982552"/>
    <w:rsid w:val="00983A1E"/>
    <w:rsid w:val="0098456F"/>
    <w:rsid w:val="00984DC4"/>
    <w:rsid w:val="00985383"/>
    <w:rsid w:val="00991D17"/>
    <w:rsid w:val="0099202E"/>
    <w:rsid w:val="00993A83"/>
    <w:rsid w:val="00993D50"/>
    <w:rsid w:val="009957A6"/>
    <w:rsid w:val="0099630D"/>
    <w:rsid w:val="00996556"/>
    <w:rsid w:val="0099676E"/>
    <w:rsid w:val="00996A7D"/>
    <w:rsid w:val="009A1FB8"/>
    <w:rsid w:val="009A2539"/>
    <w:rsid w:val="009A3C56"/>
    <w:rsid w:val="009A5AEE"/>
    <w:rsid w:val="009A5B9E"/>
    <w:rsid w:val="009A5F35"/>
    <w:rsid w:val="009A62EF"/>
    <w:rsid w:val="009A6AD8"/>
    <w:rsid w:val="009A7C7B"/>
    <w:rsid w:val="009B001E"/>
    <w:rsid w:val="009B0244"/>
    <w:rsid w:val="009B049B"/>
    <w:rsid w:val="009B05B0"/>
    <w:rsid w:val="009B13EE"/>
    <w:rsid w:val="009B2428"/>
    <w:rsid w:val="009B2775"/>
    <w:rsid w:val="009B4132"/>
    <w:rsid w:val="009B59ED"/>
    <w:rsid w:val="009B5D4B"/>
    <w:rsid w:val="009B6B06"/>
    <w:rsid w:val="009B6BF5"/>
    <w:rsid w:val="009B7C53"/>
    <w:rsid w:val="009B7D33"/>
    <w:rsid w:val="009C1CE9"/>
    <w:rsid w:val="009C30C9"/>
    <w:rsid w:val="009C54AB"/>
    <w:rsid w:val="009C766C"/>
    <w:rsid w:val="009C774B"/>
    <w:rsid w:val="009D07DA"/>
    <w:rsid w:val="009D105C"/>
    <w:rsid w:val="009D1AD4"/>
    <w:rsid w:val="009D1EF8"/>
    <w:rsid w:val="009D271B"/>
    <w:rsid w:val="009D41DB"/>
    <w:rsid w:val="009D460F"/>
    <w:rsid w:val="009D4CB9"/>
    <w:rsid w:val="009D5935"/>
    <w:rsid w:val="009D5F9E"/>
    <w:rsid w:val="009D64B1"/>
    <w:rsid w:val="009E1297"/>
    <w:rsid w:val="009E170E"/>
    <w:rsid w:val="009E1D1F"/>
    <w:rsid w:val="009E3FC9"/>
    <w:rsid w:val="009E60C3"/>
    <w:rsid w:val="009E67D8"/>
    <w:rsid w:val="009E67F7"/>
    <w:rsid w:val="009E7EDD"/>
    <w:rsid w:val="009F0CA9"/>
    <w:rsid w:val="009F12EE"/>
    <w:rsid w:val="009F1625"/>
    <w:rsid w:val="009F1730"/>
    <w:rsid w:val="009F214D"/>
    <w:rsid w:val="009F26F2"/>
    <w:rsid w:val="009F402B"/>
    <w:rsid w:val="009F40BF"/>
    <w:rsid w:val="009F62F8"/>
    <w:rsid w:val="009F7601"/>
    <w:rsid w:val="00A008B2"/>
    <w:rsid w:val="00A0263F"/>
    <w:rsid w:val="00A05AB8"/>
    <w:rsid w:val="00A112BD"/>
    <w:rsid w:val="00A114BE"/>
    <w:rsid w:val="00A13474"/>
    <w:rsid w:val="00A13A62"/>
    <w:rsid w:val="00A148B0"/>
    <w:rsid w:val="00A149CE"/>
    <w:rsid w:val="00A17DE8"/>
    <w:rsid w:val="00A203FF"/>
    <w:rsid w:val="00A209A2"/>
    <w:rsid w:val="00A21168"/>
    <w:rsid w:val="00A21922"/>
    <w:rsid w:val="00A244B8"/>
    <w:rsid w:val="00A25C57"/>
    <w:rsid w:val="00A25EE4"/>
    <w:rsid w:val="00A27468"/>
    <w:rsid w:val="00A279ED"/>
    <w:rsid w:val="00A31B47"/>
    <w:rsid w:val="00A32DBE"/>
    <w:rsid w:val="00A33176"/>
    <w:rsid w:val="00A34581"/>
    <w:rsid w:val="00A34EC6"/>
    <w:rsid w:val="00A35170"/>
    <w:rsid w:val="00A4020D"/>
    <w:rsid w:val="00A41105"/>
    <w:rsid w:val="00A418B8"/>
    <w:rsid w:val="00A43224"/>
    <w:rsid w:val="00A441EE"/>
    <w:rsid w:val="00A44743"/>
    <w:rsid w:val="00A44AE1"/>
    <w:rsid w:val="00A457F2"/>
    <w:rsid w:val="00A46BDA"/>
    <w:rsid w:val="00A47BE8"/>
    <w:rsid w:val="00A5059C"/>
    <w:rsid w:val="00A50C31"/>
    <w:rsid w:val="00A5236A"/>
    <w:rsid w:val="00A53929"/>
    <w:rsid w:val="00A54228"/>
    <w:rsid w:val="00A542CE"/>
    <w:rsid w:val="00A54B70"/>
    <w:rsid w:val="00A55F8B"/>
    <w:rsid w:val="00A57413"/>
    <w:rsid w:val="00A60512"/>
    <w:rsid w:val="00A60DF5"/>
    <w:rsid w:val="00A62817"/>
    <w:rsid w:val="00A62DC2"/>
    <w:rsid w:val="00A66F5C"/>
    <w:rsid w:val="00A6751F"/>
    <w:rsid w:val="00A70A28"/>
    <w:rsid w:val="00A713AC"/>
    <w:rsid w:val="00A714A4"/>
    <w:rsid w:val="00A72D80"/>
    <w:rsid w:val="00A73D8C"/>
    <w:rsid w:val="00A75AD5"/>
    <w:rsid w:val="00A76C02"/>
    <w:rsid w:val="00A77E13"/>
    <w:rsid w:val="00A81025"/>
    <w:rsid w:val="00A83AFD"/>
    <w:rsid w:val="00A84109"/>
    <w:rsid w:val="00A84C85"/>
    <w:rsid w:val="00A85E27"/>
    <w:rsid w:val="00A874A4"/>
    <w:rsid w:val="00A91A71"/>
    <w:rsid w:val="00A93C8D"/>
    <w:rsid w:val="00A948EC"/>
    <w:rsid w:val="00A94C55"/>
    <w:rsid w:val="00A94D8E"/>
    <w:rsid w:val="00A95DFA"/>
    <w:rsid w:val="00A95F32"/>
    <w:rsid w:val="00AA063B"/>
    <w:rsid w:val="00AA256C"/>
    <w:rsid w:val="00AA559D"/>
    <w:rsid w:val="00AA66F5"/>
    <w:rsid w:val="00AA7C52"/>
    <w:rsid w:val="00AB2FEC"/>
    <w:rsid w:val="00AB3131"/>
    <w:rsid w:val="00AB50F8"/>
    <w:rsid w:val="00AB58C7"/>
    <w:rsid w:val="00AB696F"/>
    <w:rsid w:val="00AB6B22"/>
    <w:rsid w:val="00AC0139"/>
    <w:rsid w:val="00AC0180"/>
    <w:rsid w:val="00AC0D5A"/>
    <w:rsid w:val="00AC114C"/>
    <w:rsid w:val="00AC29E9"/>
    <w:rsid w:val="00AC31E3"/>
    <w:rsid w:val="00AC3CB2"/>
    <w:rsid w:val="00AC50B7"/>
    <w:rsid w:val="00AC7F52"/>
    <w:rsid w:val="00AD0FCF"/>
    <w:rsid w:val="00AD2A52"/>
    <w:rsid w:val="00AD3131"/>
    <w:rsid w:val="00AD5265"/>
    <w:rsid w:val="00AD7F61"/>
    <w:rsid w:val="00AE075A"/>
    <w:rsid w:val="00AE0CF4"/>
    <w:rsid w:val="00AE2AF6"/>
    <w:rsid w:val="00AE3376"/>
    <w:rsid w:val="00AE3C4F"/>
    <w:rsid w:val="00AE5FA7"/>
    <w:rsid w:val="00AE6361"/>
    <w:rsid w:val="00AE7187"/>
    <w:rsid w:val="00AF0238"/>
    <w:rsid w:val="00AF0E4D"/>
    <w:rsid w:val="00AF18A2"/>
    <w:rsid w:val="00AF616D"/>
    <w:rsid w:val="00AF72DD"/>
    <w:rsid w:val="00AF76E4"/>
    <w:rsid w:val="00AF7954"/>
    <w:rsid w:val="00B01321"/>
    <w:rsid w:val="00B01F94"/>
    <w:rsid w:val="00B02FD1"/>
    <w:rsid w:val="00B03B22"/>
    <w:rsid w:val="00B07069"/>
    <w:rsid w:val="00B0718D"/>
    <w:rsid w:val="00B123A1"/>
    <w:rsid w:val="00B166DC"/>
    <w:rsid w:val="00B17DE6"/>
    <w:rsid w:val="00B21498"/>
    <w:rsid w:val="00B21934"/>
    <w:rsid w:val="00B22787"/>
    <w:rsid w:val="00B247C4"/>
    <w:rsid w:val="00B267A5"/>
    <w:rsid w:val="00B32846"/>
    <w:rsid w:val="00B337AE"/>
    <w:rsid w:val="00B33BF2"/>
    <w:rsid w:val="00B348CE"/>
    <w:rsid w:val="00B36ADC"/>
    <w:rsid w:val="00B373A7"/>
    <w:rsid w:val="00B40549"/>
    <w:rsid w:val="00B4260C"/>
    <w:rsid w:val="00B44C5A"/>
    <w:rsid w:val="00B4540E"/>
    <w:rsid w:val="00B45932"/>
    <w:rsid w:val="00B464E3"/>
    <w:rsid w:val="00B46C6F"/>
    <w:rsid w:val="00B47119"/>
    <w:rsid w:val="00B50B27"/>
    <w:rsid w:val="00B51BB0"/>
    <w:rsid w:val="00B51F2D"/>
    <w:rsid w:val="00B52B21"/>
    <w:rsid w:val="00B53F4A"/>
    <w:rsid w:val="00B54E51"/>
    <w:rsid w:val="00B56232"/>
    <w:rsid w:val="00B56F9B"/>
    <w:rsid w:val="00B5714F"/>
    <w:rsid w:val="00B572BA"/>
    <w:rsid w:val="00B57DCC"/>
    <w:rsid w:val="00B60527"/>
    <w:rsid w:val="00B6320C"/>
    <w:rsid w:val="00B6372D"/>
    <w:rsid w:val="00B647AA"/>
    <w:rsid w:val="00B6512C"/>
    <w:rsid w:val="00B65852"/>
    <w:rsid w:val="00B65FBE"/>
    <w:rsid w:val="00B6624B"/>
    <w:rsid w:val="00B67E0F"/>
    <w:rsid w:val="00B70933"/>
    <w:rsid w:val="00B7136F"/>
    <w:rsid w:val="00B7264F"/>
    <w:rsid w:val="00B77A9A"/>
    <w:rsid w:val="00B8062E"/>
    <w:rsid w:val="00B817A2"/>
    <w:rsid w:val="00B81FFC"/>
    <w:rsid w:val="00B82123"/>
    <w:rsid w:val="00B827E9"/>
    <w:rsid w:val="00B8345E"/>
    <w:rsid w:val="00B83E9C"/>
    <w:rsid w:val="00B870BD"/>
    <w:rsid w:val="00B87930"/>
    <w:rsid w:val="00B90384"/>
    <w:rsid w:val="00B90B4B"/>
    <w:rsid w:val="00B90D0D"/>
    <w:rsid w:val="00B918B2"/>
    <w:rsid w:val="00B921CB"/>
    <w:rsid w:val="00B923D0"/>
    <w:rsid w:val="00B92F87"/>
    <w:rsid w:val="00B937D7"/>
    <w:rsid w:val="00B93DC0"/>
    <w:rsid w:val="00B94747"/>
    <w:rsid w:val="00B9622D"/>
    <w:rsid w:val="00B974CC"/>
    <w:rsid w:val="00B979AA"/>
    <w:rsid w:val="00BA09C3"/>
    <w:rsid w:val="00BA17B0"/>
    <w:rsid w:val="00BA271D"/>
    <w:rsid w:val="00BA3DB7"/>
    <w:rsid w:val="00BA461B"/>
    <w:rsid w:val="00BA4CCE"/>
    <w:rsid w:val="00BA50DF"/>
    <w:rsid w:val="00BA707E"/>
    <w:rsid w:val="00BB2063"/>
    <w:rsid w:val="00BB7596"/>
    <w:rsid w:val="00BB7C8F"/>
    <w:rsid w:val="00BB7DD4"/>
    <w:rsid w:val="00BC1D2A"/>
    <w:rsid w:val="00BC2099"/>
    <w:rsid w:val="00BC3EC9"/>
    <w:rsid w:val="00BC3EEE"/>
    <w:rsid w:val="00BC41C0"/>
    <w:rsid w:val="00BC4EC7"/>
    <w:rsid w:val="00BC50A4"/>
    <w:rsid w:val="00BC6177"/>
    <w:rsid w:val="00BD01B1"/>
    <w:rsid w:val="00BD1ACE"/>
    <w:rsid w:val="00BD1F38"/>
    <w:rsid w:val="00BD3C2F"/>
    <w:rsid w:val="00BD3DC4"/>
    <w:rsid w:val="00BD3EE3"/>
    <w:rsid w:val="00BD4222"/>
    <w:rsid w:val="00BD433A"/>
    <w:rsid w:val="00BD4C98"/>
    <w:rsid w:val="00BD6A75"/>
    <w:rsid w:val="00BE1445"/>
    <w:rsid w:val="00BE48DC"/>
    <w:rsid w:val="00BE587A"/>
    <w:rsid w:val="00BF124B"/>
    <w:rsid w:val="00BF1929"/>
    <w:rsid w:val="00BF2072"/>
    <w:rsid w:val="00BF27B7"/>
    <w:rsid w:val="00BF36C3"/>
    <w:rsid w:val="00BF37A2"/>
    <w:rsid w:val="00BF45A5"/>
    <w:rsid w:val="00BF5175"/>
    <w:rsid w:val="00BF5DC0"/>
    <w:rsid w:val="00BF6735"/>
    <w:rsid w:val="00BF6C62"/>
    <w:rsid w:val="00BF7B1C"/>
    <w:rsid w:val="00C004A0"/>
    <w:rsid w:val="00C014C5"/>
    <w:rsid w:val="00C04A9E"/>
    <w:rsid w:val="00C06F05"/>
    <w:rsid w:val="00C11328"/>
    <w:rsid w:val="00C11C1E"/>
    <w:rsid w:val="00C12407"/>
    <w:rsid w:val="00C12453"/>
    <w:rsid w:val="00C13A59"/>
    <w:rsid w:val="00C13CC7"/>
    <w:rsid w:val="00C14B52"/>
    <w:rsid w:val="00C14E8A"/>
    <w:rsid w:val="00C14E9F"/>
    <w:rsid w:val="00C178E3"/>
    <w:rsid w:val="00C23BFA"/>
    <w:rsid w:val="00C24EC5"/>
    <w:rsid w:val="00C26C38"/>
    <w:rsid w:val="00C30D61"/>
    <w:rsid w:val="00C3119F"/>
    <w:rsid w:val="00C33035"/>
    <w:rsid w:val="00C33903"/>
    <w:rsid w:val="00C3431F"/>
    <w:rsid w:val="00C35643"/>
    <w:rsid w:val="00C35893"/>
    <w:rsid w:val="00C3719D"/>
    <w:rsid w:val="00C40FC4"/>
    <w:rsid w:val="00C40FEB"/>
    <w:rsid w:val="00C4147F"/>
    <w:rsid w:val="00C446D5"/>
    <w:rsid w:val="00C44B58"/>
    <w:rsid w:val="00C454A5"/>
    <w:rsid w:val="00C4643E"/>
    <w:rsid w:val="00C4675F"/>
    <w:rsid w:val="00C50D07"/>
    <w:rsid w:val="00C52488"/>
    <w:rsid w:val="00C53429"/>
    <w:rsid w:val="00C557B0"/>
    <w:rsid w:val="00C570B9"/>
    <w:rsid w:val="00C57423"/>
    <w:rsid w:val="00C6025B"/>
    <w:rsid w:val="00C60568"/>
    <w:rsid w:val="00C60C2A"/>
    <w:rsid w:val="00C61831"/>
    <w:rsid w:val="00C65EDD"/>
    <w:rsid w:val="00C65F36"/>
    <w:rsid w:val="00C702C7"/>
    <w:rsid w:val="00C71A91"/>
    <w:rsid w:val="00C72697"/>
    <w:rsid w:val="00C728FC"/>
    <w:rsid w:val="00C73C48"/>
    <w:rsid w:val="00C7594A"/>
    <w:rsid w:val="00C76A64"/>
    <w:rsid w:val="00C76EC5"/>
    <w:rsid w:val="00C812E9"/>
    <w:rsid w:val="00C81FDD"/>
    <w:rsid w:val="00C83828"/>
    <w:rsid w:val="00C83D0E"/>
    <w:rsid w:val="00C8443D"/>
    <w:rsid w:val="00C84769"/>
    <w:rsid w:val="00C85EE5"/>
    <w:rsid w:val="00C86A43"/>
    <w:rsid w:val="00C86E91"/>
    <w:rsid w:val="00C92CEF"/>
    <w:rsid w:val="00C95A69"/>
    <w:rsid w:val="00C95E65"/>
    <w:rsid w:val="00CA251D"/>
    <w:rsid w:val="00CA2CC3"/>
    <w:rsid w:val="00CA385B"/>
    <w:rsid w:val="00CA39B0"/>
    <w:rsid w:val="00CA4A9A"/>
    <w:rsid w:val="00CA4D26"/>
    <w:rsid w:val="00CA5CB7"/>
    <w:rsid w:val="00CB05D4"/>
    <w:rsid w:val="00CB0DAD"/>
    <w:rsid w:val="00CB27C6"/>
    <w:rsid w:val="00CB5D98"/>
    <w:rsid w:val="00CC159C"/>
    <w:rsid w:val="00CC15A5"/>
    <w:rsid w:val="00CC1EF0"/>
    <w:rsid w:val="00CC1F7F"/>
    <w:rsid w:val="00CC5058"/>
    <w:rsid w:val="00CC7692"/>
    <w:rsid w:val="00CC7E8E"/>
    <w:rsid w:val="00CD08BA"/>
    <w:rsid w:val="00CD1782"/>
    <w:rsid w:val="00CD1EBF"/>
    <w:rsid w:val="00CD269A"/>
    <w:rsid w:val="00CD3F79"/>
    <w:rsid w:val="00CD5C59"/>
    <w:rsid w:val="00CD7327"/>
    <w:rsid w:val="00CE04F6"/>
    <w:rsid w:val="00CE052B"/>
    <w:rsid w:val="00CE0A1C"/>
    <w:rsid w:val="00CE1890"/>
    <w:rsid w:val="00CE2EA1"/>
    <w:rsid w:val="00CF0539"/>
    <w:rsid w:val="00CF0783"/>
    <w:rsid w:val="00CF08DC"/>
    <w:rsid w:val="00CF1CFA"/>
    <w:rsid w:val="00CF1D48"/>
    <w:rsid w:val="00CF1FAE"/>
    <w:rsid w:val="00CF2F95"/>
    <w:rsid w:val="00CF369C"/>
    <w:rsid w:val="00CF552B"/>
    <w:rsid w:val="00CF6703"/>
    <w:rsid w:val="00CF690F"/>
    <w:rsid w:val="00D00069"/>
    <w:rsid w:val="00D00C93"/>
    <w:rsid w:val="00D024DD"/>
    <w:rsid w:val="00D02E77"/>
    <w:rsid w:val="00D0493B"/>
    <w:rsid w:val="00D04EC0"/>
    <w:rsid w:val="00D04F67"/>
    <w:rsid w:val="00D0589F"/>
    <w:rsid w:val="00D06CCD"/>
    <w:rsid w:val="00D077A2"/>
    <w:rsid w:val="00D07A6E"/>
    <w:rsid w:val="00D102B0"/>
    <w:rsid w:val="00D1034F"/>
    <w:rsid w:val="00D137C1"/>
    <w:rsid w:val="00D17CCF"/>
    <w:rsid w:val="00D20D0C"/>
    <w:rsid w:val="00D2357D"/>
    <w:rsid w:val="00D2614F"/>
    <w:rsid w:val="00D26965"/>
    <w:rsid w:val="00D27818"/>
    <w:rsid w:val="00D311A8"/>
    <w:rsid w:val="00D31751"/>
    <w:rsid w:val="00D31B3F"/>
    <w:rsid w:val="00D333BD"/>
    <w:rsid w:val="00D33B5F"/>
    <w:rsid w:val="00D35749"/>
    <w:rsid w:val="00D3663A"/>
    <w:rsid w:val="00D3679C"/>
    <w:rsid w:val="00D36F3E"/>
    <w:rsid w:val="00D37391"/>
    <w:rsid w:val="00D378FA"/>
    <w:rsid w:val="00D37DEE"/>
    <w:rsid w:val="00D41179"/>
    <w:rsid w:val="00D42328"/>
    <w:rsid w:val="00D43E45"/>
    <w:rsid w:val="00D44533"/>
    <w:rsid w:val="00D4475A"/>
    <w:rsid w:val="00D448A0"/>
    <w:rsid w:val="00D44E4A"/>
    <w:rsid w:val="00D45CF3"/>
    <w:rsid w:val="00D47A2B"/>
    <w:rsid w:val="00D509A1"/>
    <w:rsid w:val="00D50FBD"/>
    <w:rsid w:val="00D517A1"/>
    <w:rsid w:val="00D51879"/>
    <w:rsid w:val="00D51B8D"/>
    <w:rsid w:val="00D523CF"/>
    <w:rsid w:val="00D53008"/>
    <w:rsid w:val="00D545D5"/>
    <w:rsid w:val="00D56510"/>
    <w:rsid w:val="00D5718D"/>
    <w:rsid w:val="00D574FF"/>
    <w:rsid w:val="00D61273"/>
    <w:rsid w:val="00D61B40"/>
    <w:rsid w:val="00D62999"/>
    <w:rsid w:val="00D6462A"/>
    <w:rsid w:val="00D653AA"/>
    <w:rsid w:val="00D67412"/>
    <w:rsid w:val="00D70151"/>
    <w:rsid w:val="00D73528"/>
    <w:rsid w:val="00D75039"/>
    <w:rsid w:val="00D75066"/>
    <w:rsid w:val="00D8036A"/>
    <w:rsid w:val="00D82186"/>
    <w:rsid w:val="00D828BB"/>
    <w:rsid w:val="00D8295D"/>
    <w:rsid w:val="00D83086"/>
    <w:rsid w:val="00D84179"/>
    <w:rsid w:val="00D841D2"/>
    <w:rsid w:val="00D854E1"/>
    <w:rsid w:val="00D8579B"/>
    <w:rsid w:val="00D903FA"/>
    <w:rsid w:val="00D90A39"/>
    <w:rsid w:val="00D917CC"/>
    <w:rsid w:val="00D93681"/>
    <w:rsid w:val="00D940AF"/>
    <w:rsid w:val="00D94579"/>
    <w:rsid w:val="00D94724"/>
    <w:rsid w:val="00D9478A"/>
    <w:rsid w:val="00D957F0"/>
    <w:rsid w:val="00D95A5D"/>
    <w:rsid w:val="00D96FD4"/>
    <w:rsid w:val="00D97B13"/>
    <w:rsid w:val="00DA0029"/>
    <w:rsid w:val="00DA06AA"/>
    <w:rsid w:val="00DA137D"/>
    <w:rsid w:val="00DA24B2"/>
    <w:rsid w:val="00DA7061"/>
    <w:rsid w:val="00DB04C1"/>
    <w:rsid w:val="00DB0878"/>
    <w:rsid w:val="00DB1697"/>
    <w:rsid w:val="00DB1F35"/>
    <w:rsid w:val="00DB216A"/>
    <w:rsid w:val="00DB2B04"/>
    <w:rsid w:val="00DB5215"/>
    <w:rsid w:val="00DC354E"/>
    <w:rsid w:val="00DC422B"/>
    <w:rsid w:val="00DC45A2"/>
    <w:rsid w:val="00DC5658"/>
    <w:rsid w:val="00DC69B7"/>
    <w:rsid w:val="00DD33AA"/>
    <w:rsid w:val="00DD39D6"/>
    <w:rsid w:val="00DD3C66"/>
    <w:rsid w:val="00DD3DD7"/>
    <w:rsid w:val="00DD45A5"/>
    <w:rsid w:val="00DD471A"/>
    <w:rsid w:val="00DD5F05"/>
    <w:rsid w:val="00DE02B1"/>
    <w:rsid w:val="00DE165A"/>
    <w:rsid w:val="00DE25C0"/>
    <w:rsid w:val="00DE271E"/>
    <w:rsid w:val="00DE30B3"/>
    <w:rsid w:val="00DE38D6"/>
    <w:rsid w:val="00DE3E5C"/>
    <w:rsid w:val="00DE4C28"/>
    <w:rsid w:val="00DE701E"/>
    <w:rsid w:val="00DE73AB"/>
    <w:rsid w:val="00DF1D9B"/>
    <w:rsid w:val="00DF312A"/>
    <w:rsid w:val="00DF5543"/>
    <w:rsid w:val="00DF67E2"/>
    <w:rsid w:val="00E0277E"/>
    <w:rsid w:val="00E02D62"/>
    <w:rsid w:val="00E047B7"/>
    <w:rsid w:val="00E049FB"/>
    <w:rsid w:val="00E07E62"/>
    <w:rsid w:val="00E1053D"/>
    <w:rsid w:val="00E154B3"/>
    <w:rsid w:val="00E15796"/>
    <w:rsid w:val="00E15BED"/>
    <w:rsid w:val="00E16C22"/>
    <w:rsid w:val="00E175AA"/>
    <w:rsid w:val="00E2081A"/>
    <w:rsid w:val="00E21548"/>
    <w:rsid w:val="00E2198B"/>
    <w:rsid w:val="00E22314"/>
    <w:rsid w:val="00E24E58"/>
    <w:rsid w:val="00E2678D"/>
    <w:rsid w:val="00E27B6A"/>
    <w:rsid w:val="00E305AD"/>
    <w:rsid w:val="00E30A4F"/>
    <w:rsid w:val="00E30B86"/>
    <w:rsid w:val="00E315E3"/>
    <w:rsid w:val="00E3177E"/>
    <w:rsid w:val="00E319C0"/>
    <w:rsid w:val="00E36C2C"/>
    <w:rsid w:val="00E37D8D"/>
    <w:rsid w:val="00E40085"/>
    <w:rsid w:val="00E411F0"/>
    <w:rsid w:val="00E4157F"/>
    <w:rsid w:val="00E4404D"/>
    <w:rsid w:val="00E46AC0"/>
    <w:rsid w:val="00E47DD5"/>
    <w:rsid w:val="00E518E1"/>
    <w:rsid w:val="00E535ED"/>
    <w:rsid w:val="00E54E0D"/>
    <w:rsid w:val="00E55697"/>
    <w:rsid w:val="00E559B2"/>
    <w:rsid w:val="00E55E58"/>
    <w:rsid w:val="00E563A4"/>
    <w:rsid w:val="00E569A8"/>
    <w:rsid w:val="00E56CCD"/>
    <w:rsid w:val="00E57551"/>
    <w:rsid w:val="00E57D61"/>
    <w:rsid w:val="00E6116D"/>
    <w:rsid w:val="00E6176B"/>
    <w:rsid w:val="00E623B7"/>
    <w:rsid w:val="00E63242"/>
    <w:rsid w:val="00E63435"/>
    <w:rsid w:val="00E63D3C"/>
    <w:rsid w:val="00E64E07"/>
    <w:rsid w:val="00E70562"/>
    <w:rsid w:val="00E705AF"/>
    <w:rsid w:val="00E70D5D"/>
    <w:rsid w:val="00E70F2F"/>
    <w:rsid w:val="00E71EDD"/>
    <w:rsid w:val="00E72122"/>
    <w:rsid w:val="00E7227D"/>
    <w:rsid w:val="00E723AD"/>
    <w:rsid w:val="00E73074"/>
    <w:rsid w:val="00E73ABB"/>
    <w:rsid w:val="00E769AB"/>
    <w:rsid w:val="00E76CCC"/>
    <w:rsid w:val="00E807A2"/>
    <w:rsid w:val="00E816AB"/>
    <w:rsid w:val="00E828C0"/>
    <w:rsid w:val="00E82E80"/>
    <w:rsid w:val="00E84032"/>
    <w:rsid w:val="00E853F0"/>
    <w:rsid w:val="00E8541D"/>
    <w:rsid w:val="00E86CDC"/>
    <w:rsid w:val="00E87A8F"/>
    <w:rsid w:val="00E87F11"/>
    <w:rsid w:val="00E907E9"/>
    <w:rsid w:val="00E90AAF"/>
    <w:rsid w:val="00E951D7"/>
    <w:rsid w:val="00E9535C"/>
    <w:rsid w:val="00E955CF"/>
    <w:rsid w:val="00E96025"/>
    <w:rsid w:val="00E96050"/>
    <w:rsid w:val="00E96153"/>
    <w:rsid w:val="00E9753E"/>
    <w:rsid w:val="00E97D2C"/>
    <w:rsid w:val="00E97E4D"/>
    <w:rsid w:val="00EA0FF8"/>
    <w:rsid w:val="00EA33BC"/>
    <w:rsid w:val="00EA3E98"/>
    <w:rsid w:val="00EA41DC"/>
    <w:rsid w:val="00EA4679"/>
    <w:rsid w:val="00EA5341"/>
    <w:rsid w:val="00EA56D6"/>
    <w:rsid w:val="00EA5913"/>
    <w:rsid w:val="00EA65A8"/>
    <w:rsid w:val="00EA76FA"/>
    <w:rsid w:val="00EB04B3"/>
    <w:rsid w:val="00EB053B"/>
    <w:rsid w:val="00EB0605"/>
    <w:rsid w:val="00EB41DE"/>
    <w:rsid w:val="00EB4795"/>
    <w:rsid w:val="00EB52BD"/>
    <w:rsid w:val="00EB6041"/>
    <w:rsid w:val="00EB6323"/>
    <w:rsid w:val="00EB750F"/>
    <w:rsid w:val="00EC2DEB"/>
    <w:rsid w:val="00EC309F"/>
    <w:rsid w:val="00EC32CF"/>
    <w:rsid w:val="00EC36AB"/>
    <w:rsid w:val="00EC5512"/>
    <w:rsid w:val="00EC6F8E"/>
    <w:rsid w:val="00ED07A3"/>
    <w:rsid w:val="00ED13F1"/>
    <w:rsid w:val="00ED1819"/>
    <w:rsid w:val="00ED1A04"/>
    <w:rsid w:val="00ED1F27"/>
    <w:rsid w:val="00ED372C"/>
    <w:rsid w:val="00ED3B20"/>
    <w:rsid w:val="00ED41ED"/>
    <w:rsid w:val="00ED7A16"/>
    <w:rsid w:val="00ED7CD6"/>
    <w:rsid w:val="00EE04FD"/>
    <w:rsid w:val="00EE7B0B"/>
    <w:rsid w:val="00EF0F25"/>
    <w:rsid w:val="00EF1A8D"/>
    <w:rsid w:val="00EF40CA"/>
    <w:rsid w:val="00EF41CB"/>
    <w:rsid w:val="00EF469F"/>
    <w:rsid w:val="00EF4871"/>
    <w:rsid w:val="00EF64A2"/>
    <w:rsid w:val="00EF6F8E"/>
    <w:rsid w:val="00EF76E1"/>
    <w:rsid w:val="00F001B7"/>
    <w:rsid w:val="00F00D65"/>
    <w:rsid w:val="00F03CA0"/>
    <w:rsid w:val="00F04BD7"/>
    <w:rsid w:val="00F0604C"/>
    <w:rsid w:val="00F06E67"/>
    <w:rsid w:val="00F11BEA"/>
    <w:rsid w:val="00F11D80"/>
    <w:rsid w:val="00F1230F"/>
    <w:rsid w:val="00F1290E"/>
    <w:rsid w:val="00F12A2B"/>
    <w:rsid w:val="00F13434"/>
    <w:rsid w:val="00F15445"/>
    <w:rsid w:val="00F154D8"/>
    <w:rsid w:val="00F15CA8"/>
    <w:rsid w:val="00F160F1"/>
    <w:rsid w:val="00F16AD3"/>
    <w:rsid w:val="00F20350"/>
    <w:rsid w:val="00F20687"/>
    <w:rsid w:val="00F21D20"/>
    <w:rsid w:val="00F23D5A"/>
    <w:rsid w:val="00F260C7"/>
    <w:rsid w:val="00F30B26"/>
    <w:rsid w:val="00F31956"/>
    <w:rsid w:val="00F3289D"/>
    <w:rsid w:val="00F33740"/>
    <w:rsid w:val="00F34991"/>
    <w:rsid w:val="00F35197"/>
    <w:rsid w:val="00F36290"/>
    <w:rsid w:val="00F373DC"/>
    <w:rsid w:val="00F40825"/>
    <w:rsid w:val="00F40A65"/>
    <w:rsid w:val="00F40D78"/>
    <w:rsid w:val="00F40E01"/>
    <w:rsid w:val="00F42CE2"/>
    <w:rsid w:val="00F42DE9"/>
    <w:rsid w:val="00F43E36"/>
    <w:rsid w:val="00F43F58"/>
    <w:rsid w:val="00F44218"/>
    <w:rsid w:val="00F44AEE"/>
    <w:rsid w:val="00F44C41"/>
    <w:rsid w:val="00F47CE5"/>
    <w:rsid w:val="00F50BA3"/>
    <w:rsid w:val="00F51489"/>
    <w:rsid w:val="00F52B38"/>
    <w:rsid w:val="00F52E63"/>
    <w:rsid w:val="00F53C54"/>
    <w:rsid w:val="00F55720"/>
    <w:rsid w:val="00F55EF2"/>
    <w:rsid w:val="00F57043"/>
    <w:rsid w:val="00F6061B"/>
    <w:rsid w:val="00F6095C"/>
    <w:rsid w:val="00F60A37"/>
    <w:rsid w:val="00F6227D"/>
    <w:rsid w:val="00F62954"/>
    <w:rsid w:val="00F6354C"/>
    <w:rsid w:val="00F63DFF"/>
    <w:rsid w:val="00F63FFE"/>
    <w:rsid w:val="00F65476"/>
    <w:rsid w:val="00F70623"/>
    <w:rsid w:val="00F71256"/>
    <w:rsid w:val="00F713B2"/>
    <w:rsid w:val="00F75BF4"/>
    <w:rsid w:val="00F76431"/>
    <w:rsid w:val="00F765BF"/>
    <w:rsid w:val="00F771E6"/>
    <w:rsid w:val="00F7768A"/>
    <w:rsid w:val="00F77E97"/>
    <w:rsid w:val="00F77EB1"/>
    <w:rsid w:val="00F8308F"/>
    <w:rsid w:val="00F8324D"/>
    <w:rsid w:val="00F84409"/>
    <w:rsid w:val="00F85311"/>
    <w:rsid w:val="00F86F4B"/>
    <w:rsid w:val="00F87746"/>
    <w:rsid w:val="00F90445"/>
    <w:rsid w:val="00F9099D"/>
    <w:rsid w:val="00F91940"/>
    <w:rsid w:val="00F92D19"/>
    <w:rsid w:val="00F93A60"/>
    <w:rsid w:val="00F96ECC"/>
    <w:rsid w:val="00FA1B47"/>
    <w:rsid w:val="00FA2AF6"/>
    <w:rsid w:val="00FA550D"/>
    <w:rsid w:val="00FA581B"/>
    <w:rsid w:val="00FA67D3"/>
    <w:rsid w:val="00FA7BC5"/>
    <w:rsid w:val="00FB05D7"/>
    <w:rsid w:val="00FB0F0F"/>
    <w:rsid w:val="00FB1342"/>
    <w:rsid w:val="00FB1542"/>
    <w:rsid w:val="00FB203D"/>
    <w:rsid w:val="00FB35E9"/>
    <w:rsid w:val="00FB435B"/>
    <w:rsid w:val="00FB44F3"/>
    <w:rsid w:val="00FB493B"/>
    <w:rsid w:val="00FB72E1"/>
    <w:rsid w:val="00FC565C"/>
    <w:rsid w:val="00FC749C"/>
    <w:rsid w:val="00FD31F5"/>
    <w:rsid w:val="00FD36F2"/>
    <w:rsid w:val="00FD3B65"/>
    <w:rsid w:val="00FD3B7D"/>
    <w:rsid w:val="00FD3D20"/>
    <w:rsid w:val="00FD5330"/>
    <w:rsid w:val="00FD5933"/>
    <w:rsid w:val="00FD625F"/>
    <w:rsid w:val="00FE04A1"/>
    <w:rsid w:val="00FE22B9"/>
    <w:rsid w:val="00FE3237"/>
    <w:rsid w:val="00FE42D6"/>
    <w:rsid w:val="00FE5FC8"/>
    <w:rsid w:val="00FE613E"/>
    <w:rsid w:val="00FE65CB"/>
    <w:rsid w:val="00FE6896"/>
    <w:rsid w:val="00FE708C"/>
    <w:rsid w:val="00FF0756"/>
    <w:rsid w:val="00FF0C5B"/>
    <w:rsid w:val="00FF2324"/>
    <w:rsid w:val="00FF3B91"/>
    <w:rsid w:val="00FF47E5"/>
    <w:rsid w:val="00FF4A81"/>
    <w:rsid w:val="00FF4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FEDD"/>
  <w15:chartTrackingRefBased/>
  <w15:docId w15:val="{E92D3B38-2A1A-445E-8306-F752B3B9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8D49CC"/>
    <w:pPr>
      <w:keepNext/>
      <w:keepLines/>
      <w:spacing w:before="120" w:after="120" w:line="360" w:lineRule="auto"/>
      <w:outlineLvl w:val="0"/>
    </w:pPr>
    <w:rPr>
      <w:rFonts w:ascii="Times New Roman" w:eastAsiaTheme="majorEastAsia" w:hAnsi="Times New Roman" w:cstheme="majorBidi"/>
      <w:b/>
      <w:sz w:val="24"/>
      <w:szCs w:val="40"/>
      <w:lang w:val="en-GB"/>
    </w:rPr>
  </w:style>
  <w:style w:type="paragraph" w:styleId="Heading2">
    <w:name w:val="heading 2"/>
    <w:basedOn w:val="Normal"/>
    <w:next w:val="Normal"/>
    <w:link w:val="Heading2Char"/>
    <w:autoRedefine/>
    <w:uiPriority w:val="9"/>
    <w:unhideWhenUsed/>
    <w:qFormat/>
    <w:rsid w:val="00921701"/>
    <w:pPr>
      <w:keepNext/>
      <w:keepLines/>
      <w:spacing w:before="120" w:after="12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unhideWhenUsed/>
    <w:qFormat/>
    <w:rsid w:val="00B07069"/>
    <w:pPr>
      <w:keepNext/>
      <w:keepLines/>
      <w:spacing w:before="120" w:after="120" w:line="360" w:lineRule="auto"/>
      <w:jc w:val="both"/>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semiHidden/>
    <w:unhideWhenUsed/>
    <w:qFormat/>
    <w:rsid w:val="00194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CC"/>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921701"/>
    <w:rPr>
      <w:rFonts w:ascii="Times New Roman" w:eastAsiaTheme="majorEastAsia" w:hAnsi="Times New Roman" w:cs="Times New Roman"/>
      <w:b/>
      <w:sz w:val="24"/>
      <w:szCs w:val="24"/>
      <w:lang w:val="en-US"/>
    </w:rPr>
  </w:style>
  <w:style w:type="character" w:customStyle="1" w:styleId="Heading3Char">
    <w:name w:val="Heading 3 Char"/>
    <w:basedOn w:val="DefaultParagraphFont"/>
    <w:link w:val="Heading3"/>
    <w:uiPriority w:val="9"/>
    <w:rsid w:val="00B07069"/>
    <w:rPr>
      <w:rFonts w:ascii="Times New Roman" w:eastAsiaTheme="majorEastAsia" w:hAnsi="Times New Roman" w:cstheme="majorBidi"/>
      <w:b/>
      <w:sz w:val="24"/>
      <w:szCs w:val="28"/>
      <w:lang w:val="en-US"/>
    </w:rPr>
  </w:style>
  <w:style w:type="character" w:customStyle="1" w:styleId="Heading4Char">
    <w:name w:val="Heading 4 Char"/>
    <w:basedOn w:val="DefaultParagraphFont"/>
    <w:link w:val="Heading4"/>
    <w:uiPriority w:val="9"/>
    <w:semiHidden/>
    <w:rsid w:val="00194C5E"/>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94C5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94C5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94C5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94C5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94C5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9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5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94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5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94C5E"/>
    <w:pPr>
      <w:spacing w:before="160"/>
      <w:jc w:val="center"/>
    </w:pPr>
    <w:rPr>
      <w:i/>
      <w:iCs/>
      <w:color w:val="404040" w:themeColor="text1" w:themeTint="BF"/>
    </w:rPr>
  </w:style>
  <w:style w:type="character" w:customStyle="1" w:styleId="QuoteChar">
    <w:name w:val="Quote Char"/>
    <w:basedOn w:val="DefaultParagraphFont"/>
    <w:link w:val="Quote"/>
    <w:uiPriority w:val="29"/>
    <w:rsid w:val="00194C5E"/>
    <w:rPr>
      <w:i/>
      <w:iCs/>
      <w:color w:val="404040" w:themeColor="text1" w:themeTint="BF"/>
      <w:lang w:val="en-US"/>
    </w:rPr>
  </w:style>
  <w:style w:type="paragraph" w:styleId="ListParagraph">
    <w:name w:val="List Paragraph"/>
    <w:basedOn w:val="Normal"/>
    <w:uiPriority w:val="34"/>
    <w:qFormat/>
    <w:rsid w:val="00194C5E"/>
    <w:pPr>
      <w:ind w:left="720"/>
      <w:contextualSpacing/>
    </w:pPr>
  </w:style>
  <w:style w:type="character" w:styleId="IntenseEmphasis">
    <w:name w:val="Intense Emphasis"/>
    <w:basedOn w:val="DefaultParagraphFont"/>
    <w:uiPriority w:val="21"/>
    <w:qFormat/>
    <w:rsid w:val="00194C5E"/>
    <w:rPr>
      <w:i/>
      <w:iCs/>
      <w:color w:val="2F5496" w:themeColor="accent1" w:themeShade="BF"/>
    </w:rPr>
  </w:style>
  <w:style w:type="paragraph" w:styleId="IntenseQuote">
    <w:name w:val="Intense Quote"/>
    <w:basedOn w:val="Normal"/>
    <w:next w:val="Normal"/>
    <w:link w:val="IntenseQuoteChar"/>
    <w:uiPriority w:val="30"/>
    <w:qFormat/>
    <w:rsid w:val="00194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C5E"/>
    <w:rPr>
      <w:i/>
      <w:iCs/>
      <w:color w:val="2F5496" w:themeColor="accent1" w:themeShade="BF"/>
      <w:lang w:val="en-US"/>
    </w:rPr>
  </w:style>
  <w:style w:type="character" w:styleId="IntenseReference">
    <w:name w:val="Intense Reference"/>
    <w:basedOn w:val="DefaultParagraphFont"/>
    <w:uiPriority w:val="32"/>
    <w:qFormat/>
    <w:rsid w:val="00194C5E"/>
    <w:rPr>
      <w:b/>
      <w:bCs/>
      <w:smallCaps/>
      <w:color w:val="2F5496" w:themeColor="accent1" w:themeShade="BF"/>
      <w:spacing w:val="5"/>
    </w:rPr>
  </w:style>
  <w:style w:type="character" w:styleId="Hyperlink">
    <w:name w:val="Hyperlink"/>
    <w:basedOn w:val="DefaultParagraphFont"/>
    <w:uiPriority w:val="99"/>
    <w:unhideWhenUsed/>
    <w:rsid w:val="0028482D"/>
    <w:rPr>
      <w:color w:val="0563C1" w:themeColor="hyperlink"/>
      <w:u w:val="single"/>
    </w:rPr>
  </w:style>
  <w:style w:type="character" w:styleId="UnresolvedMention">
    <w:name w:val="Unresolved Mention"/>
    <w:basedOn w:val="DefaultParagraphFont"/>
    <w:uiPriority w:val="99"/>
    <w:semiHidden/>
    <w:unhideWhenUsed/>
    <w:rsid w:val="0028482D"/>
    <w:rPr>
      <w:color w:val="605E5C"/>
      <w:shd w:val="clear" w:color="auto" w:fill="E1DFDD"/>
    </w:rPr>
  </w:style>
  <w:style w:type="character" w:styleId="FollowedHyperlink">
    <w:name w:val="FollowedHyperlink"/>
    <w:basedOn w:val="DefaultParagraphFont"/>
    <w:uiPriority w:val="99"/>
    <w:semiHidden/>
    <w:unhideWhenUsed/>
    <w:rsid w:val="00132845"/>
    <w:rPr>
      <w:color w:val="954F72" w:themeColor="followedHyperlink"/>
      <w:u w:val="single"/>
    </w:rPr>
  </w:style>
  <w:style w:type="table" w:styleId="TableGrid">
    <w:name w:val="Table Grid"/>
    <w:basedOn w:val="TableNormal"/>
    <w:uiPriority w:val="39"/>
    <w:rsid w:val="004C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7EC7"/>
    <w:rPr>
      <w:sz w:val="16"/>
      <w:szCs w:val="16"/>
    </w:rPr>
  </w:style>
  <w:style w:type="character" w:styleId="PlaceholderText">
    <w:name w:val="Placeholder Text"/>
    <w:basedOn w:val="DefaultParagraphFont"/>
    <w:uiPriority w:val="99"/>
    <w:semiHidden/>
    <w:rsid w:val="00097DEC"/>
    <w:rPr>
      <w:color w:val="666666"/>
    </w:rPr>
  </w:style>
  <w:style w:type="paragraph" w:styleId="Header">
    <w:name w:val="header"/>
    <w:basedOn w:val="Normal"/>
    <w:link w:val="HeaderChar"/>
    <w:uiPriority w:val="99"/>
    <w:unhideWhenUsed/>
    <w:rsid w:val="00B12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3A1"/>
    <w:rPr>
      <w:lang w:val="en-US"/>
    </w:rPr>
  </w:style>
  <w:style w:type="paragraph" w:styleId="Footer">
    <w:name w:val="footer"/>
    <w:basedOn w:val="Normal"/>
    <w:link w:val="FooterChar"/>
    <w:uiPriority w:val="99"/>
    <w:unhideWhenUsed/>
    <w:rsid w:val="00B12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3A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006">
      <w:bodyDiv w:val="1"/>
      <w:marLeft w:val="0"/>
      <w:marRight w:val="0"/>
      <w:marTop w:val="0"/>
      <w:marBottom w:val="0"/>
      <w:divBdr>
        <w:top w:val="none" w:sz="0" w:space="0" w:color="auto"/>
        <w:left w:val="none" w:sz="0" w:space="0" w:color="auto"/>
        <w:bottom w:val="none" w:sz="0" w:space="0" w:color="auto"/>
        <w:right w:val="none" w:sz="0" w:space="0" w:color="auto"/>
      </w:divBdr>
      <w:divsChild>
        <w:div w:id="110234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9131">
      <w:bodyDiv w:val="1"/>
      <w:marLeft w:val="0"/>
      <w:marRight w:val="0"/>
      <w:marTop w:val="0"/>
      <w:marBottom w:val="0"/>
      <w:divBdr>
        <w:top w:val="none" w:sz="0" w:space="0" w:color="auto"/>
        <w:left w:val="none" w:sz="0" w:space="0" w:color="auto"/>
        <w:bottom w:val="none" w:sz="0" w:space="0" w:color="auto"/>
        <w:right w:val="none" w:sz="0" w:space="0" w:color="auto"/>
      </w:divBdr>
    </w:div>
    <w:div w:id="70549074">
      <w:bodyDiv w:val="1"/>
      <w:marLeft w:val="0"/>
      <w:marRight w:val="0"/>
      <w:marTop w:val="0"/>
      <w:marBottom w:val="0"/>
      <w:divBdr>
        <w:top w:val="none" w:sz="0" w:space="0" w:color="auto"/>
        <w:left w:val="none" w:sz="0" w:space="0" w:color="auto"/>
        <w:bottom w:val="none" w:sz="0" w:space="0" w:color="auto"/>
        <w:right w:val="none" w:sz="0" w:space="0" w:color="auto"/>
      </w:divBdr>
    </w:div>
    <w:div w:id="114639634">
      <w:bodyDiv w:val="1"/>
      <w:marLeft w:val="0"/>
      <w:marRight w:val="0"/>
      <w:marTop w:val="0"/>
      <w:marBottom w:val="0"/>
      <w:divBdr>
        <w:top w:val="none" w:sz="0" w:space="0" w:color="auto"/>
        <w:left w:val="none" w:sz="0" w:space="0" w:color="auto"/>
        <w:bottom w:val="none" w:sz="0" w:space="0" w:color="auto"/>
        <w:right w:val="none" w:sz="0" w:space="0" w:color="auto"/>
      </w:divBdr>
    </w:div>
    <w:div w:id="156119751">
      <w:bodyDiv w:val="1"/>
      <w:marLeft w:val="0"/>
      <w:marRight w:val="0"/>
      <w:marTop w:val="0"/>
      <w:marBottom w:val="0"/>
      <w:divBdr>
        <w:top w:val="none" w:sz="0" w:space="0" w:color="auto"/>
        <w:left w:val="none" w:sz="0" w:space="0" w:color="auto"/>
        <w:bottom w:val="none" w:sz="0" w:space="0" w:color="auto"/>
        <w:right w:val="none" w:sz="0" w:space="0" w:color="auto"/>
      </w:divBdr>
    </w:div>
    <w:div w:id="165827636">
      <w:bodyDiv w:val="1"/>
      <w:marLeft w:val="0"/>
      <w:marRight w:val="0"/>
      <w:marTop w:val="0"/>
      <w:marBottom w:val="0"/>
      <w:divBdr>
        <w:top w:val="none" w:sz="0" w:space="0" w:color="auto"/>
        <w:left w:val="none" w:sz="0" w:space="0" w:color="auto"/>
        <w:bottom w:val="none" w:sz="0" w:space="0" w:color="auto"/>
        <w:right w:val="none" w:sz="0" w:space="0" w:color="auto"/>
      </w:divBdr>
    </w:div>
    <w:div w:id="176820898">
      <w:bodyDiv w:val="1"/>
      <w:marLeft w:val="0"/>
      <w:marRight w:val="0"/>
      <w:marTop w:val="0"/>
      <w:marBottom w:val="0"/>
      <w:divBdr>
        <w:top w:val="none" w:sz="0" w:space="0" w:color="auto"/>
        <w:left w:val="none" w:sz="0" w:space="0" w:color="auto"/>
        <w:bottom w:val="none" w:sz="0" w:space="0" w:color="auto"/>
        <w:right w:val="none" w:sz="0" w:space="0" w:color="auto"/>
      </w:divBdr>
    </w:div>
    <w:div w:id="194851238">
      <w:bodyDiv w:val="1"/>
      <w:marLeft w:val="0"/>
      <w:marRight w:val="0"/>
      <w:marTop w:val="0"/>
      <w:marBottom w:val="0"/>
      <w:divBdr>
        <w:top w:val="none" w:sz="0" w:space="0" w:color="auto"/>
        <w:left w:val="none" w:sz="0" w:space="0" w:color="auto"/>
        <w:bottom w:val="none" w:sz="0" w:space="0" w:color="auto"/>
        <w:right w:val="none" w:sz="0" w:space="0" w:color="auto"/>
      </w:divBdr>
    </w:div>
    <w:div w:id="240794540">
      <w:bodyDiv w:val="1"/>
      <w:marLeft w:val="0"/>
      <w:marRight w:val="0"/>
      <w:marTop w:val="0"/>
      <w:marBottom w:val="0"/>
      <w:divBdr>
        <w:top w:val="none" w:sz="0" w:space="0" w:color="auto"/>
        <w:left w:val="none" w:sz="0" w:space="0" w:color="auto"/>
        <w:bottom w:val="none" w:sz="0" w:space="0" w:color="auto"/>
        <w:right w:val="none" w:sz="0" w:space="0" w:color="auto"/>
      </w:divBdr>
    </w:div>
    <w:div w:id="252210045">
      <w:bodyDiv w:val="1"/>
      <w:marLeft w:val="0"/>
      <w:marRight w:val="0"/>
      <w:marTop w:val="0"/>
      <w:marBottom w:val="0"/>
      <w:divBdr>
        <w:top w:val="none" w:sz="0" w:space="0" w:color="auto"/>
        <w:left w:val="none" w:sz="0" w:space="0" w:color="auto"/>
        <w:bottom w:val="none" w:sz="0" w:space="0" w:color="auto"/>
        <w:right w:val="none" w:sz="0" w:space="0" w:color="auto"/>
      </w:divBdr>
    </w:div>
    <w:div w:id="272828860">
      <w:bodyDiv w:val="1"/>
      <w:marLeft w:val="0"/>
      <w:marRight w:val="0"/>
      <w:marTop w:val="0"/>
      <w:marBottom w:val="0"/>
      <w:divBdr>
        <w:top w:val="none" w:sz="0" w:space="0" w:color="auto"/>
        <w:left w:val="none" w:sz="0" w:space="0" w:color="auto"/>
        <w:bottom w:val="none" w:sz="0" w:space="0" w:color="auto"/>
        <w:right w:val="none" w:sz="0" w:space="0" w:color="auto"/>
      </w:divBdr>
    </w:div>
    <w:div w:id="289944096">
      <w:bodyDiv w:val="1"/>
      <w:marLeft w:val="0"/>
      <w:marRight w:val="0"/>
      <w:marTop w:val="0"/>
      <w:marBottom w:val="0"/>
      <w:divBdr>
        <w:top w:val="none" w:sz="0" w:space="0" w:color="auto"/>
        <w:left w:val="none" w:sz="0" w:space="0" w:color="auto"/>
        <w:bottom w:val="none" w:sz="0" w:space="0" w:color="auto"/>
        <w:right w:val="none" w:sz="0" w:space="0" w:color="auto"/>
      </w:divBdr>
    </w:div>
    <w:div w:id="323751565">
      <w:bodyDiv w:val="1"/>
      <w:marLeft w:val="0"/>
      <w:marRight w:val="0"/>
      <w:marTop w:val="0"/>
      <w:marBottom w:val="0"/>
      <w:divBdr>
        <w:top w:val="none" w:sz="0" w:space="0" w:color="auto"/>
        <w:left w:val="none" w:sz="0" w:space="0" w:color="auto"/>
        <w:bottom w:val="none" w:sz="0" w:space="0" w:color="auto"/>
        <w:right w:val="none" w:sz="0" w:space="0" w:color="auto"/>
      </w:divBdr>
    </w:div>
    <w:div w:id="340162442">
      <w:bodyDiv w:val="1"/>
      <w:marLeft w:val="0"/>
      <w:marRight w:val="0"/>
      <w:marTop w:val="0"/>
      <w:marBottom w:val="0"/>
      <w:divBdr>
        <w:top w:val="none" w:sz="0" w:space="0" w:color="auto"/>
        <w:left w:val="none" w:sz="0" w:space="0" w:color="auto"/>
        <w:bottom w:val="none" w:sz="0" w:space="0" w:color="auto"/>
        <w:right w:val="none" w:sz="0" w:space="0" w:color="auto"/>
      </w:divBdr>
    </w:div>
    <w:div w:id="357506716">
      <w:bodyDiv w:val="1"/>
      <w:marLeft w:val="0"/>
      <w:marRight w:val="0"/>
      <w:marTop w:val="0"/>
      <w:marBottom w:val="0"/>
      <w:divBdr>
        <w:top w:val="none" w:sz="0" w:space="0" w:color="auto"/>
        <w:left w:val="none" w:sz="0" w:space="0" w:color="auto"/>
        <w:bottom w:val="none" w:sz="0" w:space="0" w:color="auto"/>
        <w:right w:val="none" w:sz="0" w:space="0" w:color="auto"/>
      </w:divBdr>
    </w:div>
    <w:div w:id="397366922">
      <w:bodyDiv w:val="1"/>
      <w:marLeft w:val="0"/>
      <w:marRight w:val="0"/>
      <w:marTop w:val="0"/>
      <w:marBottom w:val="0"/>
      <w:divBdr>
        <w:top w:val="none" w:sz="0" w:space="0" w:color="auto"/>
        <w:left w:val="none" w:sz="0" w:space="0" w:color="auto"/>
        <w:bottom w:val="none" w:sz="0" w:space="0" w:color="auto"/>
        <w:right w:val="none" w:sz="0" w:space="0" w:color="auto"/>
      </w:divBdr>
    </w:div>
    <w:div w:id="415975663">
      <w:bodyDiv w:val="1"/>
      <w:marLeft w:val="0"/>
      <w:marRight w:val="0"/>
      <w:marTop w:val="0"/>
      <w:marBottom w:val="0"/>
      <w:divBdr>
        <w:top w:val="none" w:sz="0" w:space="0" w:color="auto"/>
        <w:left w:val="none" w:sz="0" w:space="0" w:color="auto"/>
        <w:bottom w:val="none" w:sz="0" w:space="0" w:color="auto"/>
        <w:right w:val="none" w:sz="0" w:space="0" w:color="auto"/>
      </w:divBdr>
    </w:div>
    <w:div w:id="417213391">
      <w:bodyDiv w:val="1"/>
      <w:marLeft w:val="0"/>
      <w:marRight w:val="0"/>
      <w:marTop w:val="0"/>
      <w:marBottom w:val="0"/>
      <w:divBdr>
        <w:top w:val="none" w:sz="0" w:space="0" w:color="auto"/>
        <w:left w:val="none" w:sz="0" w:space="0" w:color="auto"/>
        <w:bottom w:val="none" w:sz="0" w:space="0" w:color="auto"/>
        <w:right w:val="none" w:sz="0" w:space="0" w:color="auto"/>
      </w:divBdr>
    </w:div>
    <w:div w:id="424150129">
      <w:bodyDiv w:val="1"/>
      <w:marLeft w:val="0"/>
      <w:marRight w:val="0"/>
      <w:marTop w:val="0"/>
      <w:marBottom w:val="0"/>
      <w:divBdr>
        <w:top w:val="none" w:sz="0" w:space="0" w:color="auto"/>
        <w:left w:val="none" w:sz="0" w:space="0" w:color="auto"/>
        <w:bottom w:val="none" w:sz="0" w:space="0" w:color="auto"/>
        <w:right w:val="none" w:sz="0" w:space="0" w:color="auto"/>
      </w:divBdr>
    </w:div>
    <w:div w:id="467286681">
      <w:bodyDiv w:val="1"/>
      <w:marLeft w:val="0"/>
      <w:marRight w:val="0"/>
      <w:marTop w:val="0"/>
      <w:marBottom w:val="0"/>
      <w:divBdr>
        <w:top w:val="none" w:sz="0" w:space="0" w:color="auto"/>
        <w:left w:val="none" w:sz="0" w:space="0" w:color="auto"/>
        <w:bottom w:val="none" w:sz="0" w:space="0" w:color="auto"/>
        <w:right w:val="none" w:sz="0" w:space="0" w:color="auto"/>
      </w:divBdr>
    </w:div>
    <w:div w:id="494221270">
      <w:bodyDiv w:val="1"/>
      <w:marLeft w:val="0"/>
      <w:marRight w:val="0"/>
      <w:marTop w:val="0"/>
      <w:marBottom w:val="0"/>
      <w:divBdr>
        <w:top w:val="none" w:sz="0" w:space="0" w:color="auto"/>
        <w:left w:val="none" w:sz="0" w:space="0" w:color="auto"/>
        <w:bottom w:val="none" w:sz="0" w:space="0" w:color="auto"/>
        <w:right w:val="none" w:sz="0" w:space="0" w:color="auto"/>
      </w:divBdr>
    </w:div>
    <w:div w:id="537280022">
      <w:bodyDiv w:val="1"/>
      <w:marLeft w:val="0"/>
      <w:marRight w:val="0"/>
      <w:marTop w:val="0"/>
      <w:marBottom w:val="0"/>
      <w:divBdr>
        <w:top w:val="none" w:sz="0" w:space="0" w:color="auto"/>
        <w:left w:val="none" w:sz="0" w:space="0" w:color="auto"/>
        <w:bottom w:val="none" w:sz="0" w:space="0" w:color="auto"/>
        <w:right w:val="none" w:sz="0" w:space="0" w:color="auto"/>
      </w:divBdr>
    </w:div>
    <w:div w:id="543176106">
      <w:bodyDiv w:val="1"/>
      <w:marLeft w:val="0"/>
      <w:marRight w:val="0"/>
      <w:marTop w:val="0"/>
      <w:marBottom w:val="0"/>
      <w:divBdr>
        <w:top w:val="none" w:sz="0" w:space="0" w:color="auto"/>
        <w:left w:val="none" w:sz="0" w:space="0" w:color="auto"/>
        <w:bottom w:val="none" w:sz="0" w:space="0" w:color="auto"/>
        <w:right w:val="none" w:sz="0" w:space="0" w:color="auto"/>
      </w:divBdr>
    </w:div>
    <w:div w:id="568343503">
      <w:bodyDiv w:val="1"/>
      <w:marLeft w:val="0"/>
      <w:marRight w:val="0"/>
      <w:marTop w:val="0"/>
      <w:marBottom w:val="0"/>
      <w:divBdr>
        <w:top w:val="none" w:sz="0" w:space="0" w:color="auto"/>
        <w:left w:val="none" w:sz="0" w:space="0" w:color="auto"/>
        <w:bottom w:val="none" w:sz="0" w:space="0" w:color="auto"/>
        <w:right w:val="none" w:sz="0" w:space="0" w:color="auto"/>
      </w:divBdr>
    </w:div>
    <w:div w:id="607349040">
      <w:bodyDiv w:val="1"/>
      <w:marLeft w:val="0"/>
      <w:marRight w:val="0"/>
      <w:marTop w:val="0"/>
      <w:marBottom w:val="0"/>
      <w:divBdr>
        <w:top w:val="none" w:sz="0" w:space="0" w:color="auto"/>
        <w:left w:val="none" w:sz="0" w:space="0" w:color="auto"/>
        <w:bottom w:val="none" w:sz="0" w:space="0" w:color="auto"/>
        <w:right w:val="none" w:sz="0" w:space="0" w:color="auto"/>
      </w:divBdr>
    </w:div>
    <w:div w:id="618684305">
      <w:bodyDiv w:val="1"/>
      <w:marLeft w:val="0"/>
      <w:marRight w:val="0"/>
      <w:marTop w:val="0"/>
      <w:marBottom w:val="0"/>
      <w:divBdr>
        <w:top w:val="none" w:sz="0" w:space="0" w:color="auto"/>
        <w:left w:val="none" w:sz="0" w:space="0" w:color="auto"/>
        <w:bottom w:val="none" w:sz="0" w:space="0" w:color="auto"/>
        <w:right w:val="none" w:sz="0" w:space="0" w:color="auto"/>
      </w:divBdr>
    </w:div>
    <w:div w:id="662466979">
      <w:bodyDiv w:val="1"/>
      <w:marLeft w:val="0"/>
      <w:marRight w:val="0"/>
      <w:marTop w:val="0"/>
      <w:marBottom w:val="0"/>
      <w:divBdr>
        <w:top w:val="none" w:sz="0" w:space="0" w:color="auto"/>
        <w:left w:val="none" w:sz="0" w:space="0" w:color="auto"/>
        <w:bottom w:val="none" w:sz="0" w:space="0" w:color="auto"/>
        <w:right w:val="none" w:sz="0" w:space="0" w:color="auto"/>
      </w:divBdr>
    </w:div>
    <w:div w:id="747652089">
      <w:bodyDiv w:val="1"/>
      <w:marLeft w:val="0"/>
      <w:marRight w:val="0"/>
      <w:marTop w:val="0"/>
      <w:marBottom w:val="0"/>
      <w:divBdr>
        <w:top w:val="none" w:sz="0" w:space="0" w:color="auto"/>
        <w:left w:val="none" w:sz="0" w:space="0" w:color="auto"/>
        <w:bottom w:val="none" w:sz="0" w:space="0" w:color="auto"/>
        <w:right w:val="none" w:sz="0" w:space="0" w:color="auto"/>
      </w:divBdr>
    </w:div>
    <w:div w:id="795411460">
      <w:bodyDiv w:val="1"/>
      <w:marLeft w:val="0"/>
      <w:marRight w:val="0"/>
      <w:marTop w:val="0"/>
      <w:marBottom w:val="0"/>
      <w:divBdr>
        <w:top w:val="none" w:sz="0" w:space="0" w:color="auto"/>
        <w:left w:val="none" w:sz="0" w:space="0" w:color="auto"/>
        <w:bottom w:val="none" w:sz="0" w:space="0" w:color="auto"/>
        <w:right w:val="none" w:sz="0" w:space="0" w:color="auto"/>
      </w:divBdr>
    </w:div>
    <w:div w:id="796797503">
      <w:bodyDiv w:val="1"/>
      <w:marLeft w:val="0"/>
      <w:marRight w:val="0"/>
      <w:marTop w:val="0"/>
      <w:marBottom w:val="0"/>
      <w:divBdr>
        <w:top w:val="none" w:sz="0" w:space="0" w:color="auto"/>
        <w:left w:val="none" w:sz="0" w:space="0" w:color="auto"/>
        <w:bottom w:val="none" w:sz="0" w:space="0" w:color="auto"/>
        <w:right w:val="none" w:sz="0" w:space="0" w:color="auto"/>
      </w:divBdr>
      <w:divsChild>
        <w:div w:id="346178617">
          <w:marLeft w:val="0"/>
          <w:marRight w:val="0"/>
          <w:marTop w:val="270"/>
          <w:marBottom w:val="270"/>
          <w:divBdr>
            <w:top w:val="none" w:sz="0" w:space="0" w:color="auto"/>
            <w:left w:val="none" w:sz="0" w:space="0" w:color="auto"/>
            <w:bottom w:val="none" w:sz="0" w:space="0" w:color="auto"/>
            <w:right w:val="none" w:sz="0" w:space="0" w:color="auto"/>
          </w:divBdr>
        </w:div>
        <w:div w:id="1827354538">
          <w:marLeft w:val="0"/>
          <w:marRight w:val="0"/>
          <w:marTop w:val="270"/>
          <w:marBottom w:val="270"/>
          <w:divBdr>
            <w:top w:val="none" w:sz="0" w:space="0" w:color="auto"/>
            <w:left w:val="none" w:sz="0" w:space="0" w:color="auto"/>
            <w:bottom w:val="none" w:sz="0" w:space="0" w:color="auto"/>
            <w:right w:val="none" w:sz="0" w:space="0" w:color="auto"/>
          </w:divBdr>
        </w:div>
        <w:div w:id="184952666">
          <w:marLeft w:val="0"/>
          <w:marRight w:val="0"/>
          <w:marTop w:val="270"/>
          <w:marBottom w:val="270"/>
          <w:divBdr>
            <w:top w:val="none" w:sz="0" w:space="0" w:color="auto"/>
            <w:left w:val="none" w:sz="0" w:space="0" w:color="auto"/>
            <w:bottom w:val="none" w:sz="0" w:space="0" w:color="auto"/>
            <w:right w:val="none" w:sz="0" w:space="0" w:color="auto"/>
          </w:divBdr>
        </w:div>
        <w:div w:id="1085690007">
          <w:marLeft w:val="0"/>
          <w:marRight w:val="0"/>
          <w:marTop w:val="270"/>
          <w:marBottom w:val="270"/>
          <w:divBdr>
            <w:top w:val="none" w:sz="0" w:space="0" w:color="auto"/>
            <w:left w:val="none" w:sz="0" w:space="0" w:color="auto"/>
            <w:bottom w:val="none" w:sz="0" w:space="0" w:color="auto"/>
            <w:right w:val="none" w:sz="0" w:space="0" w:color="auto"/>
          </w:divBdr>
        </w:div>
        <w:div w:id="1416896188">
          <w:marLeft w:val="0"/>
          <w:marRight w:val="0"/>
          <w:marTop w:val="270"/>
          <w:marBottom w:val="270"/>
          <w:divBdr>
            <w:top w:val="none" w:sz="0" w:space="0" w:color="auto"/>
            <w:left w:val="none" w:sz="0" w:space="0" w:color="auto"/>
            <w:bottom w:val="none" w:sz="0" w:space="0" w:color="auto"/>
            <w:right w:val="none" w:sz="0" w:space="0" w:color="auto"/>
          </w:divBdr>
        </w:div>
      </w:divsChild>
    </w:div>
    <w:div w:id="805970089">
      <w:bodyDiv w:val="1"/>
      <w:marLeft w:val="0"/>
      <w:marRight w:val="0"/>
      <w:marTop w:val="0"/>
      <w:marBottom w:val="0"/>
      <w:divBdr>
        <w:top w:val="none" w:sz="0" w:space="0" w:color="auto"/>
        <w:left w:val="none" w:sz="0" w:space="0" w:color="auto"/>
        <w:bottom w:val="none" w:sz="0" w:space="0" w:color="auto"/>
        <w:right w:val="none" w:sz="0" w:space="0" w:color="auto"/>
      </w:divBdr>
    </w:div>
    <w:div w:id="846558971">
      <w:bodyDiv w:val="1"/>
      <w:marLeft w:val="0"/>
      <w:marRight w:val="0"/>
      <w:marTop w:val="0"/>
      <w:marBottom w:val="0"/>
      <w:divBdr>
        <w:top w:val="none" w:sz="0" w:space="0" w:color="auto"/>
        <w:left w:val="none" w:sz="0" w:space="0" w:color="auto"/>
        <w:bottom w:val="none" w:sz="0" w:space="0" w:color="auto"/>
        <w:right w:val="none" w:sz="0" w:space="0" w:color="auto"/>
      </w:divBdr>
    </w:div>
    <w:div w:id="874469246">
      <w:bodyDiv w:val="1"/>
      <w:marLeft w:val="0"/>
      <w:marRight w:val="0"/>
      <w:marTop w:val="0"/>
      <w:marBottom w:val="0"/>
      <w:divBdr>
        <w:top w:val="none" w:sz="0" w:space="0" w:color="auto"/>
        <w:left w:val="none" w:sz="0" w:space="0" w:color="auto"/>
        <w:bottom w:val="none" w:sz="0" w:space="0" w:color="auto"/>
        <w:right w:val="none" w:sz="0" w:space="0" w:color="auto"/>
      </w:divBdr>
    </w:div>
    <w:div w:id="897979483">
      <w:bodyDiv w:val="1"/>
      <w:marLeft w:val="0"/>
      <w:marRight w:val="0"/>
      <w:marTop w:val="0"/>
      <w:marBottom w:val="0"/>
      <w:divBdr>
        <w:top w:val="none" w:sz="0" w:space="0" w:color="auto"/>
        <w:left w:val="none" w:sz="0" w:space="0" w:color="auto"/>
        <w:bottom w:val="none" w:sz="0" w:space="0" w:color="auto"/>
        <w:right w:val="none" w:sz="0" w:space="0" w:color="auto"/>
      </w:divBdr>
    </w:div>
    <w:div w:id="969818701">
      <w:bodyDiv w:val="1"/>
      <w:marLeft w:val="0"/>
      <w:marRight w:val="0"/>
      <w:marTop w:val="0"/>
      <w:marBottom w:val="0"/>
      <w:divBdr>
        <w:top w:val="none" w:sz="0" w:space="0" w:color="auto"/>
        <w:left w:val="none" w:sz="0" w:space="0" w:color="auto"/>
        <w:bottom w:val="none" w:sz="0" w:space="0" w:color="auto"/>
        <w:right w:val="none" w:sz="0" w:space="0" w:color="auto"/>
      </w:divBdr>
    </w:div>
    <w:div w:id="990138216">
      <w:bodyDiv w:val="1"/>
      <w:marLeft w:val="0"/>
      <w:marRight w:val="0"/>
      <w:marTop w:val="0"/>
      <w:marBottom w:val="0"/>
      <w:divBdr>
        <w:top w:val="none" w:sz="0" w:space="0" w:color="auto"/>
        <w:left w:val="none" w:sz="0" w:space="0" w:color="auto"/>
        <w:bottom w:val="none" w:sz="0" w:space="0" w:color="auto"/>
        <w:right w:val="none" w:sz="0" w:space="0" w:color="auto"/>
      </w:divBdr>
    </w:div>
    <w:div w:id="1000737964">
      <w:bodyDiv w:val="1"/>
      <w:marLeft w:val="0"/>
      <w:marRight w:val="0"/>
      <w:marTop w:val="0"/>
      <w:marBottom w:val="0"/>
      <w:divBdr>
        <w:top w:val="none" w:sz="0" w:space="0" w:color="auto"/>
        <w:left w:val="none" w:sz="0" w:space="0" w:color="auto"/>
        <w:bottom w:val="none" w:sz="0" w:space="0" w:color="auto"/>
        <w:right w:val="none" w:sz="0" w:space="0" w:color="auto"/>
      </w:divBdr>
    </w:div>
    <w:div w:id="1040663522">
      <w:bodyDiv w:val="1"/>
      <w:marLeft w:val="0"/>
      <w:marRight w:val="0"/>
      <w:marTop w:val="0"/>
      <w:marBottom w:val="0"/>
      <w:divBdr>
        <w:top w:val="none" w:sz="0" w:space="0" w:color="auto"/>
        <w:left w:val="none" w:sz="0" w:space="0" w:color="auto"/>
        <w:bottom w:val="none" w:sz="0" w:space="0" w:color="auto"/>
        <w:right w:val="none" w:sz="0" w:space="0" w:color="auto"/>
      </w:divBdr>
    </w:div>
    <w:div w:id="1057321634">
      <w:bodyDiv w:val="1"/>
      <w:marLeft w:val="0"/>
      <w:marRight w:val="0"/>
      <w:marTop w:val="0"/>
      <w:marBottom w:val="0"/>
      <w:divBdr>
        <w:top w:val="none" w:sz="0" w:space="0" w:color="auto"/>
        <w:left w:val="none" w:sz="0" w:space="0" w:color="auto"/>
        <w:bottom w:val="none" w:sz="0" w:space="0" w:color="auto"/>
        <w:right w:val="none" w:sz="0" w:space="0" w:color="auto"/>
      </w:divBdr>
    </w:div>
    <w:div w:id="1071318078">
      <w:bodyDiv w:val="1"/>
      <w:marLeft w:val="0"/>
      <w:marRight w:val="0"/>
      <w:marTop w:val="0"/>
      <w:marBottom w:val="0"/>
      <w:divBdr>
        <w:top w:val="none" w:sz="0" w:space="0" w:color="auto"/>
        <w:left w:val="none" w:sz="0" w:space="0" w:color="auto"/>
        <w:bottom w:val="none" w:sz="0" w:space="0" w:color="auto"/>
        <w:right w:val="none" w:sz="0" w:space="0" w:color="auto"/>
      </w:divBdr>
    </w:div>
    <w:div w:id="1120611894">
      <w:bodyDiv w:val="1"/>
      <w:marLeft w:val="0"/>
      <w:marRight w:val="0"/>
      <w:marTop w:val="0"/>
      <w:marBottom w:val="0"/>
      <w:divBdr>
        <w:top w:val="none" w:sz="0" w:space="0" w:color="auto"/>
        <w:left w:val="none" w:sz="0" w:space="0" w:color="auto"/>
        <w:bottom w:val="none" w:sz="0" w:space="0" w:color="auto"/>
        <w:right w:val="none" w:sz="0" w:space="0" w:color="auto"/>
      </w:divBdr>
    </w:div>
    <w:div w:id="1136945905">
      <w:bodyDiv w:val="1"/>
      <w:marLeft w:val="0"/>
      <w:marRight w:val="0"/>
      <w:marTop w:val="0"/>
      <w:marBottom w:val="0"/>
      <w:divBdr>
        <w:top w:val="none" w:sz="0" w:space="0" w:color="auto"/>
        <w:left w:val="none" w:sz="0" w:space="0" w:color="auto"/>
        <w:bottom w:val="none" w:sz="0" w:space="0" w:color="auto"/>
        <w:right w:val="none" w:sz="0" w:space="0" w:color="auto"/>
      </w:divBdr>
    </w:div>
    <w:div w:id="1247956209">
      <w:bodyDiv w:val="1"/>
      <w:marLeft w:val="0"/>
      <w:marRight w:val="0"/>
      <w:marTop w:val="0"/>
      <w:marBottom w:val="0"/>
      <w:divBdr>
        <w:top w:val="none" w:sz="0" w:space="0" w:color="auto"/>
        <w:left w:val="none" w:sz="0" w:space="0" w:color="auto"/>
        <w:bottom w:val="none" w:sz="0" w:space="0" w:color="auto"/>
        <w:right w:val="none" w:sz="0" w:space="0" w:color="auto"/>
      </w:divBdr>
    </w:div>
    <w:div w:id="1287005207">
      <w:bodyDiv w:val="1"/>
      <w:marLeft w:val="0"/>
      <w:marRight w:val="0"/>
      <w:marTop w:val="0"/>
      <w:marBottom w:val="0"/>
      <w:divBdr>
        <w:top w:val="none" w:sz="0" w:space="0" w:color="auto"/>
        <w:left w:val="none" w:sz="0" w:space="0" w:color="auto"/>
        <w:bottom w:val="none" w:sz="0" w:space="0" w:color="auto"/>
        <w:right w:val="none" w:sz="0" w:space="0" w:color="auto"/>
      </w:divBdr>
    </w:div>
    <w:div w:id="1301493566">
      <w:bodyDiv w:val="1"/>
      <w:marLeft w:val="0"/>
      <w:marRight w:val="0"/>
      <w:marTop w:val="0"/>
      <w:marBottom w:val="0"/>
      <w:divBdr>
        <w:top w:val="none" w:sz="0" w:space="0" w:color="auto"/>
        <w:left w:val="none" w:sz="0" w:space="0" w:color="auto"/>
        <w:bottom w:val="none" w:sz="0" w:space="0" w:color="auto"/>
        <w:right w:val="none" w:sz="0" w:space="0" w:color="auto"/>
      </w:divBdr>
    </w:div>
    <w:div w:id="1308634567">
      <w:bodyDiv w:val="1"/>
      <w:marLeft w:val="0"/>
      <w:marRight w:val="0"/>
      <w:marTop w:val="0"/>
      <w:marBottom w:val="0"/>
      <w:divBdr>
        <w:top w:val="none" w:sz="0" w:space="0" w:color="auto"/>
        <w:left w:val="none" w:sz="0" w:space="0" w:color="auto"/>
        <w:bottom w:val="none" w:sz="0" w:space="0" w:color="auto"/>
        <w:right w:val="none" w:sz="0" w:space="0" w:color="auto"/>
      </w:divBdr>
    </w:div>
    <w:div w:id="1315068059">
      <w:bodyDiv w:val="1"/>
      <w:marLeft w:val="0"/>
      <w:marRight w:val="0"/>
      <w:marTop w:val="0"/>
      <w:marBottom w:val="0"/>
      <w:divBdr>
        <w:top w:val="none" w:sz="0" w:space="0" w:color="auto"/>
        <w:left w:val="none" w:sz="0" w:space="0" w:color="auto"/>
        <w:bottom w:val="none" w:sz="0" w:space="0" w:color="auto"/>
        <w:right w:val="none" w:sz="0" w:space="0" w:color="auto"/>
      </w:divBdr>
    </w:div>
    <w:div w:id="1364013759">
      <w:bodyDiv w:val="1"/>
      <w:marLeft w:val="0"/>
      <w:marRight w:val="0"/>
      <w:marTop w:val="0"/>
      <w:marBottom w:val="0"/>
      <w:divBdr>
        <w:top w:val="none" w:sz="0" w:space="0" w:color="auto"/>
        <w:left w:val="none" w:sz="0" w:space="0" w:color="auto"/>
        <w:bottom w:val="none" w:sz="0" w:space="0" w:color="auto"/>
        <w:right w:val="none" w:sz="0" w:space="0" w:color="auto"/>
      </w:divBdr>
    </w:div>
    <w:div w:id="1384449413">
      <w:bodyDiv w:val="1"/>
      <w:marLeft w:val="0"/>
      <w:marRight w:val="0"/>
      <w:marTop w:val="0"/>
      <w:marBottom w:val="0"/>
      <w:divBdr>
        <w:top w:val="none" w:sz="0" w:space="0" w:color="auto"/>
        <w:left w:val="none" w:sz="0" w:space="0" w:color="auto"/>
        <w:bottom w:val="none" w:sz="0" w:space="0" w:color="auto"/>
        <w:right w:val="none" w:sz="0" w:space="0" w:color="auto"/>
      </w:divBdr>
    </w:div>
    <w:div w:id="1396972642">
      <w:bodyDiv w:val="1"/>
      <w:marLeft w:val="0"/>
      <w:marRight w:val="0"/>
      <w:marTop w:val="0"/>
      <w:marBottom w:val="0"/>
      <w:divBdr>
        <w:top w:val="none" w:sz="0" w:space="0" w:color="auto"/>
        <w:left w:val="none" w:sz="0" w:space="0" w:color="auto"/>
        <w:bottom w:val="none" w:sz="0" w:space="0" w:color="auto"/>
        <w:right w:val="none" w:sz="0" w:space="0" w:color="auto"/>
      </w:divBdr>
    </w:div>
    <w:div w:id="1404328841">
      <w:bodyDiv w:val="1"/>
      <w:marLeft w:val="0"/>
      <w:marRight w:val="0"/>
      <w:marTop w:val="0"/>
      <w:marBottom w:val="0"/>
      <w:divBdr>
        <w:top w:val="none" w:sz="0" w:space="0" w:color="auto"/>
        <w:left w:val="none" w:sz="0" w:space="0" w:color="auto"/>
        <w:bottom w:val="none" w:sz="0" w:space="0" w:color="auto"/>
        <w:right w:val="none" w:sz="0" w:space="0" w:color="auto"/>
      </w:divBdr>
    </w:div>
    <w:div w:id="1406495547">
      <w:bodyDiv w:val="1"/>
      <w:marLeft w:val="0"/>
      <w:marRight w:val="0"/>
      <w:marTop w:val="0"/>
      <w:marBottom w:val="0"/>
      <w:divBdr>
        <w:top w:val="none" w:sz="0" w:space="0" w:color="auto"/>
        <w:left w:val="none" w:sz="0" w:space="0" w:color="auto"/>
        <w:bottom w:val="none" w:sz="0" w:space="0" w:color="auto"/>
        <w:right w:val="none" w:sz="0" w:space="0" w:color="auto"/>
      </w:divBdr>
    </w:div>
    <w:div w:id="1434668677">
      <w:bodyDiv w:val="1"/>
      <w:marLeft w:val="0"/>
      <w:marRight w:val="0"/>
      <w:marTop w:val="0"/>
      <w:marBottom w:val="0"/>
      <w:divBdr>
        <w:top w:val="none" w:sz="0" w:space="0" w:color="auto"/>
        <w:left w:val="none" w:sz="0" w:space="0" w:color="auto"/>
        <w:bottom w:val="none" w:sz="0" w:space="0" w:color="auto"/>
        <w:right w:val="none" w:sz="0" w:space="0" w:color="auto"/>
      </w:divBdr>
    </w:div>
    <w:div w:id="1438064846">
      <w:bodyDiv w:val="1"/>
      <w:marLeft w:val="0"/>
      <w:marRight w:val="0"/>
      <w:marTop w:val="0"/>
      <w:marBottom w:val="0"/>
      <w:divBdr>
        <w:top w:val="none" w:sz="0" w:space="0" w:color="auto"/>
        <w:left w:val="none" w:sz="0" w:space="0" w:color="auto"/>
        <w:bottom w:val="none" w:sz="0" w:space="0" w:color="auto"/>
        <w:right w:val="none" w:sz="0" w:space="0" w:color="auto"/>
      </w:divBdr>
    </w:div>
    <w:div w:id="1442844883">
      <w:bodyDiv w:val="1"/>
      <w:marLeft w:val="0"/>
      <w:marRight w:val="0"/>
      <w:marTop w:val="0"/>
      <w:marBottom w:val="0"/>
      <w:divBdr>
        <w:top w:val="none" w:sz="0" w:space="0" w:color="auto"/>
        <w:left w:val="none" w:sz="0" w:space="0" w:color="auto"/>
        <w:bottom w:val="none" w:sz="0" w:space="0" w:color="auto"/>
        <w:right w:val="none" w:sz="0" w:space="0" w:color="auto"/>
      </w:divBdr>
    </w:div>
    <w:div w:id="1465585152">
      <w:bodyDiv w:val="1"/>
      <w:marLeft w:val="0"/>
      <w:marRight w:val="0"/>
      <w:marTop w:val="0"/>
      <w:marBottom w:val="0"/>
      <w:divBdr>
        <w:top w:val="none" w:sz="0" w:space="0" w:color="auto"/>
        <w:left w:val="none" w:sz="0" w:space="0" w:color="auto"/>
        <w:bottom w:val="none" w:sz="0" w:space="0" w:color="auto"/>
        <w:right w:val="none" w:sz="0" w:space="0" w:color="auto"/>
      </w:divBdr>
    </w:div>
    <w:div w:id="1475878347">
      <w:bodyDiv w:val="1"/>
      <w:marLeft w:val="0"/>
      <w:marRight w:val="0"/>
      <w:marTop w:val="0"/>
      <w:marBottom w:val="0"/>
      <w:divBdr>
        <w:top w:val="none" w:sz="0" w:space="0" w:color="auto"/>
        <w:left w:val="none" w:sz="0" w:space="0" w:color="auto"/>
        <w:bottom w:val="none" w:sz="0" w:space="0" w:color="auto"/>
        <w:right w:val="none" w:sz="0" w:space="0" w:color="auto"/>
      </w:divBdr>
    </w:div>
    <w:div w:id="1501845128">
      <w:bodyDiv w:val="1"/>
      <w:marLeft w:val="0"/>
      <w:marRight w:val="0"/>
      <w:marTop w:val="0"/>
      <w:marBottom w:val="0"/>
      <w:divBdr>
        <w:top w:val="none" w:sz="0" w:space="0" w:color="auto"/>
        <w:left w:val="none" w:sz="0" w:space="0" w:color="auto"/>
        <w:bottom w:val="none" w:sz="0" w:space="0" w:color="auto"/>
        <w:right w:val="none" w:sz="0" w:space="0" w:color="auto"/>
      </w:divBdr>
    </w:div>
    <w:div w:id="1528761049">
      <w:bodyDiv w:val="1"/>
      <w:marLeft w:val="0"/>
      <w:marRight w:val="0"/>
      <w:marTop w:val="0"/>
      <w:marBottom w:val="0"/>
      <w:divBdr>
        <w:top w:val="none" w:sz="0" w:space="0" w:color="auto"/>
        <w:left w:val="none" w:sz="0" w:space="0" w:color="auto"/>
        <w:bottom w:val="none" w:sz="0" w:space="0" w:color="auto"/>
        <w:right w:val="none" w:sz="0" w:space="0" w:color="auto"/>
      </w:divBdr>
      <w:divsChild>
        <w:div w:id="1867449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637982">
      <w:bodyDiv w:val="1"/>
      <w:marLeft w:val="0"/>
      <w:marRight w:val="0"/>
      <w:marTop w:val="0"/>
      <w:marBottom w:val="0"/>
      <w:divBdr>
        <w:top w:val="none" w:sz="0" w:space="0" w:color="auto"/>
        <w:left w:val="none" w:sz="0" w:space="0" w:color="auto"/>
        <w:bottom w:val="none" w:sz="0" w:space="0" w:color="auto"/>
        <w:right w:val="none" w:sz="0" w:space="0" w:color="auto"/>
      </w:divBdr>
    </w:div>
    <w:div w:id="1604460992">
      <w:bodyDiv w:val="1"/>
      <w:marLeft w:val="0"/>
      <w:marRight w:val="0"/>
      <w:marTop w:val="0"/>
      <w:marBottom w:val="0"/>
      <w:divBdr>
        <w:top w:val="none" w:sz="0" w:space="0" w:color="auto"/>
        <w:left w:val="none" w:sz="0" w:space="0" w:color="auto"/>
        <w:bottom w:val="none" w:sz="0" w:space="0" w:color="auto"/>
        <w:right w:val="none" w:sz="0" w:space="0" w:color="auto"/>
      </w:divBdr>
    </w:div>
    <w:div w:id="1637567800">
      <w:bodyDiv w:val="1"/>
      <w:marLeft w:val="0"/>
      <w:marRight w:val="0"/>
      <w:marTop w:val="0"/>
      <w:marBottom w:val="0"/>
      <w:divBdr>
        <w:top w:val="none" w:sz="0" w:space="0" w:color="auto"/>
        <w:left w:val="none" w:sz="0" w:space="0" w:color="auto"/>
        <w:bottom w:val="none" w:sz="0" w:space="0" w:color="auto"/>
        <w:right w:val="none" w:sz="0" w:space="0" w:color="auto"/>
      </w:divBdr>
    </w:div>
    <w:div w:id="1640377385">
      <w:bodyDiv w:val="1"/>
      <w:marLeft w:val="0"/>
      <w:marRight w:val="0"/>
      <w:marTop w:val="0"/>
      <w:marBottom w:val="0"/>
      <w:divBdr>
        <w:top w:val="none" w:sz="0" w:space="0" w:color="auto"/>
        <w:left w:val="none" w:sz="0" w:space="0" w:color="auto"/>
        <w:bottom w:val="none" w:sz="0" w:space="0" w:color="auto"/>
        <w:right w:val="none" w:sz="0" w:space="0" w:color="auto"/>
      </w:divBdr>
    </w:div>
    <w:div w:id="1653481244">
      <w:bodyDiv w:val="1"/>
      <w:marLeft w:val="0"/>
      <w:marRight w:val="0"/>
      <w:marTop w:val="0"/>
      <w:marBottom w:val="0"/>
      <w:divBdr>
        <w:top w:val="none" w:sz="0" w:space="0" w:color="auto"/>
        <w:left w:val="none" w:sz="0" w:space="0" w:color="auto"/>
        <w:bottom w:val="none" w:sz="0" w:space="0" w:color="auto"/>
        <w:right w:val="none" w:sz="0" w:space="0" w:color="auto"/>
      </w:divBdr>
    </w:div>
    <w:div w:id="1701860527">
      <w:bodyDiv w:val="1"/>
      <w:marLeft w:val="0"/>
      <w:marRight w:val="0"/>
      <w:marTop w:val="0"/>
      <w:marBottom w:val="0"/>
      <w:divBdr>
        <w:top w:val="none" w:sz="0" w:space="0" w:color="auto"/>
        <w:left w:val="none" w:sz="0" w:space="0" w:color="auto"/>
        <w:bottom w:val="none" w:sz="0" w:space="0" w:color="auto"/>
        <w:right w:val="none" w:sz="0" w:space="0" w:color="auto"/>
      </w:divBdr>
    </w:div>
    <w:div w:id="1706057746">
      <w:bodyDiv w:val="1"/>
      <w:marLeft w:val="0"/>
      <w:marRight w:val="0"/>
      <w:marTop w:val="0"/>
      <w:marBottom w:val="0"/>
      <w:divBdr>
        <w:top w:val="none" w:sz="0" w:space="0" w:color="auto"/>
        <w:left w:val="none" w:sz="0" w:space="0" w:color="auto"/>
        <w:bottom w:val="none" w:sz="0" w:space="0" w:color="auto"/>
        <w:right w:val="none" w:sz="0" w:space="0" w:color="auto"/>
      </w:divBdr>
    </w:div>
    <w:div w:id="1714571495">
      <w:bodyDiv w:val="1"/>
      <w:marLeft w:val="0"/>
      <w:marRight w:val="0"/>
      <w:marTop w:val="0"/>
      <w:marBottom w:val="0"/>
      <w:divBdr>
        <w:top w:val="none" w:sz="0" w:space="0" w:color="auto"/>
        <w:left w:val="none" w:sz="0" w:space="0" w:color="auto"/>
        <w:bottom w:val="none" w:sz="0" w:space="0" w:color="auto"/>
        <w:right w:val="none" w:sz="0" w:space="0" w:color="auto"/>
      </w:divBdr>
    </w:div>
    <w:div w:id="1714620378">
      <w:bodyDiv w:val="1"/>
      <w:marLeft w:val="0"/>
      <w:marRight w:val="0"/>
      <w:marTop w:val="0"/>
      <w:marBottom w:val="0"/>
      <w:divBdr>
        <w:top w:val="none" w:sz="0" w:space="0" w:color="auto"/>
        <w:left w:val="none" w:sz="0" w:space="0" w:color="auto"/>
        <w:bottom w:val="none" w:sz="0" w:space="0" w:color="auto"/>
        <w:right w:val="none" w:sz="0" w:space="0" w:color="auto"/>
      </w:divBdr>
    </w:div>
    <w:div w:id="1764258712">
      <w:bodyDiv w:val="1"/>
      <w:marLeft w:val="0"/>
      <w:marRight w:val="0"/>
      <w:marTop w:val="0"/>
      <w:marBottom w:val="0"/>
      <w:divBdr>
        <w:top w:val="none" w:sz="0" w:space="0" w:color="auto"/>
        <w:left w:val="none" w:sz="0" w:space="0" w:color="auto"/>
        <w:bottom w:val="none" w:sz="0" w:space="0" w:color="auto"/>
        <w:right w:val="none" w:sz="0" w:space="0" w:color="auto"/>
      </w:divBdr>
    </w:div>
    <w:div w:id="1774280121">
      <w:bodyDiv w:val="1"/>
      <w:marLeft w:val="0"/>
      <w:marRight w:val="0"/>
      <w:marTop w:val="0"/>
      <w:marBottom w:val="0"/>
      <w:divBdr>
        <w:top w:val="none" w:sz="0" w:space="0" w:color="auto"/>
        <w:left w:val="none" w:sz="0" w:space="0" w:color="auto"/>
        <w:bottom w:val="none" w:sz="0" w:space="0" w:color="auto"/>
        <w:right w:val="none" w:sz="0" w:space="0" w:color="auto"/>
      </w:divBdr>
    </w:div>
    <w:div w:id="1791431488">
      <w:bodyDiv w:val="1"/>
      <w:marLeft w:val="0"/>
      <w:marRight w:val="0"/>
      <w:marTop w:val="0"/>
      <w:marBottom w:val="0"/>
      <w:divBdr>
        <w:top w:val="none" w:sz="0" w:space="0" w:color="auto"/>
        <w:left w:val="none" w:sz="0" w:space="0" w:color="auto"/>
        <w:bottom w:val="none" w:sz="0" w:space="0" w:color="auto"/>
        <w:right w:val="none" w:sz="0" w:space="0" w:color="auto"/>
      </w:divBdr>
    </w:div>
    <w:div w:id="1798914860">
      <w:bodyDiv w:val="1"/>
      <w:marLeft w:val="0"/>
      <w:marRight w:val="0"/>
      <w:marTop w:val="0"/>
      <w:marBottom w:val="0"/>
      <w:divBdr>
        <w:top w:val="none" w:sz="0" w:space="0" w:color="auto"/>
        <w:left w:val="none" w:sz="0" w:space="0" w:color="auto"/>
        <w:bottom w:val="none" w:sz="0" w:space="0" w:color="auto"/>
        <w:right w:val="none" w:sz="0" w:space="0" w:color="auto"/>
      </w:divBdr>
    </w:div>
    <w:div w:id="1814105575">
      <w:bodyDiv w:val="1"/>
      <w:marLeft w:val="0"/>
      <w:marRight w:val="0"/>
      <w:marTop w:val="0"/>
      <w:marBottom w:val="0"/>
      <w:divBdr>
        <w:top w:val="none" w:sz="0" w:space="0" w:color="auto"/>
        <w:left w:val="none" w:sz="0" w:space="0" w:color="auto"/>
        <w:bottom w:val="none" w:sz="0" w:space="0" w:color="auto"/>
        <w:right w:val="none" w:sz="0" w:space="0" w:color="auto"/>
      </w:divBdr>
    </w:div>
    <w:div w:id="1821073380">
      <w:bodyDiv w:val="1"/>
      <w:marLeft w:val="0"/>
      <w:marRight w:val="0"/>
      <w:marTop w:val="0"/>
      <w:marBottom w:val="0"/>
      <w:divBdr>
        <w:top w:val="none" w:sz="0" w:space="0" w:color="auto"/>
        <w:left w:val="none" w:sz="0" w:space="0" w:color="auto"/>
        <w:bottom w:val="none" w:sz="0" w:space="0" w:color="auto"/>
        <w:right w:val="none" w:sz="0" w:space="0" w:color="auto"/>
      </w:divBdr>
    </w:div>
    <w:div w:id="1853493418">
      <w:bodyDiv w:val="1"/>
      <w:marLeft w:val="0"/>
      <w:marRight w:val="0"/>
      <w:marTop w:val="0"/>
      <w:marBottom w:val="0"/>
      <w:divBdr>
        <w:top w:val="none" w:sz="0" w:space="0" w:color="auto"/>
        <w:left w:val="none" w:sz="0" w:space="0" w:color="auto"/>
        <w:bottom w:val="none" w:sz="0" w:space="0" w:color="auto"/>
        <w:right w:val="none" w:sz="0" w:space="0" w:color="auto"/>
      </w:divBdr>
      <w:divsChild>
        <w:div w:id="90244151">
          <w:marLeft w:val="0"/>
          <w:marRight w:val="0"/>
          <w:marTop w:val="0"/>
          <w:marBottom w:val="0"/>
          <w:divBdr>
            <w:top w:val="none" w:sz="0" w:space="0" w:color="auto"/>
            <w:left w:val="none" w:sz="0" w:space="0" w:color="auto"/>
            <w:bottom w:val="none" w:sz="0" w:space="0" w:color="auto"/>
            <w:right w:val="none" w:sz="0" w:space="0" w:color="auto"/>
          </w:divBdr>
          <w:divsChild>
            <w:div w:id="1877427335">
              <w:marLeft w:val="0"/>
              <w:marRight w:val="0"/>
              <w:marTop w:val="0"/>
              <w:marBottom w:val="0"/>
              <w:divBdr>
                <w:top w:val="none" w:sz="0" w:space="0" w:color="auto"/>
                <w:left w:val="none" w:sz="0" w:space="0" w:color="auto"/>
                <w:bottom w:val="none" w:sz="0" w:space="0" w:color="auto"/>
                <w:right w:val="none" w:sz="0" w:space="0" w:color="auto"/>
              </w:divBdr>
              <w:divsChild>
                <w:div w:id="1187134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9280897">
          <w:marLeft w:val="0"/>
          <w:marRight w:val="0"/>
          <w:marTop w:val="0"/>
          <w:marBottom w:val="0"/>
          <w:divBdr>
            <w:top w:val="none" w:sz="0" w:space="0" w:color="auto"/>
            <w:left w:val="none" w:sz="0" w:space="0" w:color="auto"/>
            <w:bottom w:val="none" w:sz="0" w:space="0" w:color="auto"/>
            <w:right w:val="none" w:sz="0" w:space="0" w:color="auto"/>
          </w:divBdr>
          <w:divsChild>
            <w:div w:id="236063175">
              <w:marLeft w:val="0"/>
              <w:marRight w:val="0"/>
              <w:marTop w:val="0"/>
              <w:marBottom w:val="0"/>
              <w:divBdr>
                <w:top w:val="none" w:sz="0" w:space="0" w:color="auto"/>
                <w:left w:val="none" w:sz="0" w:space="0" w:color="auto"/>
                <w:bottom w:val="none" w:sz="0" w:space="0" w:color="auto"/>
                <w:right w:val="none" w:sz="0" w:space="0" w:color="auto"/>
              </w:divBdr>
              <w:divsChild>
                <w:div w:id="12715474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2931005">
          <w:marLeft w:val="0"/>
          <w:marRight w:val="0"/>
          <w:marTop w:val="0"/>
          <w:marBottom w:val="0"/>
          <w:divBdr>
            <w:top w:val="none" w:sz="0" w:space="0" w:color="auto"/>
            <w:left w:val="none" w:sz="0" w:space="0" w:color="auto"/>
            <w:bottom w:val="none" w:sz="0" w:space="0" w:color="auto"/>
            <w:right w:val="none" w:sz="0" w:space="0" w:color="auto"/>
          </w:divBdr>
          <w:divsChild>
            <w:div w:id="1669551921">
              <w:marLeft w:val="0"/>
              <w:marRight w:val="0"/>
              <w:marTop w:val="0"/>
              <w:marBottom w:val="0"/>
              <w:divBdr>
                <w:top w:val="none" w:sz="0" w:space="0" w:color="auto"/>
                <w:left w:val="none" w:sz="0" w:space="0" w:color="auto"/>
                <w:bottom w:val="none" w:sz="0" w:space="0" w:color="auto"/>
                <w:right w:val="none" w:sz="0" w:space="0" w:color="auto"/>
              </w:divBdr>
              <w:divsChild>
                <w:div w:id="1538397956">
                  <w:marLeft w:val="-420"/>
                  <w:marRight w:val="0"/>
                  <w:marTop w:val="0"/>
                  <w:marBottom w:val="0"/>
                  <w:divBdr>
                    <w:top w:val="none" w:sz="0" w:space="0" w:color="auto"/>
                    <w:left w:val="none" w:sz="0" w:space="0" w:color="auto"/>
                    <w:bottom w:val="none" w:sz="0" w:space="0" w:color="auto"/>
                    <w:right w:val="none" w:sz="0" w:space="0" w:color="auto"/>
                  </w:divBdr>
                  <w:divsChild>
                    <w:div w:id="820662250">
                      <w:marLeft w:val="0"/>
                      <w:marRight w:val="0"/>
                      <w:marTop w:val="0"/>
                      <w:marBottom w:val="0"/>
                      <w:divBdr>
                        <w:top w:val="none" w:sz="0" w:space="0" w:color="auto"/>
                        <w:left w:val="none" w:sz="0" w:space="0" w:color="auto"/>
                        <w:bottom w:val="none" w:sz="0" w:space="0" w:color="auto"/>
                        <w:right w:val="none" w:sz="0" w:space="0" w:color="auto"/>
                      </w:divBdr>
                      <w:divsChild>
                        <w:div w:id="1135483710">
                          <w:marLeft w:val="0"/>
                          <w:marRight w:val="0"/>
                          <w:marTop w:val="0"/>
                          <w:marBottom w:val="0"/>
                          <w:divBdr>
                            <w:top w:val="none" w:sz="0" w:space="0" w:color="auto"/>
                            <w:left w:val="none" w:sz="0" w:space="0" w:color="auto"/>
                            <w:bottom w:val="none" w:sz="0" w:space="0" w:color="auto"/>
                            <w:right w:val="none" w:sz="0" w:space="0" w:color="auto"/>
                          </w:divBdr>
                          <w:divsChild>
                            <w:div w:id="875505812">
                              <w:marLeft w:val="0"/>
                              <w:marRight w:val="0"/>
                              <w:marTop w:val="0"/>
                              <w:marBottom w:val="0"/>
                              <w:divBdr>
                                <w:top w:val="none" w:sz="0" w:space="0" w:color="auto"/>
                                <w:left w:val="none" w:sz="0" w:space="0" w:color="auto"/>
                                <w:bottom w:val="none" w:sz="0" w:space="0" w:color="auto"/>
                                <w:right w:val="none" w:sz="0" w:space="0" w:color="auto"/>
                              </w:divBdr>
                            </w:div>
                            <w:div w:id="11825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3192">
                  <w:marLeft w:val="-420"/>
                  <w:marRight w:val="0"/>
                  <w:marTop w:val="0"/>
                  <w:marBottom w:val="0"/>
                  <w:divBdr>
                    <w:top w:val="none" w:sz="0" w:space="0" w:color="auto"/>
                    <w:left w:val="none" w:sz="0" w:space="0" w:color="auto"/>
                    <w:bottom w:val="none" w:sz="0" w:space="0" w:color="auto"/>
                    <w:right w:val="none" w:sz="0" w:space="0" w:color="auto"/>
                  </w:divBdr>
                  <w:divsChild>
                    <w:div w:id="1663511785">
                      <w:marLeft w:val="0"/>
                      <w:marRight w:val="0"/>
                      <w:marTop w:val="0"/>
                      <w:marBottom w:val="0"/>
                      <w:divBdr>
                        <w:top w:val="none" w:sz="0" w:space="0" w:color="auto"/>
                        <w:left w:val="none" w:sz="0" w:space="0" w:color="auto"/>
                        <w:bottom w:val="none" w:sz="0" w:space="0" w:color="auto"/>
                        <w:right w:val="none" w:sz="0" w:space="0" w:color="auto"/>
                      </w:divBdr>
                      <w:divsChild>
                        <w:div w:id="178157279">
                          <w:marLeft w:val="0"/>
                          <w:marRight w:val="0"/>
                          <w:marTop w:val="0"/>
                          <w:marBottom w:val="0"/>
                          <w:divBdr>
                            <w:top w:val="none" w:sz="0" w:space="0" w:color="auto"/>
                            <w:left w:val="none" w:sz="0" w:space="0" w:color="auto"/>
                            <w:bottom w:val="none" w:sz="0" w:space="0" w:color="auto"/>
                            <w:right w:val="none" w:sz="0" w:space="0" w:color="auto"/>
                          </w:divBdr>
                          <w:divsChild>
                            <w:div w:id="213080233">
                              <w:marLeft w:val="0"/>
                              <w:marRight w:val="0"/>
                              <w:marTop w:val="0"/>
                              <w:marBottom w:val="0"/>
                              <w:divBdr>
                                <w:top w:val="none" w:sz="0" w:space="0" w:color="auto"/>
                                <w:left w:val="none" w:sz="0" w:space="0" w:color="auto"/>
                                <w:bottom w:val="none" w:sz="0" w:space="0" w:color="auto"/>
                                <w:right w:val="none" w:sz="0" w:space="0" w:color="auto"/>
                              </w:divBdr>
                            </w:div>
                            <w:div w:id="565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556068">
      <w:bodyDiv w:val="1"/>
      <w:marLeft w:val="0"/>
      <w:marRight w:val="0"/>
      <w:marTop w:val="0"/>
      <w:marBottom w:val="0"/>
      <w:divBdr>
        <w:top w:val="none" w:sz="0" w:space="0" w:color="auto"/>
        <w:left w:val="none" w:sz="0" w:space="0" w:color="auto"/>
        <w:bottom w:val="none" w:sz="0" w:space="0" w:color="auto"/>
        <w:right w:val="none" w:sz="0" w:space="0" w:color="auto"/>
      </w:divBdr>
    </w:div>
    <w:div w:id="1902790356">
      <w:bodyDiv w:val="1"/>
      <w:marLeft w:val="0"/>
      <w:marRight w:val="0"/>
      <w:marTop w:val="0"/>
      <w:marBottom w:val="0"/>
      <w:divBdr>
        <w:top w:val="none" w:sz="0" w:space="0" w:color="auto"/>
        <w:left w:val="none" w:sz="0" w:space="0" w:color="auto"/>
        <w:bottom w:val="none" w:sz="0" w:space="0" w:color="auto"/>
        <w:right w:val="none" w:sz="0" w:space="0" w:color="auto"/>
      </w:divBdr>
    </w:div>
    <w:div w:id="1961524548">
      <w:bodyDiv w:val="1"/>
      <w:marLeft w:val="0"/>
      <w:marRight w:val="0"/>
      <w:marTop w:val="0"/>
      <w:marBottom w:val="0"/>
      <w:divBdr>
        <w:top w:val="none" w:sz="0" w:space="0" w:color="auto"/>
        <w:left w:val="none" w:sz="0" w:space="0" w:color="auto"/>
        <w:bottom w:val="none" w:sz="0" w:space="0" w:color="auto"/>
        <w:right w:val="none" w:sz="0" w:space="0" w:color="auto"/>
      </w:divBdr>
    </w:div>
    <w:div w:id="1997877253">
      <w:bodyDiv w:val="1"/>
      <w:marLeft w:val="0"/>
      <w:marRight w:val="0"/>
      <w:marTop w:val="0"/>
      <w:marBottom w:val="0"/>
      <w:divBdr>
        <w:top w:val="none" w:sz="0" w:space="0" w:color="auto"/>
        <w:left w:val="none" w:sz="0" w:space="0" w:color="auto"/>
        <w:bottom w:val="none" w:sz="0" w:space="0" w:color="auto"/>
        <w:right w:val="none" w:sz="0" w:space="0" w:color="auto"/>
      </w:divBdr>
    </w:div>
    <w:div w:id="2010130804">
      <w:bodyDiv w:val="1"/>
      <w:marLeft w:val="0"/>
      <w:marRight w:val="0"/>
      <w:marTop w:val="0"/>
      <w:marBottom w:val="0"/>
      <w:divBdr>
        <w:top w:val="none" w:sz="0" w:space="0" w:color="auto"/>
        <w:left w:val="none" w:sz="0" w:space="0" w:color="auto"/>
        <w:bottom w:val="none" w:sz="0" w:space="0" w:color="auto"/>
        <w:right w:val="none" w:sz="0" w:space="0" w:color="auto"/>
      </w:divBdr>
    </w:div>
    <w:div w:id="2015839629">
      <w:bodyDiv w:val="1"/>
      <w:marLeft w:val="0"/>
      <w:marRight w:val="0"/>
      <w:marTop w:val="0"/>
      <w:marBottom w:val="0"/>
      <w:divBdr>
        <w:top w:val="none" w:sz="0" w:space="0" w:color="auto"/>
        <w:left w:val="none" w:sz="0" w:space="0" w:color="auto"/>
        <w:bottom w:val="none" w:sz="0" w:space="0" w:color="auto"/>
        <w:right w:val="none" w:sz="0" w:space="0" w:color="auto"/>
      </w:divBdr>
    </w:div>
    <w:div w:id="2038657512">
      <w:bodyDiv w:val="1"/>
      <w:marLeft w:val="0"/>
      <w:marRight w:val="0"/>
      <w:marTop w:val="0"/>
      <w:marBottom w:val="0"/>
      <w:divBdr>
        <w:top w:val="none" w:sz="0" w:space="0" w:color="auto"/>
        <w:left w:val="none" w:sz="0" w:space="0" w:color="auto"/>
        <w:bottom w:val="none" w:sz="0" w:space="0" w:color="auto"/>
        <w:right w:val="none" w:sz="0" w:space="0" w:color="auto"/>
      </w:divBdr>
    </w:div>
    <w:div w:id="2046905949">
      <w:bodyDiv w:val="1"/>
      <w:marLeft w:val="0"/>
      <w:marRight w:val="0"/>
      <w:marTop w:val="0"/>
      <w:marBottom w:val="0"/>
      <w:divBdr>
        <w:top w:val="none" w:sz="0" w:space="0" w:color="auto"/>
        <w:left w:val="none" w:sz="0" w:space="0" w:color="auto"/>
        <w:bottom w:val="none" w:sz="0" w:space="0" w:color="auto"/>
        <w:right w:val="none" w:sz="0" w:space="0" w:color="auto"/>
      </w:divBdr>
    </w:div>
    <w:div w:id="2054228563">
      <w:bodyDiv w:val="1"/>
      <w:marLeft w:val="0"/>
      <w:marRight w:val="0"/>
      <w:marTop w:val="0"/>
      <w:marBottom w:val="0"/>
      <w:divBdr>
        <w:top w:val="none" w:sz="0" w:space="0" w:color="auto"/>
        <w:left w:val="none" w:sz="0" w:space="0" w:color="auto"/>
        <w:bottom w:val="none" w:sz="0" w:space="0" w:color="auto"/>
        <w:right w:val="none" w:sz="0" w:space="0" w:color="auto"/>
      </w:divBdr>
    </w:div>
    <w:div w:id="2076078042">
      <w:bodyDiv w:val="1"/>
      <w:marLeft w:val="0"/>
      <w:marRight w:val="0"/>
      <w:marTop w:val="0"/>
      <w:marBottom w:val="0"/>
      <w:divBdr>
        <w:top w:val="none" w:sz="0" w:space="0" w:color="auto"/>
        <w:left w:val="none" w:sz="0" w:space="0" w:color="auto"/>
        <w:bottom w:val="none" w:sz="0" w:space="0" w:color="auto"/>
        <w:right w:val="none" w:sz="0" w:space="0" w:color="auto"/>
      </w:divBdr>
    </w:div>
    <w:div w:id="2082561085">
      <w:bodyDiv w:val="1"/>
      <w:marLeft w:val="0"/>
      <w:marRight w:val="0"/>
      <w:marTop w:val="0"/>
      <w:marBottom w:val="0"/>
      <w:divBdr>
        <w:top w:val="none" w:sz="0" w:space="0" w:color="auto"/>
        <w:left w:val="none" w:sz="0" w:space="0" w:color="auto"/>
        <w:bottom w:val="none" w:sz="0" w:space="0" w:color="auto"/>
        <w:right w:val="none" w:sz="0" w:space="0" w:color="auto"/>
      </w:divBdr>
    </w:div>
    <w:div w:id="2095318142">
      <w:bodyDiv w:val="1"/>
      <w:marLeft w:val="0"/>
      <w:marRight w:val="0"/>
      <w:marTop w:val="0"/>
      <w:marBottom w:val="0"/>
      <w:divBdr>
        <w:top w:val="none" w:sz="0" w:space="0" w:color="auto"/>
        <w:left w:val="none" w:sz="0" w:space="0" w:color="auto"/>
        <w:bottom w:val="none" w:sz="0" w:space="0" w:color="auto"/>
        <w:right w:val="none" w:sz="0" w:space="0" w:color="auto"/>
      </w:divBdr>
    </w:div>
    <w:div w:id="21036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yyan.a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 dockstate="right" visibility="0" width="525"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D903DCF-15EA-4230-BAAD-E5EC53253722}">
  <we:reference id="e22f1a2d-2826-4e63-97f6-33b99c0ae228" version="2.0.0.0" store="EXCatalog" storeType="EXCatalog"/>
  <we:alternateReferences>
    <we:reference id="WA104379370" version="2.0.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FAD6A50-20EB-410E-B5D2-87DE2F034424}">
  <we:reference id="e6890d58-51ce-4572-9272-a9ab2dd6f31e" version="1.1.0.0" store="EXCatalog" storeType="EXCatalog"/>
  <we:alternateReferences>
    <we:reference id="WA200002334" version="1.1.0.0" store="en-GB"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CF00029-5DAB-4FE4-A8C6-F981BCF59611}">
  <we:reference id="4b785c87-866c-4bad-85d8-5d1ae467ac9a" version="3.18.2.0" store="EXCatalog" storeType="EXCatalog"/>
  <we:alternateReferences>
    <we:reference id="WA104381909" version="3.18.2.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519C0-E89D-4782-B98E-86E04D52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8693</TotalTime>
  <Pages>22</Pages>
  <Words>30187</Words>
  <Characters>172069</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 Mati Asefa</dc:creator>
  <cp:keywords/>
  <dc:description/>
  <cp:lastModifiedBy>Elsai Asefa</cp:lastModifiedBy>
  <cp:revision>602</cp:revision>
  <dcterms:created xsi:type="dcterms:W3CDTF">2025-04-05T14:22:00Z</dcterms:created>
  <dcterms:modified xsi:type="dcterms:W3CDTF">2025-07-19T11:54:00Z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http://www.zotero.org/styles/elsevier-harvard</vt:lpwstr>
  </property>
  <property fmtid="{D5CDD505-2E9C-101B-9397-08002B2CF9AE}" pid="7" name="Mendeley Recent Style Name 2_1">
    <vt:lpwstr>Elsevier - Harvard (with titles)</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http://www.zotero.org/styles/nature</vt:lpwstr>
  </property>
  <property fmtid="{D5CDD505-2E9C-101B-9397-08002B2CF9AE}" pid="11" name="Mendeley Recent Style Name 4_1">
    <vt:lpwstr>Nature</vt:lpwstr>
  </property>
  <property fmtid="{D5CDD505-2E9C-101B-9397-08002B2CF9AE}" pid="12" name="Mendeley Recent Style Id 5_1">
    <vt:lpwstr>http://www.zotero.org/styles/nature-communications</vt:lpwstr>
  </property>
  <property fmtid="{D5CDD505-2E9C-101B-9397-08002B2CF9AE}" pid="13" name="Mendeley Recent Style Name 5_1">
    <vt:lpwstr>Nature Communications</vt:lpwstr>
  </property>
  <property fmtid="{D5CDD505-2E9C-101B-9397-08002B2CF9AE}" pid="14" name="Mendeley Recent Style Id 6_1">
    <vt:lpwstr>http://www.zotero.org/styles/norsk-apa-manual</vt:lpwstr>
  </property>
  <property fmtid="{D5CDD505-2E9C-101B-9397-08002B2CF9AE}" pid="15" name="Mendeley Recent Style Name 6_1">
    <vt:lpwstr>Norsk APA-manual - APA 7th edition (author-date)</vt:lpwstr>
  </property>
  <property fmtid="{D5CDD505-2E9C-101B-9397-08002B2CF9AE}" pid="16" name="Mendeley Recent Style Id 7_1">
    <vt:lpwstr>http://www.zotero.org/styles/university-of-york-apa</vt:lpwstr>
  </property>
  <property fmtid="{D5CDD505-2E9C-101B-9397-08002B2CF9AE}" pid="17" name="Mendeley Recent Style Name 7_1">
    <vt:lpwstr>University of York - APA 6th edition</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http://www.zotero.org/styles/vancouver-superscript-only-year</vt:lpwstr>
  </property>
  <property fmtid="{D5CDD505-2E9C-101B-9397-08002B2CF9AE}" pid="21" name="Mendeley Recent Style Name 9_1">
    <vt:lpwstr>Vancouver (superscript, only year in date, no issue numbers)</vt:lpwstr>
  </property>
  <property fmtid="{D5CDD505-2E9C-101B-9397-08002B2CF9AE}" pid="22" name="Mendeley Document_1">
    <vt:lpwstr>True</vt:lpwstr>
  </property>
  <property fmtid="{D5CDD505-2E9C-101B-9397-08002B2CF9AE}" pid="23" name="Mendeley Unique User Id_1">
    <vt:lpwstr>fffcb752-5b66-3c5d-8a29-1f7c35352665</vt:lpwstr>
  </property>
  <property fmtid="{D5CDD505-2E9C-101B-9397-08002B2CF9AE}" pid="24" name="Mendeley Citation Style_1">
    <vt:lpwstr>http://www.zotero.org/styles/emerald-harvard</vt:lpwstr>
  </property>
</Properties>
</file>