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7B2F" w14:textId="2CE97FBE" w:rsidR="00280BF8" w:rsidRDefault="00280BF8" w:rsidP="00280BF8">
      <w:pPr>
        <w:pStyle w:val="Title"/>
      </w:pPr>
      <w:r>
        <w:t>The Tax Cuts and Jobs Act</w:t>
      </w:r>
      <w:r w:rsidR="009E34F8">
        <w:t>’s</w:t>
      </w:r>
      <w:r>
        <w:t xml:space="preserve"> Effects</w:t>
      </w:r>
      <w:r w:rsidR="00BA3016">
        <w:t xml:space="preserve"> by C</w:t>
      </w:r>
      <w:r>
        <w:t>ongressional District</w:t>
      </w:r>
    </w:p>
    <w:p w14:paraId="4C185575" w14:textId="77777777" w:rsidR="00280BF8" w:rsidRPr="00280BF8" w:rsidRDefault="00280BF8" w:rsidP="00280BF8"/>
    <w:p w14:paraId="45568169" w14:textId="1902F972" w:rsidR="00AD3672" w:rsidRDefault="009630EF" w:rsidP="009C5C2D">
      <w:r>
        <w:t xml:space="preserve">The Tax Cuts and Jobs Act lowered income taxes for the vast majority of Americans, but </w:t>
      </w:r>
      <w:r w:rsidR="00AD3672">
        <w:t xml:space="preserve">there are geographic disparities when it comes </w:t>
      </w:r>
      <w:r w:rsidR="000012CE">
        <w:t xml:space="preserve">to the impact of the law. </w:t>
      </w:r>
      <w:r>
        <w:t xml:space="preserve">High-income tax filers, particularly in high-tax states, are </w:t>
      </w:r>
      <w:proofErr w:type="gramStart"/>
      <w:r>
        <w:t>impacted</w:t>
      </w:r>
      <w:proofErr w:type="gramEnd"/>
      <w:r>
        <w:t xml:space="preserve"> differently than middle-income filers due to the new $10,000 cap on the deduction for state and local taxes paid. Family size matters too; the new child tax credit lowers taxes for a number of filers.</w:t>
      </w:r>
      <w:r w:rsidR="00717F5F">
        <w:t xml:space="preserve"> </w:t>
      </w:r>
      <w:r>
        <w:t>N</w:t>
      </w:r>
      <w:r w:rsidR="00AD3672">
        <w:t xml:space="preserve">ot everyone in the country </w:t>
      </w:r>
      <w:proofErr w:type="gramStart"/>
      <w:r>
        <w:t xml:space="preserve">is </w:t>
      </w:r>
      <w:r w:rsidR="00AD3672">
        <w:t>affected</w:t>
      </w:r>
      <w:proofErr w:type="gramEnd"/>
      <w:r w:rsidR="00AD3672">
        <w:t xml:space="preserve"> in the same way.</w:t>
      </w:r>
      <w:bookmarkStart w:id="0" w:name="_GoBack"/>
      <w:bookmarkEnd w:id="0"/>
    </w:p>
    <w:p w14:paraId="22285292" w14:textId="3AE74BBA" w:rsidR="007320B5" w:rsidRDefault="007320B5" w:rsidP="009C5C2D">
      <w:r>
        <w:t xml:space="preserve">For example, </w:t>
      </w:r>
      <w:r w:rsidR="0058257E">
        <w:t xml:space="preserve">below is a comparison between </w:t>
      </w:r>
      <w:r w:rsidR="009E34F8">
        <w:t>average</w:t>
      </w:r>
      <w:r w:rsidR="00900104">
        <w:t xml:space="preserve"> </w:t>
      </w:r>
      <w:r w:rsidR="009E34F8">
        <w:t xml:space="preserve">taxpayers in </w:t>
      </w:r>
      <w:r w:rsidR="009E34F8" w:rsidRPr="009E34F8">
        <w:t>Los Angeles County, California</w:t>
      </w:r>
      <w:r w:rsidR="009E34F8">
        <w:t xml:space="preserve"> and </w:t>
      </w:r>
      <w:r w:rsidR="009E34F8" w:rsidRPr="009E34F8">
        <w:t>Minnehaha County, South Dakota</w:t>
      </w:r>
      <w:r w:rsidR="0058257E" w:rsidRPr="0058257E">
        <w:t xml:space="preserve"> </w:t>
      </w:r>
      <w:r w:rsidR="0058257E">
        <w:t>with adjusted gross incomes between $100k and $200k</w:t>
      </w:r>
      <w:r w:rsidR="009E34F8">
        <w:t>.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3200"/>
        <w:gridCol w:w="2980"/>
        <w:gridCol w:w="3280"/>
      </w:tblGrid>
      <w:tr w:rsidR="009E34F8" w:rsidRPr="009E34F8" w14:paraId="5DC6C35E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82E" w14:textId="77777777" w:rsidR="009E34F8" w:rsidRPr="009E34F8" w:rsidRDefault="009E34F8" w:rsidP="009E3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C432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34F8">
              <w:rPr>
                <w:rFonts w:ascii="Calibri" w:eastAsia="Times New Roman" w:hAnsi="Calibri" w:cs="Calibri"/>
                <w:b/>
                <w:bCs/>
                <w:color w:val="000000"/>
              </w:rPr>
              <w:t>Los Angeles County, California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094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34F8">
              <w:rPr>
                <w:rFonts w:ascii="Calibri" w:eastAsia="Times New Roman" w:hAnsi="Calibri" w:cs="Calibri"/>
                <w:b/>
                <w:bCs/>
                <w:color w:val="000000"/>
              </w:rPr>
              <w:t>Minnehaha County, South Dakota</w:t>
            </w:r>
          </w:p>
        </w:tc>
      </w:tr>
      <w:tr w:rsidR="009E34F8" w:rsidRPr="009E34F8" w14:paraId="7CF3A62B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D2AE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Filing Status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568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Married, Joint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1977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Married, Joint</w:t>
            </w:r>
          </w:p>
        </w:tc>
      </w:tr>
      <w:tr w:rsidR="009E34F8" w:rsidRPr="009E34F8" w14:paraId="0C115D0F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CBD0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BEB5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FEEC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9E34F8" w:rsidRPr="009E34F8" w14:paraId="0B54DA92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BA34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Ordinary Income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7BE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$122,662.46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F79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$114,647.83</w:t>
            </w:r>
          </w:p>
        </w:tc>
      </w:tr>
      <w:tr w:rsidR="009E34F8" w:rsidRPr="009E34F8" w14:paraId="6E9C319D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BCB3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Business Income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F891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$9,759.73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AED6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$10,688.14</w:t>
            </w:r>
          </w:p>
        </w:tc>
      </w:tr>
      <w:tr w:rsidR="009E34F8" w:rsidRPr="009E34F8" w14:paraId="3EE5952E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71F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Qualified Income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7077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$4,586.86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6FA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$6,127.89</w:t>
            </w:r>
          </w:p>
        </w:tc>
      </w:tr>
      <w:tr w:rsidR="009E34F8" w:rsidRPr="009E34F8" w14:paraId="186CF6C7" w14:textId="77777777" w:rsidTr="009E34F8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CFD2" w14:textId="77777777" w:rsidR="009E34F8" w:rsidRPr="009E34F8" w:rsidRDefault="009E34F8" w:rsidP="009E3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Total Income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510D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$137,009.05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4E8C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$131,463.86</w:t>
            </w:r>
          </w:p>
        </w:tc>
      </w:tr>
      <w:tr w:rsidR="009E34F8" w:rsidRPr="009E34F8" w14:paraId="041B2D33" w14:textId="77777777" w:rsidTr="009E34F8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E053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S&amp;L Income/Sales Tax Deduction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942F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$8,132.59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CC94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$2,209.82</w:t>
            </w:r>
          </w:p>
        </w:tc>
      </w:tr>
      <w:tr w:rsidR="009E34F8" w:rsidRPr="009E34F8" w14:paraId="7F1B6C78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B26E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S&amp;L Property Tax Deduction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E294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$4,487.45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F94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$4,001.61</w:t>
            </w:r>
          </w:p>
        </w:tc>
      </w:tr>
      <w:tr w:rsidR="009E34F8" w:rsidRPr="009E34F8" w14:paraId="1A09AAD0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3386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Interest Paid Deduction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864E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$9,367.39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2405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$6,475.89</w:t>
            </w:r>
          </w:p>
        </w:tc>
      </w:tr>
      <w:tr w:rsidR="009E34F8" w:rsidRPr="009E34F8" w14:paraId="143C94B5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C9D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Charity Contributions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35EF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$3,362.53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840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$4,751.43</w:t>
            </w:r>
          </w:p>
        </w:tc>
      </w:tr>
      <w:tr w:rsidR="009E34F8" w:rsidRPr="009E34F8" w14:paraId="614941D1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9521" w14:textId="77777777" w:rsidR="009E34F8" w:rsidRPr="009E34F8" w:rsidRDefault="009E34F8" w:rsidP="009E3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Other Itemized Deductions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07B9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$5,695.80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4468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4F8">
              <w:rPr>
                <w:rFonts w:ascii="Calibri" w:eastAsia="Times New Roman" w:hAnsi="Calibri" w:cs="Calibri"/>
                <w:color w:val="000000"/>
              </w:rPr>
              <w:t>$4,121.96</w:t>
            </w:r>
          </w:p>
        </w:tc>
      </w:tr>
      <w:tr w:rsidR="009E34F8" w:rsidRPr="009E34F8" w14:paraId="1B8B06B2" w14:textId="77777777" w:rsidTr="009E34F8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C877" w14:textId="77777777" w:rsidR="009E34F8" w:rsidRPr="009E34F8" w:rsidRDefault="009E34F8" w:rsidP="009E3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Total Deductions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D5964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$31,045.76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3B34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E34F8">
              <w:rPr>
                <w:rFonts w:ascii="Calibri" w:eastAsia="Times New Roman" w:hAnsi="Calibri" w:cs="Calibri"/>
                <w:i/>
                <w:iCs/>
                <w:color w:val="000000"/>
              </w:rPr>
              <w:t>$21,560.71</w:t>
            </w:r>
          </w:p>
        </w:tc>
      </w:tr>
      <w:tr w:rsidR="009E34F8" w:rsidRPr="009E34F8" w14:paraId="6D5D4528" w14:textId="77777777" w:rsidTr="009E34F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951C" w14:textId="77777777" w:rsidR="009E34F8" w:rsidRPr="009E34F8" w:rsidRDefault="009E34F8" w:rsidP="009E3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34F8">
              <w:rPr>
                <w:rFonts w:ascii="Calibri" w:eastAsia="Times New Roman" w:hAnsi="Calibri" w:cs="Calibri"/>
                <w:b/>
                <w:bCs/>
                <w:color w:val="000000"/>
              </w:rPr>
              <w:t>Change in After-Tax Income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20BA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34F8">
              <w:rPr>
                <w:rFonts w:ascii="Calibri" w:eastAsia="Times New Roman" w:hAnsi="Calibri" w:cs="Calibri"/>
                <w:b/>
                <w:bCs/>
                <w:color w:val="000000"/>
              </w:rPr>
              <w:t>$1,403.00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2F8" w14:textId="77777777" w:rsidR="009E34F8" w:rsidRPr="009E34F8" w:rsidRDefault="009E34F8" w:rsidP="009E34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34F8">
              <w:rPr>
                <w:rFonts w:ascii="Calibri" w:eastAsia="Times New Roman" w:hAnsi="Calibri" w:cs="Calibri"/>
                <w:b/>
                <w:bCs/>
                <w:color w:val="000000"/>
              </w:rPr>
              <w:t>$2,693.00</w:t>
            </w:r>
          </w:p>
        </w:tc>
      </w:tr>
    </w:tbl>
    <w:p w14:paraId="00285326" w14:textId="77777777" w:rsidR="009E34F8" w:rsidRDefault="009E34F8" w:rsidP="009C5C2D"/>
    <w:p w14:paraId="6B649F7D" w14:textId="02639C7C" w:rsidR="009C5C2D" w:rsidRDefault="009E34F8" w:rsidP="003515D6">
      <w:r>
        <w:t xml:space="preserve">As </w:t>
      </w:r>
      <w:proofErr w:type="gramStart"/>
      <w:r>
        <w:t>demonstrated</w:t>
      </w:r>
      <w:proofErr w:type="gramEnd"/>
      <w:r>
        <w:t xml:space="preserve"> in the table above, taxpayers from different states and counties can have significantly different estimates in changes to after-tax income. To </w:t>
      </w:r>
      <w:r w:rsidR="00B7324B">
        <w:t>help illustrate the differences</w:t>
      </w:r>
      <w:r w:rsidR="00AD3672">
        <w:t xml:space="preserve">, we’ve </w:t>
      </w:r>
      <w:r w:rsidR="009630EF">
        <w:t>estimated the impact of the tax changes on</w:t>
      </w:r>
      <w:r w:rsidR="00AD3672">
        <w:t xml:space="preserve"> </w:t>
      </w:r>
      <w:r w:rsidR="00907260">
        <w:t>average</w:t>
      </w:r>
      <w:r w:rsidR="00AD3672">
        <w:t xml:space="preserve"> </w:t>
      </w:r>
      <w:r w:rsidR="00907260">
        <w:t xml:space="preserve">taxpayers </w:t>
      </w:r>
      <w:r w:rsidR="009630EF">
        <w:t>in every congressional district</w:t>
      </w:r>
      <w:r w:rsidR="000012CE">
        <w:t>.</w:t>
      </w:r>
      <w:r w:rsidR="00302E73">
        <w:t xml:space="preserve"> </w:t>
      </w:r>
    </w:p>
    <w:p w14:paraId="72D842F0" w14:textId="0EA15089" w:rsidR="009C5C2D" w:rsidRDefault="000012CE" w:rsidP="009C5C2D">
      <w:r>
        <w:t>Check out the map for yourself below.</w:t>
      </w:r>
    </w:p>
    <w:p w14:paraId="5D9B4267" w14:textId="65E22123" w:rsidR="000012CE" w:rsidRPr="009C5C2D" w:rsidRDefault="00105605" w:rsidP="009C5C2D">
      <w:r>
        <w:t>&lt;map or link to map&gt;</w:t>
      </w:r>
    </w:p>
    <w:p w14:paraId="725BE36E" w14:textId="377DAD0D" w:rsidR="00A92BB3" w:rsidRDefault="0041003C" w:rsidP="00CA59FA">
      <w:pPr>
        <w:pStyle w:val="Heading2"/>
      </w:pPr>
      <w:r>
        <w:t>Methodology</w:t>
      </w:r>
    </w:p>
    <w:p w14:paraId="3F852796" w14:textId="5908DDF7" w:rsidR="0041003C" w:rsidRDefault="000C73EA" w:rsidP="003515D6">
      <w:r>
        <w:t>To arrive at our figures, we</w:t>
      </w:r>
      <w:r w:rsidR="00B7324B">
        <w:t xml:space="preserve"> </w:t>
      </w:r>
      <w:r>
        <w:t xml:space="preserve">used </w:t>
      </w:r>
      <w:hyperlink r:id="rId6" w:history="1">
        <w:r w:rsidR="00907260" w:rsidRPr="00907260">
          <w:rPr>
            <w:rStyle w:val="Hyperlink"/>
          </w:rPr>
          <w:t>county level data provided by the I</w:t>
        </w:r>
        <w:r w:rsidR="009630EF">
          <w:rPr>
            <w:rStyle w:val="Hyperlink"/>
          </w:rPr>
          <w:t xml:space="preserve">nternal </w:t>
        </w:r>
        <w:r w:rsidR="00907260" w:rsidRPr="00907260">
          <w:rPr>
            <w:rStyle w:val="Hyperlink"/>
          </w:rPr>
          <w:t>R</w:t>
        </w:r>
        <w:r w:rsidR="009630EF">
          <w:rPr>
            <w:rStyle w:val="Hyperlink"/>
          </w:rPr>
          <w:t xml:space="preserve">evenue </w:t>
        </w:r>
        <w:r w:rsidR="00907260" w:rsidRPr="00907260">
          <w:rPr>
            <w:rStyle w:val="Hyperlink"/>
          </w:rPr>
          <w:t>S</w:t>
        </w:r>
      </w:hyperlink>
      <w:r w:rsidR="009630EF">
        <w:rPr>
          <w:rStyle w:val="Hyperlink"/>
        </w:rPr>
        <w:t>ervice (IRS)</w:t>
      </w:r>
      <w:r>
        <w:t>.</w:t>
      </w:r>
      <w:r w:rsidR="00B7324B">
        <w:t xml:space="preserve"> </w:t>
      </w:r>
      <w:r>
        <w:t xml:space="preserve">The </w:t>
      </w:r>
      <w:r w:rsidR="00907260">
        <w:t>IRS</w:t>
      </w:r>
      <w:r>
        <w:t xml:space="preserve"> dataset includes aggregate taxpayer statistics stratified by</w:t>
      </w:r>
      <w:r w:rsidR="00A91D8E">
        <w:t xml:space="preserve"> </w:t>
      </w:r>
      <w:r w:rsidR="001F61BB">
        <w:t>county and income level</w:t>
      </w:r>
      <w:r>
        <w:t>. For each stratum</w:t>
      </w:r>
      <w:r w:rsidR="00A91D8E">
        <w:t xml:space="preserve">, </w:t>
      </w:r>
      <w:r w:rsidR="00302E73">
        <w:t xml:space="preserve">we created </w:t>
      </w:r>
      <w:r w:rsidR="00907260">
        <w:t>six</w:t>
      </w:r>
      <w:r w:rsidR="00302E73">
        <w:t xml:space="preserve"> sample taxpayers</w:t>
      </w:r>
      <w:r w:rsidR="00E932AA">
        <w:t xml:space="preserve"> based on </w:t>
      </w:r>
      <w:r w:rsidR="00B762E5">
        <w:t>their</w:t>
      </w:r>
      <w:r w:rsidR="00E932AA">
        <w:t xml:space="preserve"> filing status and their election to itemize</w:t>
      </w:r>
      <w:r w:rsidR="00D22A68">
        <w:t xml:space="preserve"> deductions</w:t>
      </w:r>
      <w:r w:rsidR="00A91D8E">
        <w:t>.</w:t>
      </w:r>
      <w:r w:rsidR="00E932AA">
        <w:t xml:space="preserve"> For example,</w:t>
      </w:r>
      <w:r w:rsidR="001F61BB">
        <w:t xml:space="preserve"> both an itemizing and non-itemizing</w:t>
      </w:r>
      <w:r w:rsidR="006B5A26">
        <w:t xml:space="preserve"> single, married, and head of household taxpayer</w:t>
      </w:r>
      <w:r w:rsidR="001F61BB">
        <w:t xml:space="preserve"> were created</w:t>
      </w:r>
      <w:r w:rsidR="00D22A68">
        <w:t xml:space="preserve"> for each county and income level</w:t>
      </w:r>
      <w:r w:rsidR="001F61BB">
        <w:t xml:space="preserve">. </w:t>
      </w:r>
      <w:r w:rsidR="00A91D8E">
        <w:t xml:space="preserve">The </w:t>
      </w:r>
      <w:r w:rsidR="00537F57">
        <w:t>sample taxpayers</w:t>
      </w:r>
      <w:r w:rsidR="003515D6">
        <w:t>’</w:t>
      </w:r>
      <w:r w:rsidR="001F61BB">
        <w:t xml:space="preserve"> change in</w:t>
      </w:r>
      <w:r w:rsidR="00537F57">
        <w:t xml:space="preserve"> </w:t>
      </w:r>
      <w:r w:rsidR="00302E73">
        <w:t>tax liability</w:t>
      </w:r>
      <w:r w:rsidR="00537F57">
        <w:t xml:space="preserve"> </w:t>
      </w:r>
      <w:r w:rsidR="001F61BB">
        <w:t>since the</w:t>
      </w:r>
      <w:r w:rsidR="00537F57">
        <w:t xml:space="preserve"> Tax Cuts and Jobs Act</w:t>
      </w:r>
      <w:r w:rsidR="009C5C2D">
        <w:t xml:space="preserve"> (TCJA)</w:t>
      </w:r>
      <w:r w:rsidR="00E932AA">
        <w:t xml:space="preserve"> went into effect</w:t>
      </w:r>
      <w:r w:rsidR="00A91D8E">
        <w:t xml:space="preserve"> </w:t>
      </w:r>
      <w:r w:rsidR="001F61BB">
        <w:t>were</w:t>
      </w:r>
      <w:r w:rsidR="00A91D8E">
        <w:t xml:space="preserve"> then weighted by </w:t>
      </w:r>
      <w:r w:rsidR="009C5C2D">
        <w:t>their</w:t>
      </w:r>
      <w:r w:rsidR="00A91D8E">
        <w:t xml:space="preserve"> respective shares </w:t>
      </w:r>
      <w:r w:rsidR="00E932AA">
        <w:t>in each</w:t>
      </w:r>
      <w:r w:rsidR="00A91D8E">
        <w:t xml:space="preserve"> </w:t>
      </w:r>
      <w:r w:rsidR="00302E73">
        <w:t>stratum</w:t>
      </w:r>
      <w:r w:rsidR="00537F57">
        <w:t>.</w:t>
      </w:r>
    </w:p>
    <w:p w14:paraId="55F19AFE" w14:textId="219A6C3E" w:rsidR="004E6640" w:rsidRDefault="004E6640" w:rsidP="003515D6">
      <w:r>
        <w:t xml:space="preserve">For each taxpayer we </w:t>
      </w:r>
      <w:r w:rsidR="00D22A68">
        <w:t>modeled</w:t>
      </w:r>
      <w:r>
        <w:t xml:space="preserve"> wage income, taxable interest, ordinary and qualified dividends, long-term capital gains, b</w:t>
      </w:r>
      <w:r w:rsidRPr="004E6640">
        <w:t>usiness</w:t>
      </w:r>
      <w:r>
        <w:t>/</w:t>
      </w:r>
      <w:r w:rsidRPr="004E6640">
        <w:t>professional</w:t>
      </w:r>
      <w:r>
        <w:t xml:space="preserve"> income (schedule C), p</w:t>
      </w:r>
      <w:r w:rsidRPr="004E6640">
        <w:t>artnership/</w:t>
      </w:r>
      <w:r w:rsidR="00C9161F">
        <w:t>S</w:t>
      </w:r>
      <w:r w:rsidR="00717F5F">
        <w:t xml:space="preserve"> </w:t>
      </w:r>
      <w:r w:rsidRPr="004E6640">
        <w:t>corp</w:t>
      </w:r>
      <w:r>
        <w:t>oration income (schedule E)</w:t>
      </w:r>
      <w:r w:rsidR="00D22A68">
        <w:t>,</w:t>
      </w:r>
      <w:r>
        <w:t xml:space="preserve"> the state and local income</w:t>
      </w:r>
      <w:r w:rsidR="00D22A68">
        <w:t>/</w:t>
      </w:r>
      <w:r>
        <w:t>sales</w:t>
      </w:r>
      <w:r w:rsidR="00D22A68">
        <w:t xml:space="preserve"> tax</w:t>
      </w:r>
      <w:r>
        <w:t xml:space="preserve"> deduction, the state and local property</w:t>
      </w:r>
      <w:r w:rsidR="00D22A68">
        <w:t xml:space="preserve"> tax</w:t>
      </w:r>
      <w:r>
        <w:t xml:space="preserve"> deduction, the mortgage interest deduction, and the charitable contributions deduction. Single and head of household taxpayers were assumed to take half the itemized deductions of joint taxpayers </w:t>
      </w:r>
      <w:r w:rsidR="00D22A68">
        <w:t xml:space="preserve">in their stratum. Increased corporate </w:t>
      </w:r>
      <w:r w:rsidR="00726327">
        <w:t xml:space="preserve">profitability was modeled by </w:t>
      </w:r>
      <w:r w:rsidR="00D22A68">
        <w:t>scaling up taxpayers’ dividend</w:t>
      </w:r>
      <w:r w:rsidR="00726327">
        <w:t>s</w:t>
      </w:r>
      <w:r w:rsidR="00D22A68">
        <w:t xml:space="preserve"> and capital gain</w:t>
      </w:r>
      <w:r w:rsidR="00726327">
        <w:t xml:space="preserve">s in a manner in accordance with </w:t>
      </w:r>
      <w:hyperlink r:id="rId7" w:history="1">
        <w:r w:rsidR="00726327" w:rsidRPr="00726327">
          <w:rPr>
            <w:rStyle w:val="Hyperlink"/>
          </w:rPr>
          <w:t>the Taxes and Growth Model’s methodology</w:t>
        </w:r>
      </w:hyperlink>
      <w:r w:rsidR="00D22A68">
        <w:t>.</w:t>
      </w:r>
    </w:p>
    <w:p w14:paraId="0E3C6A80" w14:textId="335AB55B" w:rsidR="001F61BB" w:rsidRDefault="00B7324B" w:rsidP="003515D6">
      <w:r w:rsidRPr="00B7324B">
        <w:t>A statistical match was then performed using Tax Foundation calculations to align the county level results with their congressional districts</w:t>
      </w:r>
      <w:r w:rsidR="00726327">
        <w:t xml:space="preserve"> based on each counties’ respective population in each congressional district.</w:t>
      </w:r>
    </w:p>
    <w:p w14:paraId="5F14BDF2" w14:textId="77777777" w:rsidR="00C9161F" w:rsidRDefault="00CA59FA" w:rsidP="004E6640">
      <w:r>
        <w:t>While</w:t>
      </w:r>
      <w:r w:rsidR="009C5C2D">
        <w:t xml:space="preserve"> </w:t>
      </w:r>
      <w:r>
        <w:t>analysis based on aggregate statistics such</w:t>
      </w:r>
      <w:r w:rsidR="00726327">
        <w:t xml:space="preserve"> as the IRS county level data</w:t>
      </w:r>
      <w:r w:rsidR="001F61BB">
        <w:t xml:space="preserve"> </w:t>
      </w:r>
      <w:r>
        <w:t>is inherently less robust than</w:t>
      </w:r>
      <w:r w:rsidR="009C5C2D">
        <w:t xml:space="preserve"> analysis based on</w:t>
      </w:r>
      <w:r>
        <w:t xml:space="preserve"> properly sampled datasets, </w:t>
      </w:r>
      <w:r w:rsidR="009C5C2D">
        <w:t xml:space="preserve">we believe that our results do a decent job at demonstrating the geographic disparities </w:t>
      </w:r>
      <w:r w:rsidR="001F61BB">
        <w:t>from</w:t>
      </w:r>
      <w:r w:rsidR="003515D6">
        <w:t xml:space="preserve"> </w:t>
      </w:r>
      <w:r w:rsidR="001F61BB">
        <w:t>the</w:t>
      </w:r>
      <w:r w:rsidR="003515D6">
        <w:t xml:space="preserve"> </w:t>
      </w:r>
      <w:r w:rsidR="003376BC">
        <w:t>TCJA</w:t>
      </w:r>
      <w:r w:rsidR="009C5C2D">
        <w:t>.</w:t>
      </w:r>
      <w:r w:rsidR="004E6640">
        <w:t xml:space="preserve"> While our map includes tax cuts across every income level and congressional district, it’s important to remember that our figures only represent the </w:t>
      </w:r>
      <w:r w:rsidR="004E6640" w:rsidRPr="004E6640">
        <w:rPr>
          <w:i/>
        </w:rPr>
        <w:t>average</w:t>
      </w:r>
      <w:r w:rsidR="004E6640">
        <w:t xml:space="preserve"> taxpayer, and </w:t>
      </w:r>
      <w:r w:rsidR="00D22A68">
        <w:t>that some particular taxpayers might see tax increases.</w:t>
      </w:r>
      <w:r w:rsidR="009C5C2D">
        <w:t xml:space="preserve"> </w:t>
      </w:r>
      <w:r w:rsidR="00C9161F">
        <w:t xml:space="preserve">Similarly, some filers might have specific tax decreases that are larger than those illustrated. </w:t>
      </w:r>
    </w:p>
    <w:p w14:paraId="32DD7130" w14:textId="39C7D1FE" w:rsidR="004E6640" w:rsidRDefault="009C5C2D" w:rsidP="004E6640">
      <w:r>
        <w:t>For a more exhaustive analysis</w:t>
      </w:r>
      <w:r w:rsidR="003515D6">
        <w:t xml:space="preserve"> of other effects of the legislation</w:t>
      </w:r>
      <w:r>
        <w:t xml:space="preserve">, please see out full report on the </w:t>
      </w:r>
      <w:hyperlink r:id="rId8" w:history="1">
        <w:r w:rsidRPr="009C5C2D">
          <w:rPr>
            <w:rStyle w:val="Hyperlink"/>
          </w:rPr>
          <w:t>Preliminary Details and Analysis of the Tax Cuts and Jobs Act</w:t>
        </w:r>
      </w:hyperlink>
      <w:r>
        <w:t>.</w:t>
      </w:r>
    </w:p>
    <w:p w14:paraId="54C54912" w14:textId="3F55F5B8" w:rsidR="009630EF" w:rsidRDefault="009630EF" w:rsidP="004E6640">
      <w:r>
        <w:t>Finally, due to data availability issues, our congressional districts correspond to those of the 113</w:t>
      </w:r>
      <w:r w:rsidRPr="00717F5F">
        <w:rPr>
          <w:vertAlign w:val="superscript"/>
        </w:rPr>
        <w:t>th</w:t>
      </w:r>
      <w:r>
        <w:t xml:space="preserve"> Congress, which differs from the current district maps in several states such as North Carolina </w:t>
      </w:r>
      <w:r w:rsidR="00717F5F">
        <w:t>and Pennsylvania</w:t>
      </w:r>
      <w:r>
        <w:t xml:space="preserve">. </w:t>
      </w:r>
    </w:p>
    <w:sectPr w:rsidR="0096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05B9"/>
    <w:multiLevelType w:val="hybridMultilevel"/>
    <w:tmpl w:val="70E0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3C"/>
    <w:rsid w:val="000012CE"/>
    <w:rsid w:val="000C73EA"/>
    <w:rsid w:val="00105605"/>
    <w:rsid w:val="001F61BB"/>
    <w:rsid w:val="00280BF8"/>
    <w:rsid w:val="002A7F16"/>
    <w:rsid w:val="00302E73"/>
    <w:rsid w:val="003376BC"/>
    <w:rsid w:val="003515D6"/>
    <w:rsid w:val="003A18C9"/>
    <w:rsid w:val="0041003C"/>
    <w:rsid w:val="004E6640"/>
    <w:rsid w:val="00537F57"/>
    <w:rsid w:val="0058257E"/>
    <w:rsid w:val="006B36BF"/>
    <w:rsid w:val="006B5A26"/>
    <w:rsid w:val="00717F5F"/>
    <w:rsid w:val="00726327"/>
    <w:rsid w:val="007320B5"/>
    <w:rsid w:val="008062A9"/>
    <w:rsid w:val="008A6BE5"/>
    <w:rsid w:val="008C72B4"/>
    <w:rsid w:val="00900104"/>
    <w:rsid w:val="00907260"/>
    <w:rsid w:val="009630EF"/>
    <w:rsid w:val="009C5C2D"/>
    <w:rsid w:val="009E34F8"/>
    <w:rsid w:val="00A0323D"/>
    <w:rsid w:val="00A55F37"/>
    <w:rsid w:val="00A83178"/>
    <w:rsid w:val="00A91D8E"/>
    <w:rsid w:val="00A92BB3"/>
    <w:rsid w:val="00AD3672"/>
    <w:rsid w:val="00B7324B"/>
    <w:rsid w:val="00B762E5"/>
    <w:rsid w:val="00BA3016"/>
    <w:rsid w:val="00C06097"/>
    <w:rsid w:val="00C278A7"/>
    <w:rsid w:val="00C84BFC"/>
    <w:rsid w:val="00C9161F"/>
    <w:rsid w:val="00CA59FA"/>
    <w:rsid w:val="00D22A68"/>
    <w:rsid w:val="00E102D3"/>
    <w:rsid w:val="00E932AA"/>
    <w:rsid w:val="00F35542"/>
    <w:rsid w:val="00F56776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58C0"/>
  <w15:chartTrackingRefBased/>
  <w15:docId w15:val="{201686C2-1C9B-4055-A0B2-3E16B489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6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6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73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06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2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2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2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A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07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xfoundation.org/final-tax-cuts-and-jobs-act-details-analys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files.taxfoundation.org/20180419195810/TaxFoundaton_General-Equilibrium-Model-Overview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s.gov/statistics/soi-tax-stats-county-data-20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7D33-9CA6-46BB-886F-173D7132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El-Sibaie</dc:creator>
  <cp:keywords/>
  <dc:description/>
  <cp:lastModifiedBy>aelsibai@masonlive.gmu.edu</cp:lastModifiedBy>
  <cp:revision>3</cp:revision>
  <dcterms:created xsi:type="dcterms:W3CDTF">2018-06-12T13:57:00Z</dcterms:created>
  <dcterms:modified xsi:type="dcterms:W3CDTF">2018-06-12T13:59:00Z</dcterms:modified>
</cp:coreProperties>
</file>