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Matrice</w:t>
      </w:r>
      <w:r>
        <w:t xml:space="preserve"> </w:t>
      </w:r>
      <w:r>
        <w:t xml:space="preserve">de</w:t>
      </w:r>
      <w:r>
        <w:t xml:space="preserve"> </w:t>
      </w:r>
      <w:r>
        <w:t xml:space="preserve">responsabilité</w:t>
      </w:r>
      <w:r>
        <w:t xml:space="preserve"> </w:t>
      </w:r>
      <w:r>
        <w:t xml:space="preserve">IaaS</w:t>
      </w:r>
    </w:p>
    <w:p>
      <w:pPr>
        <w:pStyle w:val="FirstParagraph"/>
      </w:pPr>
      <w:r>
        <w:t xml:space="preserve">Voici le modèle RACI définissant la répartition des responsabilités entre le client et Cloud Temple pour l’utilisation des infrastructures IaaS de Cloud Temple.</w:t>
      </w:r>
    </w:p>
    <w:bookmarkStart w:id="20" w:name="définition-des-différents-rôles"/>
    <w:p>
      <w:pPr>
        <w:pStyle w:val="Heading2"/>
      </w:pPr>
      <w:r>
        <w:t xml:space="preserve">Définition des différents rôles</w:t>
      </w:r>
    </w:p>
    <w:p>
      <w:pPr>
        <w:pStyle w:val="FirstParagraph"/>
      </w:pPr>
      <w:r>
        <w:t xml:space="preserve">Nous rappelons ici les différents rôles du RACI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7"/>
        <w:gridCol w:w="682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Rôle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(R) Réalise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__R__éalise le processus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(A) Approuve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__A__pprouve la réalisation du processus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(C) Consulte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__C__onsulté pendant le processus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(I) Informé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__I__nformé des résultats du processus (via l’outillage, le portail ou la messagerie)</w:t>
            </w:r>
          </w:p>
        </w:tc>
      </w:tr>
    </w:tbl>
    <w:bookmarkEnd w:id="20"/>
    <w:bookmarkStart w:id="21" w:name="définition-votre-besoin"/>
    <w:p>
      <w:pPr>
        <w:pStyle w:val="Heading2"/>
      </w:pPr>
      <w:r>
        <w:t xml:space="preserve">Définition votre besoin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940"/>
        <w:gridCol w:w="804"/>
        <w:gridCol w:w="117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Cloud 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Définir l’architecture globale de votre plateforme Cloud Temple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Définir le nombre de tenants et le nombre de zone de disponibilité pour chaque tenant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Définir votre stratégie globale de reprise ou de continuité d’activité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Dimensionner correctement votre plateforme Cloud Temple (calcul, stockage, réseau, backup,…)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Souscrire aux services avec les informations nécessaires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</w:tr>
    </w:tbl>
    <w:bookmarkEnd w:id="21"/>
    <w:bookmarkStart w:id="22" w:name="Xa421f81bfff12887f3bbd440a44c5381333d48f"/>
    <w:p>
      <w:pPr>
        <w:pStyle w:val="Heading2"/>
      </w:pPr>
      <w:r>
        <w:t xml:space="preserve">Mise en œuvre initiale de vos tenants Cloud Temple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135"/>
        <w:gridCol w:w="725"/>
        <w:gridCol w:w="1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Cloud 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la mise en oeuvre des</w:t>
            </w:r>
            <w:r>
              <w:t xml:space="preserve"> </w:t>
            </w:r>
            <w:r>
              <w:rPr>
                <w:b/>
                <w:bCs/>
              </w:rPr>
              <w:t xml:space="preserve">datacenters physiques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la mise en oeuvre des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calcul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la mise en oeuvre des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stockage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la mise en oeuvre de la connectivité au</w:t>
            </w:r>
            <w:r>
              <w:t xml:space="preserve"> </w:t>
            </w:r>
            <w:r>
              <w:rPr>
                <w:b/>
                <w:bCs/>
              </w:rPr>
              <w:t xml:space="preserve">réseau backbone(1)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Acquérir et maintenir les licences logiciels essentiels pour le fonctionnement de la plateforme Cloud Temple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Implémenter la configuration de base de vos tenants Cloud Temple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Implémenter la configuration initiale pour le service de sauvegarde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S’ils sont souscrit :</w:t>
            </w:r>
            <w:r>
              <w:t xml:space="preserve"> </w:t>
            </w:r>
            <w:r>
              <w:t xml:space="preserve">implémenter la configuration réseau initiale pour les services Internet et Firewall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Offrir l’assistance requise pour la prise en main de vos environnements Cloud Temple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Effectuer les ajustements de configuration finaux du service après sa livraison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Configurer un référentiel d’authentification externe pour la console Cloud Temple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Créer les utilisateurs de chaque tenant dans la console Cloud Temple et affecter les droits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Valider la conformité de la plateforme livrée avec le référentiel SecNumCloud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Valider la conformité de la plateforme livrée avec les spécifications requises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</w:t>
            </w:r>
          </w:p>
        </w:tc>
      </w:tr>
    </w:tbl>
    <w:p>
      <w:pPr>
        <w:pStyle w:val="BodyText"/>
      </w:pPr>
      <w:r>
        <w:rPr>
          <w:i/>
          <w:iCs/>
        </w:rPr>
        <w:t xml:space="preserve">(1) Le réseau backbone constitue l’infrastructure centrale de Cloud Temple, offrant une colonne vertébrale sur laquelle</w:t>
      </w:r>
      <w:r>
        <w:rPr>
          <w:i/>
          <w:iCs/>
        </w:rPr>
        <w:t xml:space="preserve"> </w:t>
      </w:r>
      <w:r>
        <w:rPr>
          <w:i/>
          <w:iCs/>
        </w:rPr>
        <w:t xml:space="preserve">reposent les réseaux clients spécifiques, lesquels sont intégrés et pris en charge par cette infrastructure principale.</w:t>
      </w:r>
    </w:p>
    <w:bookmarkEnd w:id="22"/>
    <w:bookmarkStart w:id="23" w:name="X83012a7935f629a08650f630ab9f3c5651da91b"/>
    <w:p>
      <w:pPr>
        <w:pStyle w:val="Heading2"/>
      </w:pPr>
      <w:r>
        <w:t xml:space="preserve">Intégrer votre système d’information dans vos environnements Cloud Temple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326"/>
        <w:gridCol w:w="647"/>
        <w:gridCol w:w="94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Cloud 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Créer, installer, mettre à jour vos machines virtuelles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Installer et configurer les logiciels et middlewares sur vos machines virtuelles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Acheter et détenir les licences et les droits d’utilisation</w:t>
            </w:r>
            <w:r>
              <w:t xml:space="preserve"> </w:t>
            </w:r>
            <w:r>
              <w:t xml:space="preserve">pour les systèmes d’exploitation de vos machines virtuelles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Configurer le réseau pour chacune vos machines virtuelles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S’assurer que chaque machine virtuelle est associée à un plan de sauvegarde cohérent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S’assurer que chaque machine virtuelle est associée à un</w:t>
            </w:r>
            <w:r>
              <w:t xml:space="preserve"> </w:t>
            </w:r>
            <w:r>
              <w:t xml:space="preserve">plan de reprise d’activité ou de continuité d’activité cohérent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Implémenter une stratégie de protection antivirale sur vos machines virtuelles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Mettre en place une solution de métrologie et de surveillance sur vos machines virtuelles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Définir la politique de TAG de vos machines virtuelles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32" w:name="opérations-récurrentes"/>
    <w:p>
      <w:pPr>
        <w:pStyle w:val="Heading2"/>
      </w:pPr>
      <w:r>
        <w:t xml:space="preserve">Opérations récurrentes</w:t>
      </w:r>
    </w:p>
    <w:bookmarkStart w:id="24" w:name="gestion-des-accès-et-des-identités"/>
    <w:p>
      <w:pPr>
        <w:pStyle w:val="Heading3"/>
      </w:pPr>
      <w:r>
        <w:t xml:space="preserve">Gestion des accès et des identités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393"/>
        <w:gridCol w:w="620"/>
        <w:gridCol w:w="9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Cloud 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l’accessibilité du service Console Cloud Temple et de l’API associée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l’accessibilité du système d’information déployé sur vos machines virtuelles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habilitations physiques et logiques des équipes Cloud Temple aux infrastructures SecNumCloud.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Administrer les accès et la politique de sécurité associée liés à l’interface de la console Cloud Temple et à son API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Administrer les accès et la politique de sécurité associée au système d’information</w:t>
            </w:r>
            <w:r>
              <w:t xml:space="preserve"> </w:t>
            </w:r>
            <w:r>
              <w:t xml:space="preserve">hébergé au sein de vos tenants Cloud Temple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Xdbe5609e47f337153b02ecceb1ac318278f6fe9"/>
    <w:p>
      <w:pPr>
        <w:pStyle w:val="Heading3"/>
      </w:pPr>
      <w:r>
        <w:t xml:space="preserve">maintien en condition opérationnelle et en condition de sécurité</w:t>
      </w:r>
    </w:p>
    <w:p>
      <w:pPr>
        <w:pStyle w:val="FirstParagraph"/>
      </w:pPr>
      <w:r>
        <w:t xml:space="preserve">Les activités visant à maintenir en condition opérationnelle et sécuritaire pour les infrastructures et services</w:t>
      </w:r>
      <w:r>
        <w:t xml:space="preserve"> </w:t>
      </w:r>
      <w:r>
        <w:t xml:space="preserve">proposés par Cloud Temple, dans le cadre de son offre IaaS, sont réalisées dans l’objectif de conformité à la qualification SecNumCloud.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195"/>
        <w:gridCol w:w="700"/>
        <w:gridCol w:w="102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Cloud 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maintien en condition opérationnelle des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datacenters physiques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maintien en condition de sécurité des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datacenters physiques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maintien en condition opérationnelle des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calcul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maintien en condition de sécurité des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calcul (2)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maintien en condition opérationnelle des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stockage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maintien en condition de sécurité des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stockage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maintien en condition opérationnelle des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réseaux backbone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maintien en condition de sécurité des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réseaux backbone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maintien en condition opérationnelle des machines virtuelles déployées dans les tenants client</w:t>
            </w:r>
            <w:r>
              <w:t xml:space="preserve"> </w:t>
            </w:r>
            <w:r>
              <w:rPr>
                <w:b/>
                <w:bCs/>
              </w:rP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maintien en condition de sécurité des machines virtuelles déployées dans les tenants client</w:t>
            </w:r>
            <w:r>
              <w:t xml:space="preserve"> </w:t>
            </w:r>
            <w:r>
              <w:rPr>
                <w:b/>
                <w:bCs/>
              </w:rP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maintien en condition opérationnelle des middleswares déployées dans les tenants client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maintien en condition de sécurité des middleswares déployées dans les tenants client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i/>
          <w:iCs/>
        </w:rPr>
        <w:t xml:space="preserve">(2) Cloud Temple fournit régulièrement les versions les plus récentes du système d’exploitation pour vos hyperviseurs.</w:t>
      </w:r>
      <w:r>
        <w:rPr>
          <w:i/>
          <w:iCs/>
        </w:rPr>
        <w:t xml:space="preserve"> </w:t>
      </w:r>
      <w:r>
        <w:rPr>
          <w:i/>
          <w:iCs/>
        </w:rPr>
        <w:t xml:space="preserve">Néanmoins, étant donné que Cloud Temple n’est pas informé des spécificités de vos environnements de production et des exigences</w:t>
      </w:r>
      <w:r>
        <w:rPr>
          <w:i/>
          <w:iCs/>
        </w:rPr>
        <w:t xml:space="preserve"> </w:t>
      </w:r>
      <w:r>
        <w:rPr>
          <w:i/>
          <w:iCs/>
        </w:rPr>
        <w:t xml:space="preserve">liées à vos charges de travail,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la décision de procéder à la mise à jour du système d’exploitation de vos hyperviseurs,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entraînant ainsi un redémarrage, vous revient</w:t>
      </w:r>
      <w:r>
        <w:rPr>
          <w:i/>
          <w:iCs/>
        </w:rPr>
        <w:t xml:space="preserve">. Cette opération peut être réalisée à travers la console Cloud Temple ou via l’API.</w:t>
      </w:r>
      <w:r>
        <w:rPr>
          <w:i/>
          <w:iCs/>
        </w:rPr>
        <w:t xml:space="preserve"> </w:t>
      </w:r>
      <w:r>
        <w:rPr>
          <w:i/>
          <w:iCs/>
        </w:rPr>
        <w:t xml:space="preserve">Des services professionnels sont disponibles si vous souhaitez que Cloud Temple prenne en charge certaines opérations.</w:t>
      </w:r>
    </w:p>
    <w:p>
      <w:pPr>
        <w:pStyle w:val="BodyText"/>
      </w:pPr>
      <w:r>
        <w:rPr>
          <w:i/>
          <w:iCs/>
        </w:rPr>
        <w:t xml:space="preserve">(3) Cloud Temple propose des packs de licences pour pare-feu (Fortinet, Stormshield) et répartiteurs de charge (HAProxy), et</w:t>
      </w:r>
      <w:r>
        <w:rPr>
          <w:i/>
          <w:iCs/>
        </w:rPr>
        <w:t xml:space="preserve"> </w:t>
      </w:r>
      <w:r>
        <w:rPr>
          <w:i/>
          <w:iCs/>
        </w:rPr>
        <w:t xml:space="preserve">travaille en collaboration avec vos équipes pour la configuration initiale lors de la phase de mise en œuvre. Toutefois,</w:t>
      </w:r>
      <w:r>
        <w:rPr>
          <w:i/>
          <w:iCs/>
        </w:rPr>
        <w:t xml:space="preserve"> </w:t>
      </w:r>
      <w:r>
        <w:rPr>
          <w:i/>
          <w:iCs/>
        </w:rPr>
        <w:t xml:space="preserve">la responsabilité du maintien en condition opérationnelle et sécuritaire repose sur vous durant la phase d’exploitation</w:t>
      </w:r>
      <w:r>
        <w:rPr>
          <w:i/>
          <w:iCs/>
        </w:rPr>
        <w:t xml:space="preserve"> </w:t>
      </w:r>
      <w:r>
        <w:rPr>
          <w:i/>
          <w:iCs/>
        </w:rPr>
        <w:t xml:space="preserve">courante. Des services professionnels sont disponibles si vous souhaitez que Cloud Temple prenne en charge certaines opérations.</w:t>
      </w:r>
    </w:p>
    <w:bookmarkEnd w:id="25"/>
    <w:bookmarkStart w:id="26" w:name="Xab61bf6b1aa39f6582b22a7fe343205a3024835"/>
    <w:p>
      <w:pPr>
        <w:pStyle w:val="Heading3"/>
      </w:pPr>
      <w:r>
        <w:t xml:space="preserve">Gestion des changements, des incidents, des problèmes et des capacités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241"/>
        <w:gridCol w:w="681"/>
        <w:gridCol w:w="99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Cloud 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incidents sur les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datacenters physiques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problèmes sur les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datacenters physiques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capacités sur les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datacenters physiques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incidents sur les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calcul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problèmes sur les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calcul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capacités sur les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calcul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incidents sur les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stockage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problèmes sur les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stockage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capacités sur les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stockage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incidents sur les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réseau backbone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problèmes sur les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réseau backbone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capacités sur les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réseau backbone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Mettre en place une nouvelle machine virtuelle ou créer un nouvel environnement applicatif au sein d’un tenant client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Modifier la configuration des machines virtuelles déployées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Supprimer une machine virtuelle déployée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Prendre la décision d’ajouter, de modifier ou de retirer des ressources sur la plateforme Cloud Temple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Exécuter la décision de modification des ressources sur la plateforme Cloud Temple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Appliquer les tags aux machines virtuelles conformément à la politique définie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gestion-de-la-performance"/>
    <w:p>
      <w:pPr>
        <w:pStyle w:val="Heading3"/>
      </w:pPr>
      <w:r>
        <w:t xml:space="preserve">Gestion de la performance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535"/>
        <w:gridCol w:w="562"/>
        <w:gridCol w:w="82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Cloud 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la surveillance du bon fonctionnement et de la fiabilité de tous les équipements impliqués dans la prestation du service qualifié SecNumCloud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suivi de la performance des ressources physiques de calcul, stockage et réseau mises à disposition de vos tenants</w:t>
            </w:r>
            <w:r>
              <w:t xml:space="preserve"> </w:t>
            </w:r>
            <w:r>
              <w:rPr>
                <w:b/>
                <w:bCs/>
              </w:rP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Superviser les performances des machines virtuelles soutenant vos environnements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</w:tr>
    </w:tbl>
    <w:p>
      <w:pPr>
        <w:pStyle w:val="BodyText"/>
      </w:pPr>
      <w:r>
        <w:rPr>
          <w:i/>
          <w:iCs/>
        </w:rPr>
        <w:t xml:space="preserve">(4) La plateforme Cloud Temple adopte une philosophie centrée sur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la fourniture d’infrastructures dédiées</w:t>
      </w:r>
      <w:r>
        <w:rPr>
          <w:i/>
          <w:iCs/>
        </w:rPr>
        <w:t xml:space="preserve"> </w:t>
      </w:r>
      <w:r>
        <w:rPr>
          <w:i/>
          <w:iCs/>
        </w:rPr>
        <w:t xml:space="preserve">pour les besoins de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calcul</w:t>
      </w:r>
      <w:r>
        <w:rPr>
          <w:i/>
          <w:iCs/>
        </w:rPr>
        <w:t xml:space="preserve"> </w:t>
      </w:r>
      <w:r>
        <w:rPr>
          <w:i/>
          <w:iCs/>
        </w:rPr>
        <w:t xml:space="preserve">(avec des lames physiques), de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stockage</w:t>
      </w:r>
      <w:r>
        <w:rPr>
          <w:i/>
          <w:iCs/>
        </w:rPr>
        <w:t xml:space="preserve"> </w:t>
      </w:r>
      <w:r>
        <w:rPr>
          <w:i/>
          <w:iCs/>
        </w:rPr>
        <w:t xml:space="preserve">(via des LUNs dédiées sur les SANs)</w:t>
      </w:r>
      <w:r>
        <w:rPr>
          <w:i/>
          <w:iCs/>
        </w:rPr>
        <w:t xml:space="preserve"> </w:t>
      </w:r>
      <w:r>
        <w:rPr>
          <w:i/>
          <w:iCs/>
        </w:rPr>
        <w:t xml:space="preserve">et de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réseau</w:t>
      </w:r>
      <w:r>
        <w:rPr>
          <w:i/>
          <w:iCs/>
        </w:rPr>
        <w:t xml:space="preserve"> </w:t>
      </w:r>
      <w:r>
        <w:rPr>
          <w:i/>
          <w:iCs/>
        </w:rPr>
        <w:t xml:space="preserve">(incluant des pare-feu et des répartiteurs de charge). Ces ressources dédiées sont mises à la disposition du client, dont l’utilisation</w:t>
      </w:r>
      <w:r>
        <w:rPr>
          <w:i/>
          <w:iCs/>
        </w:rPr>
        <w:t xml:space="preserve"> </w:t>
      </w:r>
      <w:r>
        <w:rPr>
          <w:i/>
          <w:iCs/>
        </w:rPr>
        <w:t xml:space="preserve">et la charge résultante dépendent directement de l’usage qu’il en fait. Il incombe donc au client de mettre en place et de gérer les systèmes de supervision</w:t>
      </w:r>
      <w:r>
        <w:rPr>
          <w:i/>
          <w:iCs/>
        </w:rPr>
        <w:t xml:space="preserve"> </w:t>
      </w:r>
      <w:r>
        <w:rPr>
          <w:i/>
          <w:iCs/>
        </w:rPr>
        <w:t xml:space="preserve">et de métrologie nécessaires pour assurer le suivi du fonctionnement optimal de son système d’information.</w:t>
      </w:r>
    </w:p>
    <w:bookmarkEnd w:id="27"/>
    <w:bookmarkStart w:id="28" w:name="X984a3df0e5b97e39d59a24b0f12afc53725ed51"/>
    <w:p>
      <w:pPr>
        <w:pStyle w:val="Heading3"/>
      </w:pPr>
      <w:r>
        <w:t xml:space="preserve">Gestion de la sauvegarde et de la reprise d’activité sur la sauvegarde intégrée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437"/>
        <w:gridCol w:w="602"/>
        <w:gridCol w:w="8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Cloud 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maintien en condition opérationnelle sur les infrastructures de</w:t>
            </w:r>
            <w:r>
              <w:t xml:space="preserve"> </w:t>
            </w:r>
            <w:r>
              <w:rPr>
                <w:b/>
                <w:bCs/>
              </w:rPr>
              <w:t xml:space="preserve">sauvegarde</w:t>
            </w:r>
            <w:r>
              <w:t xml:space="preserve"> </w:t>
            </w:r>
            <w:r>
              <w:t xml:space="preserve">intégrées à la plateforme Cloud Temple</w:t>
            </w:r>
            <w:r>
              <w:t xml:space="preserve"> </w:t>
            </w:r>
            <w:r>
              <w:rPr>
                <w:b/>
                <w:bCs/>
              </w:rPr>
              <w:t xml:space="preserve">(5)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maintien en condition de sécurité des infrastructures de</w:t>
            </w:r>
            <w:r>
              <w:t xml:space="preserve"> </w:t>
            </w:r>
            <w:r>
              <w:rPr>
                <w:b/>
                <w:bCs/>
              </w:rPr>
              <w:t xml:space="preserve">sauvegarde</w:t>
            </w:r>
            <w:r>
              <w:t xml:space="preserve"> </w:t>
            </w:r>
            <w:r>
              <w:t xml:space="preserve">intégrées à la plateforme Cloud Temple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incidents sur les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sauvegarde</w:t>
            </w:r>
            <w:r>
              <w:t xml:space="preserve"> </w:t>
            </w:r>
            <w:r>
              <w:t xml:space="preserve">intégrées à la plateforme Cloud Temple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problèmes sur les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sauvegarde</w:t>
            </w:r>
            <w:r>
              <w:t xml:space="preserve"> </w:t>
            </w:r>
            <w:r>
              <w:t xml:space="preserve">intégrées à la plateforme Cloud Temple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capacités sur les infrastructures</w:t>
            </w:r>
            <w:r>
              <w:t xml:space="preserve"> </w:t>
            </w:r>
            <w:r>
              <w:rPr>
                <w:b/>
                <w:bCs/>
              </w:rPr>
              <w:t xml:space="preserve">sauvegarde</w:t>
            </w:r>
            <w:r>
              <w:t xml:space="preserve"> </w:t>
            </w:r>
            <w:r>
              <w:t xml:space="preserve">intégrées à la plateforme Cloud Temple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maintien en condition opérationnelle sur la solution de sauvegarde choisie au sein de ses tenants par le client</w:t>
            </w:r>
            <w:r>
              <w:t xml:space="preserve"> </w:t>
            </w:r>
            <w:r>
              <w:rPr>
                <w:b/>
                <w:bCs/>
              </w:rP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maintien en condition de sécurité sur la solution de sauvegarde choisie au sein de ses tenants par le client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incidents sur la solution de sauvegarde choisie au sein de ses tenants par le client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problèmes sur la solution de sauvegarde choisie au sein de ses tenants par le client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capacités sur la solution de sauvegarde choisie au sein de ses tenants par le client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 cycle des vies des politiques de sauvegarde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S’assurer que les politiques de sauvegarde sont cohérentes avec le cycle de vie de la donnée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S’assurer que les plans de continuité d’activité ou de reprise d’activité sont cohérents avec le cycle de vie de la donnée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Effectuer des tests périodiques pour évaluer l’efficacité de la stratégie de sauvegarde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Effectuer des tests périodiques pour évaluer l’efficacité de la stratégie</w:t>
            </w:r>
            <w:r>
              <w:t xml:space="preserve"> </w:t>
            </w:r>
            <w:r>
              <w:t xml:space="preserve">de reprise d’activité ou de continuité d’activité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</w:t>
            </w:r>
          </w:p>
        </w:tc>
      </w:tr>
    </w:tbl>
    <w:p>
      <w:pPr>
        <w:pStyle w:val="BodyText"/>
      </w:pPr>
      <w:r>
        <w:rPr>
          <w:i/>
          <w:iCs/>
        </w:rPr>
        <w:t xml:space="preserve">(5) Au 1er janvier 2024, la solution de sauvegarde intégrée à la plateforme Cloud Temple est IBM Spectrum Protect Plus.</w:t>
      </w:r>
      <w:r>
        <w:rPr>
          <w:i/>
          <w:iCs/>
        </w:rPr>
        <w:t xml:space="preserve"> </w:t>
      </w:r>
      <w:r>
        <w:rPr>
          <w:i/>
          <w:iCs/>
        </w:rPr>
        <w:t xml:space="preserve">Cette solution est entièrement automatisée et peut être gérée via la console Cloud Temple ou l’API Cloud Temple.</w:t>
      </w:r>
    </w:p>
    <w:bookmarkEnd w:id="28"/>
    <w:bookmarkStart w:id="29" w:name="X47aa514b7332895eb2122c7ab198b3d6eb281de"/>
    <w:p>
      <w:pPr>
        <w:pStyle w:val="Heading3"/>
      </w:pPr>
      <w:r>
        <w:t xml:space="preserve">Gestion de la sauvegarde et de la reprise d’activité pour les plateformes tierces au sein d’un tenant client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437"/>
        <w:gridCol w:w="602"/>
        <w:gridCol w:w="8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Cloud 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maintien en condition opérationnelle sur la solution de sauvegarde choisie au sein de ses tenants par le client</w:t>
            </w:r>
            <w:r>
              <w:t xml:space="preserve"> </w:t>
            </w:r>
            <w:r>
              <w:rPr>
                <w:b/>
                <w:bCs/>
              </w:rP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maintien en condition de sécurité sur la solution de sauvegarde choisie au sein de ses tenants par le client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incidents sur la solution de sauvegarde choisie au sein de ses tenants par le client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problèmes sur la solution de sauvegarde choisie au sein de ses tenants par le client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capacités sur la solution de sauvegarde choisie au sein de ses tenants par le client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 cycle des vies des politiques de sauvegarde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S’assurer que les politiques de sauvegarde sont cohérentes avec le cycle de vie de la donnée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S’assurer que les plans de continuité d’activité ou de reprise d’activité sont cohérents avec le cycle de vie de la donnée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Effectuer des tests périodiques pour évaluer l’efficacité de la stratégie de sauvegarde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Effectuer des tests périodiques pour évaluer l’efficacité de la stratégie</w:t>
            </w:r>
            <w:r>
              <w:t xml:space="preserve"> </w:t>
            </w:r>
            <w:r>
              <w:t xml:space="preserve">de reprise d’activité ou de continuité d’activité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</w:t>
            </w:r>
          </w:p>
        </w:tc>
      </w:tr>
    </w:tbl>
    <w:p>
      <w:pPr>
        <w:pStyle w:val="BodyText"/>
      </w:pPr>
      <w:r>
        <w:rPr>
          <w:i/>
          <w:iCs/>
        </w:rPr>
        <w:t xml:space="preserve">(6) Ceci concerne toute solution de sauvegarde supplémentaire mise en place dans les environnements du client et gérée par celui-ci.</w:t>
      </w:r>
      <w:r>
        <w:rPr>
          <w:i/>
          <w:iCs/>
        </w:rPr>
        <w:t xml:space="preserve"> </w:t>
      </w:r>
      <w:r>
        <w:rPr>
          <w:i/>
          <w:iCs/>
        </w:rPr>
        <w:t xml:space="preserve">Cloud Temple propose des services professionnels pour ceux qui souhaitent déléguer certaines opérations à Cloud Temple.</w:t>
      </w:r>
    </w:p>
    <w:bookmarkEnd w:id="29"/>
    <w:bookmarkStart w:id="30" w:name="Xd346a02f45fe0402f5e22988a730ba02c21dfdd"/>
    <w:p>
      <w:pPr>
        <w:pStyle w:val="Heading3"/>
      </w:pPr>
      <w:r>
        <w:t xml:space="preserve">Gestion de la documentation et du contrat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606"/>
        <w:gridCol w:w="533"/>
        <w:gridCol w:w="7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Cloud 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la gestion commerciale et contractuelle du client, incluant l’établissement de devis, le traitement des commandes et la gestion de la facturation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suivi contractuel de la prestation, incluant la validation des devis, le suivi des livraisons et la surveillance de la facturation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la maintenance et la disponibilité de l’inventaire des ressources fournies par Cloud Temple relative à l’offre SecNumCloud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la maintenance et la mise à disposition de la documentation technique relative à l’offre SecNumCloud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suivi du cycle de vie des machines virtuelles déployées dans vos environnements Cloud Temple</w:t>
            </w:r>
            <w:r>
              <w:t xml:space="preserve"> </w:t>
            </w:r>
            <w:r>
              <w:t xml:space="preserve">via votre CMDB (Configuration Management Database)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Maintenir à jour la politique d’accès à l’interface de la console Cloud Temple ou à l’API Cloud Temple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gestion-des-journaux"/>
    <w:p>
      <w:pPr>
        <w:pStyle w:val="Heading3"/>
      </w:pPr>
      <w:r>
        <w:t xml:space="preserve">Gestion des journaux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274"/>
        <w:gridCol w:w="668"/>
        <w:gridCol w:w="97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Cloud 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Conserver et mettre à disposition les journaux de la plateforme IaaS Cloud Temple</w:t>
            </w:r>
            <w:r>
              <w:t xml:space="preserve"> </w:t>
            </w:r>
            <w:r>
              <w:rPr>
                <w:b/>
                <w:bCs/>
              </w:rPr>
              <w:t xml:space="preserve">(7)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Conserver et mettre à disposition les journaux du système d’information</w:t>
            </w:r>
            <w:r>
              <w:t xml:space="preserve"> </w:t>
            </w:r>
            <w:r>
              <w:t xml:space="preserve">hébergé au sein de vos tenants Cloud Temple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i/>
          <w:iCs/>
        </w:rPr>
        <w:t xml:space="preserve">(7) Au premier janvier 2024, la durée de rétention des journaux de la plateforme est d’une année.</w:t>
      </w:r>
    </w:p>
    <w:bookmarkEnd w:id="31"/>
    <w:bookmarkEnd w:id="32"/>
    <w:bookmarkStart w:id="33" w:name="X5452a1b61ccf2d3cdd60eec43b3cfc894119e66"/>
    <w:p>
      <w:pPr>
        <w:pStyle w:val="Heading2"/>
      </w:pPr>
      <w:r>
        <w:t xml:space="preserve">Connectivité au réseau client (mpls, fibre dédiée, ipsec, …)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28"/>
        <w:gridCol w:w="768"/>
        <w:gridCol w:w="112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Cloud 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Souscrire à une connectivité réseau opérateur pour accéder à un datacenter physique Cloud Temple (8)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 plan d’adressage IP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incidents sur les liens réseaux opérateurs client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problèmes sur les liens réseaux opérateurs client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capacités sur les liens réseaux opérateurs client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</w:t>
            </w:r>
          </w:p>
        </w:tc>
      </w:tr>
    </w:tbl>
    <w:p>
      <w:pPr>
        <w:pStyle w:val="BodyText"/>
      </w:pPr>
      <w:r>
        <w:rPr>
          <w:i/>
          <w:iCs/>
        </w:rPr>
        <w:t xml:space="preserve">(8) Cloud Temple assume la responsabilité du réseau concernant son infrastructure backbone, ses points de collecte ainsi que</w:t>
      </w:r>
      <w:r>
        <w:rPr>
          <w:i/>
          <w:iCs/>
        </w:rPr>
        <w:t xml:space="preserve"> </w:t>
      </w:r>
      <w:r>
        <w:rPr>
          <w:i/>
          <w:iCs/>
        </w:rPr>
        <w:t xml:space="preserve">les points d’interconnexion datacenter, garantissant ainsi la connectivité entre ces points et son réseau backbone.</w:t>
      </w:r>
      <w:r>
        <w:rPr>
          <w:i/>
          <w:iCs/>
        </w:rPr>
        <w:t xml:space="preserve"> </w:t>
      </w:r>
      <w:r>
        <w:rPr>
          <w:i/>
          <w:iCs/>
        </w:rPr>
        <w:t xml:space="preserve">Dans l’offre d’hébergement en baie physique, Cloud Temple assume la responsabilité à partir de l’équipement situé en haut du rack, communément appelé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top of rack</w:t>
      </w:r>
      <w:r>
        <w:rPr>
          <w:i/>
          <w:iCs/>
        </w:rPr>
        <w:t xml:space="preserve">”</w:t>
      </w:r>
      <w:r>
        <w:rPr>
          <w:i/>
          <w:iCs/>
        </w:rPr>
        <w:t xml:space="preserve">.</w:t>
      </w:r>
    </w:p>
    <w:bookmarkEnd w:id="33"/>
    <w:bookmarkStart w:id="34" w:name="réversibilité"/>
    <w:p>
      <w:pPr>
        <w:pStyle w:val="Heading2"/>
      </w:pPr>
      <w:r>
        <w:t xml:space="preserve">Réversibilité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788"/>
        <w:gridCol w:w="459"/>
        <w:gridCol w:w="6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Cloud 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Planifier le projet de réversibilité et choisir les infrastructures cibles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Mettre en oeuvre les opérations de transition, qu’elles impliquent une extraction manuelle, l’utilisation d’API</w:t>
            </w:r>
            <w:r>
              <w:t xml:space="preserve"> </w:t>
            </w:r>
            <w:r>
              <w:t xml:space="preserve">ou toute autre méthode tierce compatible avec la plateforme Cloud Temple.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Transférer les données tout en contrôlant les répercussions de la migration sur la qualité du service fourni</w:t>
            </w:r>
            <w:r>
              <w:t xml:space="preserve"> </w:t>
            </w:r>
            <w:r>
              <w:t xml:space="preserve">par le système d’information du client.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Procéder au démantèlement des configurations du Cloud Privé et des options associées au client,</w:t>
            </w:r>
            <w:r>
              <w:t xml:space="preserve"> </w:t>
            </w:r>
            <w:r>
              <w:t xml:space="preserve">à la suite de la résiliation du contrat.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Réaliser l’effacement sécurisé des données sur les supports de stockage et fournir une attestation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</w:tbl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Matrice de responsabilité IaaS</dc:title>
  <dc:creator/>
  <cp:keywords/>
  <dcterms:created xsi:type="dcterms:W3CDTF">2024-03-13T22:56:37Z</dcterms:created>
  <dcterms:modified xsi:type="dcterms:W3CDTF">2024-03-13T22:56:37Z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