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80"/>
        <w:jc w:val="left"/>
      </w:pPr>
      <w:r>
        <w:rPr>
          <w:b/>
          <w:bCs/>
          <w:color w:val="1A1A1A"/>
          <w:sz w:val="56"/>
          <w:szCs w:val="56"/>
        </w:rPr>
        <w:t xml:space="preserve">Experience Modernization Agent</w:t>
      </w:r>
    </w:p>
    <w:p>
      <w:pPr>
        <w:spacing w:after="240"/>
      </w:pPr>
      <w:r>
        <w:rPr>
          <w:color w:val="E4002B"/>
          <w:sz w:val="32"/>
          <w:szCs w:val="32"/>
        </w:rPr>
        <w:t xml:space="preserve">Product Specialist Enablement Guide</w:t>
      </w:r>
    </w:p>
    <w:p>
      <w:pPr>
        <w:spacing w:after="400"/>
      </w:pPr>
      <w:r>
        <w:rPr>
          <w:i/>
          <w:iCs/>
          <w:color w:val="555555"/>
          <w:sz w:val="24"/>
          <w:szCs w:val="24"/>
        </w:rPr>
        <w:t xml:space="preserve">Build AEM Edge Delivery demo sites with the da-demo-kit template and aemcoder.adobe.io</w:t>
      </w:r>
    </w:p>
    <w:p>
      <w:r>
        <w:rPr>
          <w:color w:val="555555"/>
          <w:sz w:val="20"/>
          <w:szCs w:val="20"/>
        </w:rPr>
        <w:t xml:space="preserve">Authors: Yuji Nakagawa, Bill Lofft, Emily Jansen</w:t>
      </w:r>
    </w:p>
    <w:p>
      <w:r>
        <w:rPr>
          <w:color w:val="555555"/>
          <w:sz w:val="20"/>
          <w:szCs w:val="20"/>
        </w:rPr>
        <w:t xml:space="preserve">Audience: Adobe Product Specialists (no coding experience required)</w:t>
      </w:r>
    </w:p>
    <w:p>
      <w:r>
        <w:br w:type="page"/>
      </w:r>
    </w:p>
    <w:p>
      <w:pPr>
        <w:pStyle w:val="Heading1"/>
        <w:spacing w:after="120" w:before="24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t xml:space="preserve">Overview</w:t>
      </w:r>
    </w:p>
    <w:p>
      <w:pPr>
        <w:spacing w:after="100"/>
      </w:pPr>
      <w:r>
        <w:t xml:space="preserve">This guide walks you through building an </w:t>
      </w:r>
      <w:r>
        <w:rPr>
          <w:b/>
          <w:bCs/>
        </w:rPr>
        <w:t xml:space="preserve">AEM Edge Delivery Services (EDS)</w:t>
      </w:r>
      <w:r>
        <w:t xml:space="preserve"> demo site from start to finish — even if you've never written code. You'll use two things:</w:t>
      </w:r>
    </w:p>
    <w:p>
      <w:pPr>
        <w:pStyle w:val="ListParagraph"/>
        <w:numPr>
          <w:ilvl w:val="0"/>
          <w:numId w:val="2"/>
        </w:numPr>
        <w:spacing w:after="40"/>
      </w:pPr>
      <w:r>
        <w:rPr>
          <w:b/>
          <w:bCs/>
        </w:rPr>
        <w:t xml:space="preserve">da-demo-kit</w:t>
      </w:r>
      <w:r>
        <w:t xml:space="preserve"> — a GitHub template that bundles demo-ready functionality (Target integration, Workfront integration, Send-to-Workfront approval/publish).</w:t>
      </w:r>
    </w:p>
    <w:p>
      <w:pPr>
        <w:pStyle w:val="ListParagraph"/>
        <w:numPr>
          <w:ilvl w:val="0"/>
          <w:numId w:val="2"/>
        </w:numPr>
        <w:spacing w:after="40"/>
      </w:pPr>
      <w:r>
        <w:rPr>
          <w:b/>
          <w:bCs/>
        </w:rPr>
        <w:t xml:space="preserve">Experience Modernization Agent</w:t>
      </w:r>
      <w:r>
        <w:t xml:space="preserve"> (aemcoder.adobe.io) — an AI harness that migrates and modernizes website content into your Edge Delivery site through a chat interface.</w:t>
      </w:r>
    </w:p>
    <w:p>
      <w:pPr>
        <w:spacing w:after="100"/>
      </w:pPr>
      <w:r>
        <w:t xml:space="preserve">By the end you'll have a shareable demo site at a URL like </w:t>
      </w:r>
      <w:hyperlink w:history="1" r:id="rId6syzn-smvroth6tq9yb9g">
        <w:r>
          <w:rPr>
            <w:rStyle w:val="Hyperlink"/>
          </w:rPr>
          <w:t xml:space="preserve">https://main--southwest--ynaka-adobe.aem.live/</w:t>
        </w:r>
      </w:hyperlink>
      <w:r>
        <w:t xml:space="preserve">.</w:t>
      </w:r>
    </w:p>
    <w:p>
      <w:pPr>
        <w:pBdr>
          <w:top w:val="single" w:color="E4002B" w:sz="6"/>
          <w:bottom w:val="single" w:color="E4002B" w:sz="6"/>
          <w:left w:val="single" w:color="E4002B" w:sz="6"/>
          <w:right w:val="single" w:color="E4002B" w:sz="6"/>
        </w:pBdr>
        <w:shd w:fill="FBEAEA" w:val="clear"/>
        <w:spacing w:after="120" w:before="80"/>
      </w:pPr>
      <w:r>
        <w:rPr>
          <w:b/>
          <w:bCs/>
          <w:color w:val="E4002B"/>
        </w:rPr>
        <w:t xml:space="preserve">Tip  </w:t>
      </w:r>
      <w:r>
        <w:t xml:space="preserve">There is also a Claude Code skill, create-eds-demo, that walks you through this same process interactively — it checks your setup, hands you the exact prompts, and validates your preview site. See the last section, “Guided mode: the create-eds-demo skill.”</w:t>
      </w:r>
    </w:p>
    <w:p>
      <w:pPr>
        <w:pStyle w:val="Heading2"/>
        <w:spacing w:after="80" w:before="200"/>
      </w:pPr>
      <w:r>
        <w:t xml:space="preserve">The big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E4002B" w:val="clear"/>
            <w:tcMar>
              <w:top w:type="dxa" w:w="60"/>
              <w:left w:type="dxa" w:w="100"/>
              <w:bottom w:type="dxa" w:w="60"/>
              <w:right w:type="dxa" w:w="100"/>
            </w:tcMar>
          </w:tcPr>
          <w:p>
            <w:r>
              <w:rPr>
                <w:b/>
                <w:bCs/>
                <w:color w:val="FFFFFF"/>
              </w:rPr>
              <w:t xml:space="preserve">Phase</w:t>
            </w:r>
          </w:p>
        </w:tc>
        <w:tc>
          <w:tcPr>
            <w:tcW w:type="dxa" w:w="6360"/>
            <w:shd w:fill="E4002B" w:val="clear"/>
            <w:tcMar>
              <w:top w:type="dxa" w:w="60"/>
              <w:left w:type="dxa" w:w="100"/>
              <w:bottom w:type="dxa" w:w="60"/>
              <w:right w:type="dxa" w:w="100"/>
            </w:tcMar>
          </w:tcPr>
          <w:p>
            <w:r>
              <w:rPr>
                <w:b/>
                <w:bCs/>
                <w:color w:val="FFFFFF"/>
              </w:rPr>
              <w:t xml:space="preserve">What happens</w:t>
            </w:r>
          </w:p>
        </w:tc>
      </w:tr>
      <w:tr>
        <w:tc>
          <w:tcPr>
            <w:tcW w:type="dxa" w:w="3000"/>
            <w:tcMar>
              <w:top w:type="dxa" w:w="60"/>
              <w:left w:type="dxa" w:w="100"/>
              <w:bottom w:type="dxa" w:w="60"/>
              <w:right w:type="dxa" w:w="100"/>
            </w:tcMar>
          </w:tcPr>
          <w:p>
            <w:r>
              <w:rPr>
                <w:b w:val="false"/>
                <w:bCs w:val="false"/>
                <w:color w:val="000000"/>
              </w:rPr>
              <w:t xml:space="preserve">1. One-time setup</w:t>
            </w:r>
          </w:p>
        </w:tc>
        <w:tc>
          <w:tcPr>
            <w:tcW w:type="dxa" w:w="6360"/>
            <w:tcMar>
              <w:top w:type="dxa" w:w="60"/>
              <w:left w:type="dxa" w:w="100"/>
              <w:bottom w:type="dxa" w:w="60"/>
              <w:right w:type="dxa" w:w="100"/>
            </w:tcMar>
          </w:tcPr>
          <w:p>
            <w:r>
              <w:rPr>
                <w:b w:val="false"/>
                <w:bCs w:val="false"/>
                <w:color w:val="000000"/>
              </w:rPr>
              <w:t xml:space="preserve">GitHub account, a free org ending in -adobe, and local tools (git, Node, AEM CLI).</w:t>
            </w:r>
          </w:p>
        </w:tc>
      </w:tr>
      <w:tr>
        <w:tc>
          <w:tcPr>
            <w:tcW w:type="dxa" w:w="3000"/>
            <w:tcMar>
              <w:top w:type="dxa" w:w="60"/>
              <w:left w:type="dxa" w:w="100"/>
              <w:bottom w:type="dxa" w:w="60"/>
              <w:right w:type="dxa" w:w="100"/>
            </w:tcMar>
          </w:tcPr>
          <w:p>
            <w:r>
              <w:rPr>
                <w:b w:val="false"/>
                <w:bCs w:val="false"/>
                <w:color w:val="000000"/>
              </w:rPr>
              <w:t xml:space="preserve">2. Create the repo</w:t>
            </w:r>
          </w:p>
        </w:tc>
        <w:tc>
          <w:tcPr>
            <w:tcW w:type="dxa" w:w="6360"/>
            <w:tcMar>
              <w:top w:type="dxa" w:w="60"/>
              <w:left w:type="dxa" w:w="100"/>
              <w:bottom w:type="dxa" w:w="60"/>
              <w:right w:type="dxa" w:w="100"/>
            </w:tcMar>
          </w:tcPr>
          <w:p>
            <w:r>
              <w:rPr>
                <w:b w:val="false"/>
                <w:bCs w:val="false"/>
                <w:color w:val="000000"/>
              </w:rPr>
              <w:t xml:space="preserve">Make a customer repo from the da-demo-kit template and install AEM Code Sync.</w:t>
            </w:r>
          </w:p>
        </w:tc>
      </w:tr>
      <w:tr>
        <w:tc>
          <w:tcPr>
            <w:tcW w:type="dxa" w:w="3000"/>
            <w:tcMar>
              <w:top w:type="dxa" w:w="60"/>
              <w:left w:type="dxa" w:w="100"/>
              <w:bottom w:type="dxa" w:w="60"/>
              <w:right w:type="dxa" w:w="100"/>
            </w:tcMar>
          </w:tcPr>
          <w:p>
            <w:r>
              <w:rPr>
                <w:b w:val="false"/>
                <w:bCs w:val="false"/>
                <w:color w:val="000000"/>
              </w:rPr>
              <w:t xml:space="preserve">3. Content root</w:t>
            </w:r>
          </w:p>
        </w:tc>
        <w:tc>
          <w:tcPr>
            <w:tcW w:type="dxa" w:w="6360"/>
            <w:tcMar>
              <w:top w:type="dxa" w:w="60"/>
              <w:left w:type="dxa" w:w="100"/>
              <w:bottom w:type="dxa" w:w="60"/>
              <w:right w:type="dxa" w:w="100"/>
            </w:tcMar>
          </w:tcPr>
          <w:p>
            <w:r>
              <w:rPr>
                <w:b w:val="false"/>
                <w:bCs w:val="false"/>
                <w:color w:val="000000"/>
              </w:rPr>
              <w:t xml:space="preserve">Create your Document Authoring (DA) content root at da.live/start.</w:t>
            </w:r>
          </w:p>
        </w:tc>
      </w:tr>
      <w:tr>
        <w:tc>
          <w:tcPr>
            <w:tcW w:type="dxa" w:w="3000"/>
            <w:tcMar>
              <w:top w:type="dxa" w:w="60"/>
              <w:left w:type="dxa" w:w="100"/>
              <w:bottom w:type="dxa" w:w="60"/>
              <w:right w:type="dxa" w:w="100"/>
            </w:tcMar>
          </w:tcPr>
          <w:p>
            <w:r>
              <w:rPr>
                <w:b w:val="false"/>
                <w:bCs w:val="false"/>
                <w:color w:val="000000"/>
              </w:rPr>
              <w:t xml:space="preserve">4. Connect the agent</w:t>
            </w:r>
          </w:p>
        </w:tc>
        <w:tc>
          <w:tcPr>
            <w:tcW w:type="dxa" w:w="6360"/>
            <w:tcMar>
              <w:top w:type="dxa" w:w="60"/>
              <w:left w:type="dxa" w:w="100"/>
              <w:bottom w:type="dxa" w:w="60"/>
              <w:right w:type="dxa" w:w="100"/>
            </w:tcMar>
          </w:tcPr>
          <w:p>
            <w:r>
              <w:rPr>
                <w:b w:val="false"/>
                <w:bCs w:val="false"/>
                <w:color w:val="000000"/>
              </w:rPr>
              <w:t xml:space="preserve">Open aemcoder.adobe.io, connect your repo, run Code Connector + Code Sync.</w:t>
            </w:r>
          </w:p>
        </w:tc>
      </w:tr>
      <w:tr>
        <w:tc>
          <w:tcPr>
            <w:tcW w:type="dxa" w:w="3000"/>
            <w:tcMar>
              <w:top w:type="dxa" w:w="60"/>
              <w:left w:type="dxa" w:w="100"/>
              <w:bottom w:type="dxa" w:w="60"/>
              <w:right w:type="dxa" w:w="100"/>
            </w:tcMar>
          </w:tcPr>
          <w:p>
            <w:r>
              <w:rPr>
                <w:b w:val="false"/>
                <w:bCs w:val="false"/>
                <w:color w:val="000000"/>
              </w:rPr>
              <w:t xml:space="preserve">5. Migrate content</w:t>
            </w:r>
          </w:p>
        </w:tc>
        <w:tc>
          <w:tcPr>
            <w:tcW w:type="dxa" w:w="6360"/>
            <w:tcMar>
              <w:top w:type="dxa" w:w="60"/>
              <w:left w:type="dxa" w:w="100"/>
              <w:bottom w:type="dxa" w:w="60"/>
              <w:right w:type="dxa" w:w="100"/>
            </w:tcMar>
          </w:tcPr>
          <w:p>
            <w:r>
              <w:rPr>
                <w:b w:val="false"/>
                <w:bCs w:val="false"/>
                <w:color w:val="000000"/>
              </w:rPr>
              <w:t xml:space="preserve">Migrate one page, verify, then bulk-import the rest.</w:t>
            </w:r>
          </w:p>
        </w:tc>
      </w:tr>
      <w:tr>
        <w:tc>
          <w:tcPr>
            <w:tcW w:type="dxa" w:w="3000"/>
            <w:tcMar>
              <w:top w:type="dxa" w:w="60"/>
              <w:left w:type="dxa" w:w="100"/>
              <w:bottom w:type="dxa" w:w="60"/>
              <w:right w:type="dxa" w:w="100"/>
            </w:tcMar>
          </w:tcPr>
          <w:p>
            <w:r>
              <w:rPr>
                <w:b w:val="false"/>
                <w:bCs w:val="false"/>
                <w:color w:val="000000"/>
              </w:rPr>
              <w:t xml:space="preserve">6. Migrate design</w:t>
            </w:r>
          </w:p>
        </w:tc>
        <w:tc>
          <w:tcPr>
            <w:tcW w:type="dxa" w:w="6360"/>
            <w:tcMar>
              <w:top w:type="dxa" w:w="60"/>
              <w:left w:type="dxa" w:w="100"/>
              <w:bottom w:type="dxa" w:w="60"/>
              <w:right w:type="dxa" w:w="100"/>
            </w:tcMar>
          </w:tcPr>
          <w:p>
            <w:r>
              <w:rPr>
                <w:b w:val="false"/>
                <w:bCs w:val="false"/>
                <w:color w:val="000000"/>
              </w:rPr>
              <w:t xml:space="preserve">Global styles and tokens first, then per-block CSS.</w:t>
            </w:r>
          </w:p>
        </w:tc>
      </w:tr>
      <w:tr>
        <w:tc>
          <w:tcPr>
            <w:tcW w:type="dxa" w:w="3000"/>
            <w:tcMar>
              <w:top w:type="dxa" w:w="60"/>
              <w:left w:type="dxa" w:w="100"/>
              <w:bottom w:type="dxa" w:w="60"/>
              <w:right w:type="dxa" w:w="100"/>
            </w:tcMar>
          </w:tcPr>
          <w:p>
            <w:r>
              <w:rPr>
                <w:b w:val="false"/>
                <w:bCs w:val="false"/>
                <w:color w:val="000000"/>
              </w:rPr>
              <w:t xml:space="preserve">7. Polish</w:t>
            </w:r>
          </w:p>
        </w:tc>
        <w:tc>
          <w:tcPr>
            <w:tcW w:type="dxa" w:w="6360"/>
            <w:tcMar>
              <w:top w:type="dxa" w:w="60"/>
              <w:left w:type="dxa" w:w="100"/>
              <w:bottom w:type="dxa" w:w="60"/>
              <w:right w:type="dxa" w:w="100"/>
            </w:tcMar>
          </w:tcPr>
          <w:p>
            <w:r>
              <w:rPr>
                <w:b w:val="false"/>
                <w:bCs w:val="false"/>
                <w:color w:val="000000"/>
              </w:rPr>
              <w:t xml:space="preserve">Navigation, header/footer, blocks, optional Figma-to-block.</w:t>
            </w:r>
          </w:p>
        </w:tc>
      </w:tr>
      <w:tr>
        <w:tc>
          <w:tcPr>
            <w:tcW w:type="dxa" w:w="3000"/>
            <w:tcMar>
              <w:top w:type="dxa" w:w="60"/>
              <w:left w:type="dxa" w:w="100"/>
              <w:bottom w:type="dxa" w:w="60"/>
              <w:right w:type="dxa" w:w="100"/>
            </w:tcMar>
          </w:tcPr>
          <w:p>
            <w:r>
              <w:rPr>
                <w:b w:val="false"/>
                <w:bCs w:val="false"/>
                <w:color w:val="000000"/>
              </w:rPr>
              <w:t xml:space="preserve">8. Sync back</w:t>
            </w:r>
          </w:p>
        </w:tc>
        <w:tc>
          <w:tcPr>
            <w:tcW w:type="dxa" w:w="6360"/>
            <w:tcMar>
              <w:top w:type="dxa" w:w="60"/>
              <w:left w:type="dxa" w:w="100"/>
              <w:bottom w:type="dxa" w:w="60"/>
              <w:right w:type="dxa" w:w="100"/>
            </w:tcMar>
          </w:tcPr>
          <w:p>
            <w:r>
              <w:rPr>
                <w:b w:val="false"/>
                <w:bCs w:val="false"/>
                <w:color w:val="000000"/>
              </w:rPr>
              <w:t xml:space="preserve">Push code to GitHub, upload content to DA.</w:t>
            </w:r>
          </w:p>
        </w:tc>
      </w:tr>
      <w:tr>
        <w:tc>
          <w:tcPr>
            <w:tcW w:type="dxa" w:w="3000"/>
            <w:tcMar>
              <w:top w:type="dxa" w:w="60"/>
              <w:left w:type="dxa" w:w="100"/>
              <w:bottom w:type="dxa" w:w="60"/>
              <w:right w:type="dxa" w:w="100"/>
            </w:tcMar>
          </w:tcPr>
          <w:p>
            <w:r>
              <w:rPr>
                <w:b w:val="false"/>
                <w:bCs w:val="false"/>
                <w:color w:val="000000"/>
              </w:rPr>
              <w:t xml:space="preserve">9. Validate &amp; publish</w:t>
            </w:r>
          </w:p>
        </w:tc>
        <w:tc>
          <w:tcPr>
            <w:tcW w:type="dxa" w:w="6360"/>
            <w:tcMar>
              <w:top w:type="dxa" w:w="60"/>
              <w:left w:type="dxa" w:w="100"/>
              <w:bottom w:type="dxa" w:w="60"/>
              <w:right w:type="dxa" w:w="100"/>
            </w:tcMar>
          </w:tcPr>
          <w:p>
            <w:r>
              <w:rPr>
                <w:b w:val="false"/>
                <w:bCs w:val="false"/>
                <w:color w:val="000000"/>
              </w:rPr>
              <w:t xml:space="preserve">Check the preview URL, then bulk-publish to go live.</w:t>
            </w:r>
          </w:p>
        </w:tc>
      </w:tr>
    </w:tbl>
    <w:p>
      <w:pPr>
        <w:pBdr>
          <w:top w:val="single" w:color="E4002B" w:sz="6"/>
          <w:bottom w:val="single" w:color="E4002B" w:sz="6"/>
          <w:left w:val="single" w:color="E4002B" w:sz="6"/>
          <w:right w:val="single" w:color="E4002B" w:sz="6"/>
        </w:pBdr>
        <w:shd w:fill="FBEAEA" w:val="clear"/>
        <w:spacing w:after="120" w:before="80"/>
      </w:pPr>
      <w:r>
        <w:rPr>
          <w:b/>
          <w:bCs/>
          <w:color w:val="E4002B"/>
        </w:rPr>
        <w:t xml:space="preserve">Order matters  </w:t>
      </w:r>
      <w:r>
        <w:t xml:space="preserve">Migrate at least one page before bulk import (bulk needs the import infrastructure the first page creates), and complete site-wide design before per-block CSS (block CSS references the global design tokens).</w:t>
      </w:r>
    </w:p>
    <w:p>
      <w:r>
        <w:br w:type="page"/>
      </w:r>
    </w:p>
    <w:p>
      <w:pPr>
        <w:pStyle w:val="Heading1"/>
        <w:spacing w:after="120" w:before="240"/>
      </w:pPr>
      <w:r>
        <w:t xml:space="preserve">Phase 1 — One-time setup</w:t>
      </w:r>
    </w:p>
    <w:p>
      <w:pPr>
        <w:pStyle w:val="Heading2"/>
        <w:spacing w:after="80" w:before="200"/>
      </w:pPr>
      <w:r>
        <w:t xml:space="preserve">GitHub account</w:t>
      </w:r>
    </w:p>
    <w:p>
      <w:pPr>
        <w:pStyle w:val="ListParagraph"/>
        <w:numPr>
          <w:ilvl w:val="0"/>
          <w:numId w:val="3"/>
        </w:numPr>
        <w:spacing w:after="40"/>
      </w:pPr>
      <w:hyperlink w:history="1" r:id="rIdfbkhagbetxflkvu5cnnbs">
        <w:r>
          <w:rPr>
            <w:rStyle w:val="Hyperlink"/>
          </w:rPr>
          <w:t xml:space="preserve">Go to github.com</w:t>
        </w:r>
      </w:hyperlink>
      <w:r>
        <w:t xml:space="preserve"> and click Sign up.</w:t>
      </w:r>
    </w:p>
    <w:p>
      <w:pPr>
        <w:pStyle w:val="ListParagraph"/>
        <w:numPr>
          <w:ilvl w:val="0"/>
          <w:numId w:val="3"/>
        </w:numPr>
        <w:spacing w:after="40"/>
      </w:pPr>
      <w:r>
        <w:t xml:space="preserve">Use your Adobe email and create an account. GitHub emails you a code to validate.</w:t>
      </w:r>
    </w:p>
    <w:p>
      <w:pPr>
        <w:pStyle w:val="Heading2"/>
        <w:spacing w:after="80" w:before="200"/>
      </w:pPr>
      <w:r>
        <w:t xml:space="preserve">Personal GitHub organization (required)</w:t>
      </w:r>
    </w:p>
    <w:p>
      <w:pPr>
        <w:spacing w:after="100"/>
      </w:pPr>
      <w:r>
        <w:t xml:space="preserve">A GitHub org is needed to access the Edge Delivery admin tools, and its name drives how the admin service finds you.</w:t>
      </w:r>
    </w:p>
    <w:p>
      <w:pPr>
        <w:pStyle w:val="ListParagraph"/>
        <w:numPr>
          <w:ilvl w:val="0"/>
          <w:numId w:val="4"/>
        </w:numPr>
        <w:spacing w:after="40"/>
      </w:pPr>
      <w:r>
        <w:t xml:space="preserve">After logging in, click the menu next to your avatar and choose Your organizations → New organization.</w:t>
      </w:r>
    </w:p>
    <w:p>
      <w:pPr>
        <w:pStyle w:val="ListParagraph"/>
        <w:numPr>
          <w:ilvl w:val="0"/>
          <w:numId w:val="4"/>
        </w:numPr>
        <w:spacing w:after="40"/>
      </w:pPr>
      <w:r>
        <w:t xml:space="preserve">Choose the Free plan, then select Personal Account as the owner.</w:t>
      </w:r>
    </w:p>
    <w:p>
      <w:pPr>
        <w:pStyle w:val="ListParagraph"/>
        <w:numPr>
          <w:ilvl w:val="0"/>
          <w:numId w:val="4"/>
        </w:numPr>
        <w:spacing w:after="40"/>
      </w:pPr>
      <w:r>
        <w:rPr>
          <w:b/>
          <w:bCs/>
        </w:rPr>
        <w:t xml:space="preserve">Name the org your username + -adobe</w:t>
      </w:r>
      <w:r>
        <w:t xml:space="preserve"> (example: username “ynaka” → org “ynaka-adobe”).</w:t>
      </w:r>
    </w:p>
    <w:p>
      <w:pPr>
        <w:pStyle w:val="ListParagraph"/>
        <w:numPr>
          <w:ilvl w:val="0"/>
          <w:numId w:val="4"/>
        </w:numPr>
        <w:spacing w:after="40"/>
      </w:pPr>
      <w:r>
        <w:t xml:space="preserve">Add your Adobe email as the org's contact email — the EDS admin service reads this.</w:t>
      </w:r>
    </w:p>
    <w:p>
      <w:pPr>
        <w:pBdr>
          <w:top w:val="single" w:color="E4002B" w:sz="6"/>
          <w:bottom w:val="single" w:color="E4002B" w:sz="6"/>
          <w:left w:val="single" w:color="E4002B" w:sz="6"/>
          <w:right w:val="single" w:color="E4002B" w:sz="6"/>
        </w:pBdr>
        <w:shd w:fill="FBEAEA" w:val="clear"/>
        <w:spacing w:after="120" w:before="80"/>
      </w:pPr>
      <w:r>
        <w:rPr>
          <w:b/>
          <w:bCs/>
          <w:color w:val="E4002B"/>
        </w:rPr>
        <w:t xml:space="preserve">Why -adobe matters  </w:t>
      </w:r>
      <w:r>
        <w:t xml:space="preserve">The Edge Delivery admin service resolves your admin from the org name and contact email. Getting this right now prevents the “could not find admin” error later, and creating repos in this org retroactively fixes older repos.</w:t>
      </w:r>
    </w:p>
    <w:p>
      <w:pPr>
        <w:pStyle w:val="Heading2"/>
        <w:spacing w:after="80" w:before="200"/>
      </w:pPr>
      <w:r>
        <w:t xml:space="preserve">Local tools</w:t>
      </w:r>
    </w:p>
    <w:p>
      <w:pPr>
        <w:spacing w:after="100"/>
      </w:pPr>
      <w:r>
        <w:t xml:space="preserve">Open a terminal and confirm these are installed:</w:t>
      </w:r>
    </w:p>
    <w:p>
      <w:pPr>
        <w:pBdr>
          <w:left w:val="single" w:color="E4002B" w:sz="18" w:space="8"/>
        </w:pBdr>
        <w:shd w:fill="F2F2F2" w:val="clear"/>
        <w:spacing w:after="40" w:before="40"/>
      </w:pPr>
      <w:r>
        <w:rPr>
          <w:rFonts w:ascii="Courier New" w:cs="Courier New" w:eastAsia="Courier New" w:hAnsi="Courier New"/>
          <w:sz w:val="20"/>
          <w:szCs w:val="20"/>
        </w:rPr>
        <w:t xml:space="preserve">git --version</w:t>
      </w:r>
    </w:p>
    <w:p>
      <w:pPr>
        <w:pBdr>
          <w:left w:val="single" w:color="E4002B" w:sz="18" w:space="8"/>
        </w:pBdr>
        <w:shd w:fill="F2F2F2" w:val="clear"/>
        <w:spacing w:after="40" w:before="40"/>
      </w:pPr>
      <w:r>
        <w:rPr>
          <w:rFonts w:ascii="Courier New" w:cs="Courier New" w:eastAsia="Courier New" w:hAnsi="Courier New"/>
          <w:sz w:val="20"/>
          <w:szCs w:val="20"/>
        </w:rPr>
        <w:t xml:space="preserve">node --version</w:t>
      </w:r>
    </w:p>
    <w:p>
      <w:pPr>
        <w:pBdr>
          <w:left w:val="single" w:color="E4002B" w:sz="18" w:space="8"/>
        </w:pBdr>
        <w:shd w:fill="F2F2F2" w:val="clear"/>
        <w:spacing w:after="40" w:before="40"/>
      </w:pPr>
      <w:r>
        <w:rPr>
          <w:rFonts w:ascii="Courier New" w:cs="Courier New" w:eastAsia="Courier New" w:hAnsi="Courier New"/>
          <w:sz w:val="20"/>
          <w:szCs w:val="20"/>
        </w:rPr>
        <w:t xml:space="preserve">aem --version</w:t>
      </w:r>
    </w:p>
    <w:p>
      <w:pPr>
        <w:spacing w:after="100"/>
      </w:pPr>
      <w:r>
        <w:t xml:space="preserve">If any are missing:</w:t>
      </w:r>
    </w:p>
    <w:p>
      <w:pPr>
        <w:pStyle w:val="ListParagraph"/>
        <w:numPr>
          <w:ilvl w:val="0"/>
          <w:numId w:val="2"/>
        </w:numPr>
        <w:spacing w:after="40"/>
      </w:pPr>
      <w:r>
        <w:rPr>
          <w:b/>
          <w:bCs/>
        </w:rPr>
        <w:t xml:space="preserve">Node.js</w:t>
      </w:r>
      <w:r>
        <w:t xml:space="preserve"> (includes npm) — install the LTS build from nodejs.org.</w:t>
      </w:r>
    </w:p>
    <w:p>
      <w:pPr>
        <w:pStyle w:val="ListParagraph"/>
        <w:numPr>
          <w:ilvl w:val="0"/>
          <w:numId w:val="2"/>
        </w:numPr>
        <w:spacing w:after="40"/>
      </w:pPr>
      <w:r>
        <w:rPr>
          <w:b/>
          <w:bCs/>
        </w:rPr>
        <w:t xml:space="preserve">git</w:t>
      </w:r>
      <w:r>
        <w:t xml:space="preserve"> — install from git-scm.com.</w:t>
      </w:r>
    </w:p>
    <w:p>
      <w:pPr>
        <w:pStyle w:val="ListParagraph"/>
        <w:numPr>
          <w:ilvl w:val="0"/>
          <w:numId w:val="2"/>
        </w:numPr>
        <w:spacing w:after="40"/>
      </w:pPr>
      <w:r>
        <w:rPr>
          <w:b/>
          <w:bCs/>
        </w:rPr>
        <w:t xml:space="preserve">AEM CLI</w:t>
      </w:r>
      <w:r>
        <w:t xml:space="preserve"> — install with the command below:</w:t>
      </w:r>
    </w:p>
    <w:p>
      <w:pPr>
        <w:pBdr>
          <w:left w:val="single" w:color="E4002B" w:sz="18" w:space="8"/>
        </w:pBdr>
        <w:shd w:fill="F2F2F2" w:val="clear"/>
        <w:spacing w:after="40" w:before="40"/>
      </w:pPr>
      <w:r>
        <w:rPr>
          <w:rFonts w:ascii="Courier New" w:cs="Courier New" w:eastAsia="Courier New" w:hAnsi="Courier New"/>
          <w:sz w:val="20"/>
          <w:szCs w:val="20"/>
        </w:rPr>
        <w:t xml:space="preserve">sudo npm install -g @adobe/aem-cli</w:t>
      </w:r>
    </w:p>
    <w:p>
      <w:pPr>
        <w:pBdr>
          <w:top w:val="single" w:color="E4002B" w:sz="6"/>
          <w:bottom w:val="single" w:color="E4002B" w:sz="6"/>
          <w:left w:val="single" w:color="E4002B" w:sz="6"/>
          <w:right w:val="single" w:color="E4002B" w:sz="6"/>
        </w:pBdr>
        <w:shd w:fill="FBEAEA" w:val="clear"/>
        <w:spacing w:after="120" w:before="80"/>
      </w:pPr>
      <w:r>
        <w:rPr>
          <w:b/>
          <w:bCs/>
          <w:color w:val="E4002B"/>
        </w:rPr>
        <w:t xml:space="preserve">Optional  </w:t>
      </w:r>
      <w:r>
        <w:t xml:space="preserve">If you have Claude cowork enabled, you can run its onboarding.md to auto-verify git, Claude, Node, and the AEM CLI instead of checking each manually.</w:t>
      </w:r>
    </w:p>
    <w:p>
      <w:r>
        <w:br w:type="page"/>
      </w:r>
    </w:p>
    <w:p>
      <w:pPr>
        <w:pStyle w:val="Heading1"/>
        <w:spacing w:after="120" w:before="240"/>
      </w:pPr>
      <w:r>
        <w:t xml:space="preserve">Phase 2 — Create your customer repo</w:t>
      </w:r>
    </w:p>
    <w:p>
      <w:pPr>
        <w:spacing w:after="100"/>
      </w:pPr>
      <w:r>
        <w:t xml:space="preserve">Use </w:t>
      </w:r>
      <w:r>
        <w:rPr>
          <w:b/>
          <w:bCs/>
        </w:rPr>
        <w:t xml:space="preserve">da-demo-kit</w:t>
      </w:r>
      <w:r>
        <w:t xml:space="preserve"> as your template — it already contains the demo functionality you've seen demonstrated (Target integration, Workfront integration, Send-to-Workfront approval/publish).</w:t>
      </w:r>
    </w:p>
    <w:p>
      <w:pPr>
        <w:pStyle w:val="Heading2"/>
        <w:spacing w:after="80" w:before="200"/>
      </w:pPr>
      <w:r>
        <w:t xml:space="preserve">Option A — In the browser (recommended)</w:t>
      </w:r>
    </w:p>
    <w:p>
      <w:pPr>
        <w:pStyle w:val="ListParagraph"/>
        <w:numPr>
          <w:ilvl w:val="0"/>
          <w:numId w:val="5"/>
        </w:numPr>
        <w:spacing w:after="40"/>
      </w:pPr>
      <w:r>
        <w:t xml:space="preserve">Open </w:t>
      </w:r>
      <w:hyperlink w:history="1" r:id="rIdanxk-0u59gqfnynx9eshl">
        <w:r>
          <w:rPr>
            <w:rStyle w:val="Hyperlink"/>
          </w:rPr>
          <w:t xml:space="preserve">github.com/ynaka-adobe/da-demo-kit</w:t>
        </w:r>
      </w:hyperlink>
      <w:r>
        <w:t xml:space="preserve">.</w:t>
      </w:r>
    </w:p>
    <w:p>
      <w:pPr>
        <w:pStyle w:val="ListParagraph"/>
        <w:numPr>
          <w:ilvl w:val="0"/>
          <w:numId w:val="5"/>
        </w:numPr>
        <w:spacing w:after="40"/>
      </w:pPr>
      <w:r>
        <w:t xml:space="preserve">Click “Use this template” → “Create a new repository.”</w:t>
      </w:r>
    </w:p>
    <w:p>
      <w:pPr>
        <w:pStyle w:val="ListParagraph"/>
        <w:numPr>
          <w:ilvl w:val="0"/>
          <w:numId w:val="5"/>
        </w:numPr>
        <w:spacing w:after="40"/>
      </w:pPr>
      <w:r>
        <w:t xml:space="preserve">Repository name = your customer or site name, lowercase, no spaces (e.g. southwest).</w:t>
      </w:r>
    </w:p>
    <w:p>
      <w:pPr>
        <w:pStyle w:val="ListParagraph"/>
        <w:numPr>
          <w:ilvl w:val="0"/>
          <w:numId w:val="5"/>
        </w:numPr>
        <w:spacing w:after="40"/>
      </w:pPr>
      <w:r>
        <w:t xml:space="preserve">Owner = your personal -adobe org. Visibility = Public.</w:t>
      </w:r>
    </w:p>
    <w:p>
      <w:pPr>
        <w:pStyle w:val="Heading2"/>
        <w:spacing w:after="80" w:before="200"/>
      </w:pPr>
      <w:r>
        <w:t xml:space="preserve">Option B — With the GitHub CLI (faster, if installed)</w:t>
      </w:r>
    </w:p>
    <w:p>
      <w:pPr>
        <w:spacing w:after="100"/>
      </w:pPr>
      <w:r>
        <w:t xml:space="preserve">If you have the gh CLI authenticated (check with gh auth status), you can create the repo in one command:</w:t>
      </w:r>
    </w:p>
    <w:p>
      <w:pPr>
        <w:pBdr>
          <w:left w:val="single" w:color="E4002B" w:sz="18" w:space="8"/>
        </w:pBdr>
        <w:shd w:fill="F2F2F2" w:val="clear"/>
        <w:spacing w:after="40" w:before="40"/>
      </w:pPr>
      <w:r>
        <w:rPr>
          <w:rFonts w:ascii="Courier New" w:cs="Courier New" w:eastAsia="Courier New" w:hAnsi="Courier New"/>
          <w:sz w:val="20"/>
          <w:szCs w:val="20"/>
        </w:rPr>
        <w:t xml:space="preserve">gh repo create &lt;org&gt;/&lt;name&gt; --template ynaka-adobe/da-demo-kit --public</w:t>
      </w:r>
    </w:p>
    <w:p>
      <w:pPr>
        <w:pStyle w:val="Heading2"/>
        <w:spacing w:after="80" w:before="200"/>
      </w:pPr>
      <w:r>
        <w:t xml:space="preserve">Install AEM Code Sync</w:t>
      </w:r>
    </w:p>
    <w:p>
      <w:pPr>
        <w:spacing w:after="100"/>
      </w:pPr>
      <w:r>
        <w:t xml:space="preserve">Code Sync installs the Edge Delivery microservices that run at the edge — the modern replacement for the old AEM publish server. </w:t>
      </w:r>
      <w:r>
        <w:rPr>
          <w:b/>
          <w:bCs/>
        </w:rPr>
        <w:t xml:space="preserve">This step is always done in the browser.</w:t>
      </w:r>
      <w:r>
        <w:t xml:space="preserve"> It cannot be done from the CLI.</w:t>
      </w:r>
    </w:p>
    <w:p>
      <w:pPr>
        <w:pStyle w:val="ListParagraph"/>
        <w:numPr>
          <w:ilvl w:val="0"/>
          <w:numId w:val="6"/>
        </w:numPr>
        <w:spacing w:after="40"/>
      </w:pPr>
      <w:r>
        <w:t xml:space="preserve">Open </w:t>
      </w:r>
      <w:hyperlink w:history="1" r:id="rIdxrej-xexkgswpmg6nc_sa">
        <w:r>
          <w:rPr>
            <w:rStyle w:val="Hyperlink"/>
          </w:rPr>
          <w:t xml:space="preserve">github.com/apps/aem-code-sync</w:t>
        </w:r>
      </w:hyperlink>
      <w:r>
        <w:t xml:space="preserve"> → Configure.</w:t>
      </w:r>
    </w:p>
    <w:p>
      <w:pPr>
        <w:pStyle w:val="ListParagraph"/>
        <w:numPr>
          <w:ilvl w:val="0"/>
          <w:numId w:val="6"/>
        </w:numPr>
        <w:spacing w:after="40"/>
      </w:pPr>
      <w:r>
        <w:t xml:space="preserve">Select your personal -adobe org → “Only select repositories” → pick the repo you just created.</w:t>
      </w:r>
    </w:p>
    <w:p>
      <w:pPr>
        <w:pStyle w:val="ListParagraph"/>
        <w:numPr>
          <w:ilvl w:val="0"/>
          <w:numId w:val="6"/>
        </w:numPr>
        <w:spacing w:after="40"/>
      </w:pPr>
      <w:r>
        <w:t xml:space="preserve">Install &amp; Authorize.</w:t>
      </w:r>
    </w:p>
    <w:p>
      <w:r>
        <w:br w:type="page"/>
      </w:r>
    </w:p>
    <w:p>
      <w:pPr>
        <w:pStyle w:val="Heading1"/>
        <w:spacing w:after="120" w:before="240"/>
      </w:pPr>
      <w:r>
        <w:t xml:space="preserve">Phase 3 — Create your DA content root</w:t>
      </w:r>
    </w:p>
    <w:p>
      <w:pPr>
        <w:spacing w:after="100"/>
      </w:pPr>
      <w:r>
        <w:t xml:space="preserve">Content lives in </w:t>
      </w:r>
      <w:r>
        <w:rPr>
          <w:b/>
          <w:bCs/>
        </w:rPr>
        <w:t xml:space="preserve">Document Authoring (DA)</w:t>
      </w:r>
      <w:r>
        <w:t xml:space="preserve">, separate from your code.</w:t>
      </w:r>
    </w:p>
    <w:p>
      <w:pPr>
        <w:pStyle w:val="ListParagraph"/>
        <w:numPr>
          <w:ilvl w:val="0"/>
          <w:numId w:val="7"/>
        </w:numPr>
        <w:spacing w:after="40"/>
      </w:pPr>
      <w:r>
        <w:t xml:space="preserve">Go to </w:t>
      </w:r>
      <w:hyperlink w:history="1" r:id="rIddhahwhfnphb7xhsmy8pog">
        <w:r>
          <w:rPr>
            <w:rStyle w:val="Hyperlink"/>
          </w:rPr>
          <w:t xml:space="preserve">da.live/start</w:t>
        </w:r>
      </w:hyperlink>
      <w:r>
        <w:t xml:space="preserve"> (the preferred wizard).</w:t>
      </w:r>
    </w:p>
    <w:p>
      <w:pPr>
        <w:pStyle w:val="ListParagraph"/>
        <w:numPr>
          <w:ilvl w:val="0"/>
          <w:numId w:val="7"/>
        </w:numPr>
        <w:spacing w:after="40"/>
      </w:pPr>
      <w:r>
        <w:t xml:space="preserve">Enter the GitHub repo you just created and click Go.</w:t>
      </w:r>
    </w:p>
    <w:p>
      <w:pPr>
        <w:pStyle w:val="ListParagraph"/>
        <w:numPr>
          <w:ilvl w:val="0"/>
          <w:numId w:val="7"/>
        </w:numPr>
        <w:spacing w:after="40"/>
      </w:pPr>
      <w:r>
        <w:t xml:space="preserve">On step 2, select </w:t>
      </w:r>
      <w:r>
        <w:rPr>
          <w:b/>
          <w:bCs/>
        </w:rPr>
        <w:t xml:space="preserve">AEM Block Collection</w:t>
      </w:r>
      <w:r>
        <w:t xml:space="preserve"> (or None). Do </w:t>
      </w:r>
      <w:r>
        <w:rPr>
          <w:b/>
          <w:bCs/>
        </w:rPr>
        <w:t xml:space="preserve">not</w:t>
      </w:r>
      <w:r>
        <w:t xml:space="preserve"> use Author Kit with this template.</w:t>
      </w:r>
    </w:p>
    <w:p>
      <w:pPr>
        <w:pBdr>
          <w:top w:val="single" w:color="E4002B" w:sz="6"/>
          <w:bottom w:val="single" w:color="E4002B" w:sz="6"/>
          <w:left w:val="single" w:color="E4002B" w:sz="6"/>
          <w:right w:val="single" w:color="E4002B" w:sz="6"/>
        </w:pBdr>
        <w:shd w:fill="FBEAEA" w:val="clear"/>
        <w:spacing w:after="120" w:before="80"/>
      </w:pPr>
      <w:r>
        <w:rPr>
          <w:b/>
          <w:bCs/>
          <w:color w:val="E4002B"/>
        </w:rPr>
        <w:t xml:space="preserve">Good to know  </w:t>
      </w:r>
      <w:r>
        <w:t xml:space="preserve">da.live/#/{your-github-org} is your DA root. Come here to delete a content repo and free up a website name, or to create a root folder manually.</w:t>
      </w:r>
    </w:p>
    <w:p>
      <w:r>
        <w:br w:type="page"/>
      </w:r>
    </w:p>
    <w:p>
      <w:pPr>
        <w:pStyle w:val="Heading1"/>
        <w:spacing w:after="120" w:before="240"/>
      </w:pPr>
      <w:r>
        <w:t xml:space="preserve">Phase 4 — Connect the Experience Modernization Agent</w:t>
      </w:r>
    </w:p>
    <w:p>
      <w:pPr>
        <w:pStyle w:val="ListParagraph"/>
        <w:numPr>
          <w:ilvl w:val="0"/>
          <w:numId w:val="8"/>
        </w:numPr>
        <w:spacing w:after="40"/>
      </w:pPr>
      <w:r>
        <w:t xml:space="preserve">Open </w:t>
      </w:r>
      <w:hyperlink w:history="1" r:id="rIdni1fart6wdfasunay2zon">
        <w:r>
          <w:rPr>
            <w:rStyle w:val="Hyperlink"/>
          </w:rPr>
          <w:t xml:space="preserve">aemcoder.adobe.io</w:t>
        </w:r>
      </w:hyperlink>
      <w:r>
        <w:t xml:space="preserve">.</w:t>
      </w:r>
    </w:p>
    <w:p>
      <w:pPr>
        <w:pStyle w:val="ListParagraph"/>
        <w:numPr>
          <w:ilvl w:val="0"/>
          <w:numId w:val="8"/>
        </w:numPr>
        <w:spacing w:after="40"/>
      </w:pPr>
      <w:r>
        <w:t xml:space="preserve">First-time users get a GitHub repository connection popup — connect the repo you just created.</w:t>
      </w:r>
    </w:p>
    <w:p>
      <w:pPr>
        <w:pStyle w:val="ListParagraph"/>
        <w:numPr>
          <w:ilvl w:val="0"/>
          <w:numId w:val="8"/>
        </w:numPr>
        <w:spacing w:after="40"/>
      </w:pPr>
      <w:r>
        <w:rPr>
          <w:b/>
          <w:bCs/>
        </w:rPr>
        <w:t xml:space="preserve">Code Connector</w:t>
      </w:r>
      <w:r>
        <w:t xml:space="preserve"> lets the AI agent interact with your code and content repos; </w:t>
      </w:r>
      <w:r>
        <w:rPr>
          <w:b/>
          <w:bCs/>
        </w:rPr>
        <w:t xml:space="preserve">Code Sync</w:t>
      </w:r>
      <w:r>
        <w:t xml:space="preserve"> attaches event listeners between them. Run both, selecting your new repo.</w:t>
      </w:r>
    </w:p>
    <w:p>
      <w:pPr>
        <w:pStyle w:val="ListParagraph"/>
        <w:numPr>
          <w:ilvl w:val="0"/>
          <w:numId w:val="8"/>
        </w:numPr>
        <w:spacing w:after="40"/>
      </w:pPr>
      <w:r>
        <w:t xml:space="preserve">Read the confirmation email carefully. If you see a “could not find admin” error, see Troubleshooting.</w:t>
      </w:r>
    </w:p>
    <w:p>
      <w:pPr>
        <w:pStyle w:val="Heading2"/>
        <w:spacing w:after="80" w:before="200"/>
      </w:pPr>
      <w:r>
        <w:t xml:space="preserve">Get oriented in the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E4002B" w:val="clear"/>
            <w:tcMar>
              <w:top w:type="dxa" w:w="60"/>
              <w:left w:type="dxa" w:w="100"/>
              <w:bottom w:type="dxa" w:w="60"/>
              <w:right w:type="dxa" w:w="100"/>
            </w:tcMar>
          </w:tcPr>
          <w:p>
            <w:r>
              <w:rPr>
                <w:b/>
                <w:bCs/>
                <w:color w:val="FFFFFF"/>
              </w:rPr>
              <w:t xml:space="preserve">Area</w:t>
            </w:r>
          </w:p>
        </w:tc>
        <w:tc>
          <w:tcPr>
            <w:tcW w:type="dxa" w:w="6360"/>
            <w:shd w:fill="E4002B" w:val="clear"/>
            <w:tcMar>
              <w:top w:type="dxa" w:w="60"/>
              <w:left w:type="dxa" w:w="100"/>
              <w:bottom w:type="dxa" w:w="60"/>
              <w:right w:type="dxa" w:w="100"/>
            </w:tcMar>
          </w:tcPr>
          <w:p>
            <w:r>
              <w:rPr>
                <w:b/>
                <w:bCs/>
                <w:color w:val="FFFFFF"/>
              </w:rPr>
              <w:t xml:space="preserve">What it's for</w:t>
            </w:r>
          </w:p>
        </w:tc>
      </w:tr>
      <w:tr>
        <w:tc>
          <w:tcPr>
            <w:tcW w:type="dxa" w:w="3000"/>
            <w:tcMar>
              <w:top w:type="dxa" w:w="60"/>
              <w:left w:type="dxa" w:w="100"/>
              <w:bottom w:type="dxa" w:w="60"/>
              <w:right w:type="dxa" w:w="100"/>
            </w:tcMar>
          </w:tcPr>
          <w:p>
            <w:r>
              <w:rPr>
                <w:b w:val="false"/>
                <w:bCs w:val="false"/>
                <w:color w:val="000000"/>
              </w:rPr>
              <w:t xml:space="preserve">Chat window</w:t>
            </w:r>
          </w:p>
        </w:tc>
        <w:tc>
          <w:tcPr>
            <w:tcW w:type="dxa" w:w="6360"/>
            <w:tcMar>
              <w:top w:type="dxa" w:w="60"/>
              <w:left w:type="dxa" w:w="100"/>
              <w:bottom w:type="dxa" w:w="60"/>
              <w:right w:type="dxa" w:w="100"/>
            </w:tcMar>
          </w:tcPr>
          <w:p>
            <w:r>
              <w:rPr>
                <w:b w:val="false"/>
                <w:bCs w:val="false"/>
                <w:color w:val="000000"/>
              </w:rPr>
              <w:t xml:space="preserve">Where you paste migration prompts. Shows ~7 tasks per migration with live status.</w:t>
            </w:r>
          </w:p>
        </w:tc>
      </w:tr>
      <w:tr>
        <w:tc>
          <w:tcPr>
            <w:tcW w:type="dxa" w:w="3000"/>
            <w:tcMar>
              <w:top w:type="dxa" w:w="60"/>
              <w:left w:type="dxa" w:w="100"/>
              <w:bottom w:type="dxa" w:w="60"/>
              <w:right w:type="dxa" w:w="100"/>
            </w:tcMar>
          </w:tcPr>
          <w:p>
            <w:r>
              <w:rPr>
                <w:b w:val="false"/>
                <w:bCs w:val="false"/>
                <w:color w:val="000000"/>
              </w:rPr>
              <w:t xml:space="preserve">Code (left menu)</w:t>
            </w:r>
          </w:p>
        </w:tc>
        <w:tc>
          <w:tcPr>
            <w:tcW w:type="dxa" w:w="6360"/>
            <w:tcMar>
              <w:top w:type="dxa" w:w="60"/>
              <w:left w:type="dxa" w:w="100"/>
              <w:bottom w:type="dxa" w:w="60"/>
              <w:right w:type="dxa" w:w="100"/>
            </w:tcMar>
          </w:tcPr>
          <w:p>
            <w:r>
              <w:rPr>
                <w:b w:val="false"/>
                <w:bCs w:val="false"/>
                <w:color w:val="000000"/>
              </w:rPr>
              <w:t xml:space="preserve">Workspace changes → push your code to GitHub.</w:t>
            </w:r>
          </w:p>
        </w:tc>
      </w:tr>
      <w:tr>
        <w:tc>
          <w:tcPr>
            <w:tcW w:type="dxa" w:w="3000"/>
            <w:tcMar>
              <w:top w:type="dxa" w:w="60"/>
              <w:left w:type="dxa" w:w="100"/>
              <w:bottom w:type="dxa" w:w="60"/>
              <w:right w:type="dxa" w:w="100"/>
            </w:tcMar>
          </w:tcPr>
          <w:p>
            <w:r>
              <w:rPr>
                <w:b w:val="false"/>
                <w:bCs w:val="false"/>
                <w:color w:val="000000"/>
              </w:rPr>
              <w:t xml:space="preserve">Content (left menu)</w:t>
            </w:r>
          </w:p>
        </w:tc>
        <w:tc>
          <w:tcPr>
            <w:tcW w:type="dxa" w:w="6360"/>
            <w:tcMar>
              <w:top w:type="dxa" w:w="60"/>
              <w:left w:type="dxa" w:w="100"/>
              <w:bottom w:type="dxa" w:w="60"/>
              <w:right w:type="dxa" w:w="100"/>
            </w:tcMar>
          </w:tcPr>
          <w:p>
            <w:r>
              <w:rPr>
                <w:b w:val="false"/>
                <w:bCs w:val="false"/>
                <w:color w:val="000000"/>
              </w:rPr>
              <w:t xml:space="preserve">Upload your content to Document Authoring.</w:t>
            </w:r>
          </w:p>
        </w:tc>
      </w:tr>
      <w:tr>
        <w:tc>
          <w:tcPr>
            <w:tcW w:type="dxa" w:w="3000"/>
            <w:tcMar>
              <w:top w:type="dxa" w:w="60"/>
              <w:left w:type="dxa" w:w="100"/>
              <w:bottom w:type="dxa" w:w="60"/>
              <w:right w:type="dxa" w:w="100"/>
            </w:tcMar>
          </w:tcPr>
          <w:p>
            <w:r>
              <w:rPr>
                <w:b w:val="false"/>
                <w:bCs w:val="false"/>
                <w:color w:val="000000"/>
              </w:rPr>
              <w:t xml:space="preserve">Settings</w:t>
            </w:r>
          </w:p>
        </w:tc>
        <w:tc>
          <w:tcPr>
            <w:tcW w:type="dxa" w:w="6360"/>
            <w:tcMar>
              <w:top w:type="dxa" w:w="60"/>
              <w:left w:type="dxa" w:w="100"/>
              <w:bottom w:type="dxa" w:w="60"/>
              <w:right w:type="dxa" w:w="100"/>
            </w:tcMar>
          </w:tcPr>
          <w:p>
            <w:r>
              <w:rPr>
                <w:b w:val="false"/>
                <w:bCs w:val="false"/>
                <w:color w:val="000000"/>
              </w:rPr>
              <w:t xml:space="preserve">Reset your workspace (clears code/content connection and chat), paste a Figma token.</w:t>
            </w:r>
          </w:p>
        </w:tc>
      </w:tr>
    </w:tbl>
    <w:p>
      <w:pPr>
        <w:pBdr>
          <w:top w:val="single" w:color="E4002B" w:sz="6"/>
          <w:bottom w:val="single" w:color="E4002B" w:sz="6"/>
          <w:left w:val="single" w:color="E4002B" w:sz="6"/>
          <w:right w:val="single" w:color="E4002B" w:sz="6"/>
        </w:pBdr>
        <w:shd w:fill="FBEAEA" w:val="clear"/>
        <w:spacing w:after="120" w:before="80"/>
      </w:pPr>
      <w:r>
        <w:rPr>
          <w:b/>
          <w:bCs/>
          <w:color w:val="E4002B"/>
        </w:rPr>
        <w:t xml:space="preserve">How the agent works  </w:t>
      </w:r>
      <w:r>
        <w:t xml:space="preserve">It follows structured workflows and will ask clarifying questions. Answer them rather than trying to cram every requirement into one giant prompt.</w:t>
      </w:r>
    </w:p>
    <w:p>
      <w:r>
        <w:br w:type="page"/>
      </w:r>
    </w:p>
    <w:p>
      <w:pPr>
        <w:pStyle w:val="Heading1"/>
        <w:spacing w:after="120" w:before="240"/>
      </w:pPr>
      <w:r>
        <w:t xml:space="preserve">Phase 5 — Migrate content</w:t>
      </w:r>
    </w:p>
    <w:p>
      <w:pPr>
        <w:spacing w:after="100"/>
      </w:pPr>
      <w:r>
        <w:rPr>
          <w:b/>
          <w:bCs/>
        </w:rPr>
        <w:t xml:space="preserve">Always start with one page.</w:t>
      </w:r>
      <w:r>
        <w:t xml:space="preserve"> Each migration builds import infrastructure the next migration relies on.</w:t>
      </w:r>
    </w:p>
    <w:p>
      <w:pPr>
        <w:spacing w:after="100"/>
      </w:pPr>
      <w:r>
        <w:t xml:space="preserve">Paste into the aemcoder chat:</w:t>
      </w:r>
    </w:p>
    <w:p>
      <w:pPr>
        <w:pBdr>
          <w:left w:val="single" w:color="E4002B" w:sz="18" w:space="8"/>
        </w:pBdr>
        <w:shd w:fill="F2F2F2" w:val="clear"/>
        <w:spacing w:after="40" w:before="40"/>
      </w:pPr>
      <w:r>
        <w:rPr>
          <w:rFonts w:ascii="Courier New" w:cs="Courier New" w:eastAsia="Courier New" w:hAnsi="Courier New"/>
          <w:sz w:val="20"/>
          <w:szCs w:val="20"/>
        </w:rPr>
        <w:t xml:space="preserve">Migrate the page &lt;SOURCE_PAGE_URL&gt; to EDS.</w:t>
      </w:r>
    </w:p>
    <w:p>
      <w:pPr>
        <w:spacing w:after="100"/>
      </w:pPr>
      <w:r>
        <w:t xml:space="preserve">After it succeeds, bulk-import the rest:</w:t>
      </w:r>
    </w:p>
    <w:p>
      <w:pPr>
        <w:pBdr>
          <w:left w:val="single" w:color="E4002B" w:sz="18" w:space="8"/>
        </w:pBdr>
        <w:shd w:fill="F2F2F2" w:val="clear"/>
        <w:spacing w:after="40" w:before="40"/>
      </w:pPr>
      <w:r>
        <w:rPr>
          <w:rFonts w:ascii="Courier New" w:cs="Courier New" w:eastAsia="Courier New" w:hAnsi="Courier New"/>
          <w:sz w:val="20"/>
          <w:szCs w:val="20"/>
        </w:rPr>
        <w:t xml:space="preserve">Migrate these pages: &lt;URL1&gt;, &lt;URL2&gt;, &lt;URL3&gt; to EDS</w:t>
      </w:r>
    </w:p>
    <w:p>
      <w:pPr>
        <w:pStyle w:val="Heading2"/>
        <w:spacing w:after="80" w:before="200"/>
      </w:pPr>
      <w:r>
        <w:t xml:space="preserve">What to expect</w:t>
      </w:r>
    </w:p>
    <w:p>
      <w:pPr>
        <w:pStyle w:val="ListParagraph"/>
        <w:numPr>
          <w:ilvl w:val="0"/>
          <w:numId w:val="2"/>
        </w:numPr>
        <w:spacing w:after="40"/>
      </w:pPr>
      <w:r>
        <w:t xml:space="preserve">Content blocks are created and given the most appropriate block name (variants are preferred over new blocks).</w:t>
      </w:r>
    </w:p>
    <w:p>
      <w:pPr>
        <w:pStyle w:val="ListParagraph"/>
        <w:numPr>
          <w:ilvl w:val="0"/>
          <w:numId w:val="2"/>
        </w:numPr>
        <w:spacing w:after="40"/>
      </w:pPr>
      <w:r>
        <w:t xml:space="preserve">Header, navigation, and footer are excluded from page migration (handled later).</w:t>
      </w:r>
    </w:p>
    <w:p>
      <w:pPr>
        <w:pStyle w:val="ListParagraph"/>
        <w:numPr>
          <w:ilvl w:val="0"/>
          <w:numId w:val="2"/>
        </w:numPr>
        <w:spacing w:after="40"/>
      </w:pPr>
      <w:r>
        <w:t xml:space="preserve">Each run adds to the import infrastructure for future bulk imports.</w:t>
      </w:r>
    </w:p>
    <w:p>
      <w:pPr>
        <w:pStyle w:val="Heading1"/>
        <w:spacing w:after="120" w:before="240"/>
      </w:pPr>
      <w:r>
        <w:t xml:space="preserve">Phase 6 — Migrate design and tokens</w:t>
      </w:r>
    </w:p>
    <w:p>
      <w:pPr>
        <w:pStyle w:val="Heading2"/>
        <w:spacing w:after="80" w:before="200"/>
      </w:pPr>
      <w:r>
        <w:t xml:space="preserve">Design (two steps, in order)</w:t>
      </w:r>
    </w:p>
    <w:p>
      <w:pPr>
        <w:pBdr>
          <w:left w:val="single" w:color="E4002B" w:sz="18" w:space="8"/>
        </w:pBdr>
        <w:shd w:fill="F2F2F2" w:val="clear"/>
        <w:spacing w:after="40" w:before="40"/>
      </w:pPr>
      <w:r>
        <w:rPr>
          <w:rFonts w:ascii="Courier New" w:cs="Courier New" w:eastAsia="Courier New" w:hAnsi="Courier New"/>
          <w:sz w:val="20"/>
          <w:szCs w:val="20"/>
        </w:rPr>
        <w:t xml:space="preserve">Migrate Design from &lt;SOURCE_URL&gt; to EDS</w:t>
      </w:r>
    </w:p>
    <w:p>
      <w:pPr>
        <w:pStyle w:val="ListParagraph"/>
        <w:numPr>
          <w:ilvl w:val="0"/>
          <w:numId w:val="2"/>
        </w:numPr>
        <w:spacing w:after="40"/>
      </w:pPr>
      <w:r>
        <w:t xml:space="preserve">Step 1: global color palette, accent colors, typography, spacing, background, base styles → /styles/styles.css.</w:t>
      </w:r>
    </w:p>
    <w:p>
      <w:pPr>
        <w:pStyle w:val="ListParagraph"/>
        <w:numPr>
          <w:ilvl w:val="0"/>
          <w:numId w:val="2"/>
        </w:numPr>
        <w:spacing w:after="40"/>
      </w:pPr>
      <w:r>
        <w:t xml:space="preserve">Step 2: block-specific CSS using the global style → /blocks/{name}/{name}.css.</w:t>
      </w:r>
    </w:p>
    <w:p>
      <w:pPr>
        <w:pStyle w:val="Heading2"/>
        <w:spacing w:after="80" w:before="200"/>
      </w:pPr>
      <w:r>
        <w:t xml:space="preserve">Design tokens</w:t>
      </w:r>
    </w:p>
    <w:p>
      <w:pPr>
        <w:spacing w:after="100"/>
      </w:pPr>
      <w:r>
        <w:t xml:space="preserve">Most sites expose CSS variables (design tokens). Extracting them is its own prompt:</w:t>
      </w:r>
    </w:p>
    <w:p>
      <w:pPr>
        <w:pBdr>
          <w:left w:val="single" w:color="E4002B" w:sz="18" w:space="8"/>
        </w:pBdr>
        <w:shd w:fill="F2F2F2" w:val="clear"/>
        <w:spacing w:after="40" w:before="40"/>
      </w:pPr>
      <w:r>
        <w:rPr>
          <w:rFonts w:ascii="Courier New" w:cs="Courier New" w:eastAsia="Courier New" w:hAnsi="Courier New"/>
          <w:sz w:val="20"/>
          <w:szCs w:val="20"/>
        </w:rPr>
        <w:t xml:space="preserve">Migrate Design Tokens from &lt;SOURCE_URL&gt; to EDS</w:t>
      </w:r>
    </w:p>
    <w:p>
      <w:r>
        <w:br w:type="page"/>
      </w:r>
    </w:p>
    <w:p>
      <w:pPr>
        <w:pStyle w:val="Heading1"/>
        <w:spacing w:after="120" w:before="240"/>
      </w:pPr>
      <w:r>
        <w:t xml:space="preserve">Phase 7 — Polish: navigation, header/footer, blocks</w:t>
      </w:r>
    </w:p>
    <w:p>
      <w:pPr>
        <w:spacing w:after="100"/>
      </w:pPr>
      <w:r>
        <w:t xml:space="preserve">The first import is usually a basic version missing navigation, footer, and styling. Improve it:</w:t>
      </w:r>
    </w:p>
    <w:p>
      <w:pPr>
        <w:pStyle w:val="Heading2"/>
        <w:spacing w:after="80" w:before="200"/>
      </w:pPr>
      <w:r>
        <w:t xml:space="preserve">Navigation</w:t>
      </w:r>
    </w:p>
    <w:p>
      <w:pPr>
        <w:pBdr>
          <w:left w:val="single" w:color="E4002B" w:sz="18" w:space="8"/>
        </w:pBdr>
        <w:shd w:fill="F2F2F2" w:val="clear"/>
        <w:spacing w:after="40" w:before="40"/>
      </w:pPr>
      <w:r>
        <w:rPr>
          <w:rFonts w:ascii="Courier New" w:cs="Courier New" w:eastAsia="Courier New" w:hAnsi="Courier New"/>
          <w:sz w:val="20"/>
          <w:szCs w:val="20"/>
        </w:rPr>
        <w:t xml:space="preserve">Setup navigation from &lt;SOURCE_URL&gt;</w:t>
      </w:r>
    </w:p>
    <w:p>
      <w:pPr>
        <w:spacing w:after="100"/>
      </w:pPr>
      <w:r>
        <w:t xml:space="preserve">or simply:</w:t>
      </w:r>
    </w:p>
    <w:p>
      <w:pPr>
        <w:pBdr>
          <w:left w:val="single" w:color="E4002B" w:sz="18" w:space="8"/>
        </w:pBdr>
        <w:shd w:fill="F2F2F2" w:val="clear"/>
        <w:spacing w:after="40" w:before="40"/>
      </w:pPr>
      <w:r>
        <w:rPr>
          <w:rFonts w:ascii="Courier New" w:cs="Courier New" w:eastAsia="Courier New" w:hAnsi="Courier New"/>
          <w:sz w:val="20"/>
          <w:szCs w:val="20"/>
        </w:rPr>
        <w:t xml:space="preserve">Fix Navigation Menu</w:t>
      </w:r>
    </w:p>
    <w:p>
      <w:pPr>
        <w:spacing w:after="100"/>
      </w:pPr>
      <w:r>
        <w:t xml:space="preserve">The nav block has three sections: (1) Brand, (2) Sections / nav menu, (3) Utility links (login, cart, language).</w:t>
      </w:r>
    </w:p>
    <w:p>
      <w:pPr>
        <w:pStyle w:val="Heading2"/>
        <w:spacing w:after="80" w:before="200"/>
      </w:pPr>
      <w:r>
        <w:t xml:space="preserve">Header / Footer</w:t>
      </w:r>
    </w:p>
    <w:p>
      <w:pPr>
        <w:spacing w:after="100"/>
      </w:pPr>
      <w:r>
        <w:t xml:space="preserve">Because page migration excludes these, the template's sample header/footer stays. Open </w:t>
      </w:r>
      <w:r>
        <w:rPr>
          <w:rFonts w:ascii="Courier New" w:cs="Courier New" w:eastAsia="Courier New" w:hAnsi="Courier New"/>
          <w:sz w:val="20"/>
          <w:szCs w:val="20"/>
        </w:rPr>
        <w:t xml:space="preserve">fragments/nav/header</w:t>
      </w:r>
      <w:r>
        <w:t xml:space="preserve"> and optionally: replace the logo with the customer's, remove the temporary features include, and rename list items to match the source site.</w:t>
      </w:r>
    </w:p>
    <w:p>
      <w:pPr>
        <w:pStyle w:val="Heading2"/>
        <w:spacing w:after="80" w:before="200"/>
      </w:pPr>
      <w:r>
        <w:t xml:space="preserve">Block enhancement</w:t>
      </w:r>
    </w:p>
    <w:p>
      <w:pPr>
        <w:spacing w:after="100"/>
      </w:pPr>
      <w:r>
        <w:t xml:space="preserve">Before prompting: be on the </w:t>
      </w:r>
      <w:r>
        <w:rPr>
          <w:b/>
          <w:bCs/>
        </w:rPr>
        <w:t xml:space="preserve">main</w:t>
      </w:r>
      <w:r>
        <w:t xml:space="preserve"> branch, open the content page to get the exact block name, and inspect the source site for the element to match. Example:</w:t>
      </w:r>
    </w:p>
    <w:p>
      <w:pPr>
        <w:pBdr>
          <w:left w:val="single" w:color="E4002B" w:sz="18" w:space="8"/>
        </w:pBdr>
        <w:shd w:fill="F2F2F2" w:val="clear"/>
        <w:spacing w:after="40" w:before="40"/>
      </w:pPr>
      <w:r>
        <w:rPr>
          <w:rFonts w:ascii="Courier New" w:cs="Courier New" w:eastAsia="Courier New" w:hAnsi="Courier New"/>
          <w:sz w:val="20"/>
          <w:szCs w:val="20"/>
        </w:rPr>
        <w:t xml:space="preserve">please make the first section dark, content match the element</w:t>
      </w:r>
    </w:p>
    <w:p>
      <w:pPr>
        <w:pBdr>
          <w:left w:val="single" w:color="E4002B" w:sz="18" w:space="8"/>
        </w:pBdr>
        <w:shd w:fill="F2F2F2" w:val="clear"/>
        <w:spacing w:after="40" w:before="40"/>
      </w:pPr>
      <w:r>
        <w:rPr>
          <w:rFonts w:ascii="Courier New" w:cs="Courier New" w:eastAsia="Courier New" w:hAnsi="Courier New"/>
          <w:sz w:val="20"/>
          <w:szCs w:val="20"/>
        </w:rPr>
        <w:t xml:space="preserve">&lt;CSS_SELECTOR&gt; on &lt;SOURCE_URL&gt;</w:t>
      </w:r>
    </w:p>
    <w:p>
      <w:pPr>
        <w:pStyle w:val="Heading2"/>
        <w:spacing w:after="80" w:before="200"/>
      </w:pPr>
      <w:r>
        <w:t xml:space="preserve">Figma → block (optional, block-level only)</w:t>
      </w:r>
    </w:p>
    <w:p>
      <w:pPr>
        <w:pStyle w:val="ListParagraph"/>
        <w:numPr>
          <w:ilvl w:val="0"/>
          <w:numId w:val="9"/>
        </w:numPr>
        <w:spacing w:after="40"/>
      </w:pPr>
      <w:r>
        <w:t xml:space="preserve">Create a free figma.com account → Settings → Security → generate a personal access token.</w:t>
      </w:r>
    </w:p>
    <w:p>
      <w:pPr>
        <w:pStyle w:val="ListParagraph"/>
        <w:numPr>
          <w:ilvl w:val="0"/>
          <w:numId w:val="9"/>
        </w:numPr>
        <w:spacing w:after="40"/>
      </w:pPr>
      <w:r>
        <w:t xml:space="preserve">In aemcoder Settings, paste the Figma token (never paste tokens into a chat with a person).</w:t>
      </w:r>
    </w:p>
    <w:p>
      <w:pPr>
        <w:pStyle w:val="ListParagraph"/>
        <w:numPr>
          <w:ilvl w:val="0"/>
          <w:numId w:val="9"/>
        </w:numPr>
        <w:spacing w:after="40"/>
      </w:pPr>
      <w:r>
        <w:t xml:space="preserve">In Figma, select the block → right-click → Copy/Paste as → Copy link to selection.</w:t>
      </w:r>
    </w:p>
    <w:p>
      <w:pPr>
        <w:pStyle w:val="ListParagraph"/>
        <w:numPr>
          <w:ilvl w:val="0"/>
          <w:numId w:val="9"/>
        </w:numPr>
        <w:spacing w:after="40"/>
      </w:pPr>
      <w:r>
        <w:t xml:space="preserve">Prompt (remember to stash and push when done):</w:t>
      </w:r>
    </w:p>
    <w:p>
      <w:pPr>
        <w:pBdr>
          <w:left w:val="single" w:color="E4002B" w:sz="18" w:space="8"/>
        </w:pBdr>
        <w:shd w:fill="F2F2F2" w:val="clear"/>
        <w:spacing w:after="40" w:before="40"/>
      </w:pPr>
      <w:r>
        <w:rPr>
          <w:rFonts w:ascii="Courier New" w:cs="Courier New" w:eastAsia="Courier New" w:hAnsi="Courier New"/>
          <w:sz w:val="20"/>
          <w:szCs w:val="20"/>
        </w:rPr>
        <w:t xml:space="preserve">Create new block &lt;block-name&gt; using figma file: &lt;FIGMA_SELECTION_LINK&gt;</w:t>
      </w:r>
    </w:p>
    <w:p>
      <w:r>
        <w:br w:type="page"/>
      </w:r>
    </w:p>
    <w:p>
      <w:pPr>
        <w:pStyle w:val="Heading1"/>
        <w:spacing w:after="120" w:before="240"/>
      </w:pPr>
      <w:r>
        <w:t xml:space="preserve">Phase 8 — Sync your work back</w:t>
      </w:r>
    </w:p>
    <w:p>
      <w:pPr>
        <w:pStyle w:val="Heading2"/>
        <w:spacing w:after="80" w:before="200"/>
      </w:pPr>
      <w:r>
        <w:t xml:space="preserve">Code → GitHub</w:t>
      </w:r>
    </w:p>
    <w:p>
      <w:pPr>
        <w:pStyle w:val="ListParagraph"/>
        <w:numPr>
          <w:ilvl w:val="0"/>
          <w:numId w:val="10"/>
        </w:numPr>
        <w:spacing w:after="40"/>
      </w:pPr>
      <w:r>
        <w:t xml:space="preserve">Left menu: Code → Workspace changes (top right).</w:t>
      </w:r>
    </w:p>
    <w:p>
      <w:pPr>
        <w:pStyle w:val="ListParagraph"/>
        <w:numPr>
          <w:ilvl w:val="0"/>
          <w:numId w:val="10"/>
        </w:numPr>
        <w:spacing w:after="40"/>
      </w:pPr>
      <w:r>
        <w:t xml:space="preserve">If files show “unstaged,” click the + to stage them.</w:t>
      </w:r>
    </w:p>
    <w:p>
      <w:pPr>
        <w:pStyle w:val="ListParagraph"/>
        <w:numPr>
          <w:ilvl w:val="0"/>
          <w:numId w:val="10"/>
        </w:numPr>
        <w:spacing w:after="40"/>
      </w:pPr>
      <w:r>
        <w:t xml:space="preserve">Push offers main or a branch (pr-xxxx). Use a branch only if you want a versioned demo checkpoint.</w:t>
      </w:r>
    </w:p>
    <w:p>
      <w:pPr>
        <w:pStyle w:val="Heading2"/>
        <w:spacing w:after="80" w:before="200"/>
      </w:pPr>
      <w:r>
        <w:t xml:space="preserve">Content → Document Authoring</w:t>
      </w:r>
    </w:p>
    <w:p>
      <w:pPr>
        <w:pStyle w:val="ListParagraph"/>
        <w:numPr>
          <w:ilvl w:val="0"/>
          <w:numId w:val="11"/>
        </w:numPr>
        <w:spacing w:after="40"/>
      </w:pPr>
      <w:r>
        <w:t xml:space="preserve">Left menu: Content → Upload Content.</w:t>
      </w:r>
    </w:p>
    <w:p>
      <w:pPr>
        <w:pStyle w:val="ListParagraph"/>
        <w:numPr>
          <w:ilvl w:val="0"/>
          <w:numId w:val="11"/>
        </w:numPr>
        <w:spacing w:after="40"/>
      </w:pPr>
      <w:r>
        <w:t xml:space="preserve">Confirm the DA repo is correct. If you edited the header, include it; otherwise select index only (usually the only modified document).</w:t>
      </w:r>
    </w:p>
    <w:p>
      <w:pPr>
        <w:pBdr>
          <w:top w:val="single" w:color="E4002B" w:sz="6"/>
          <w:bottom w:val="single" w:color="E4002B" w:sz="6"/>
          <w:left w:val="single" w:color="E4002B" w:sz="6"/>
          <w:right w:val="single" w:color="E4002B" w:sz="6"/>
        </w:pBdr>
        <w:shd w:fill="FBEAEA" w:val="clear"/>
        <w:spacing w:after="120" w:before="80"/>
      </w:pPr>
      <w:r>
        <w:rPr>
          <w:b/>
          <w:bCs/>
          <w:color w:val="E4002B"/>
        </w:rPr>
        <w:t xml:space="preserve">Before you push or publish  </w:t>
      </w:r>
      <w:r>
        <w:t xml:space="preserve">These steps are outward-facing and effectively make your demo public (repos are Public). Double-check what will go live before clicking Push, Upload, or Publish.</w:t>
      </w:r>
    </w:p>
    <w:p>
      <w:pPr>
        <w:pStyle w:val="Heading1"/>
        <w:spacing w:after="120" w:before="240"/>
      </w:pPr>
      <w:r>
        <w:t xml:space="preserve">Phase 9 — Validate and publish</w:t>
      </w:r>
    </w:p>
    <w:p>
      <w:pPr>
        <w:pStyle w:val="Heading2"/>
        <w:spacing w:after="80" w:before="200"/>
      </w:pPr>
      <w:r>
        <w:t xml:space="preserve">Preview URL construct</w:t>
      </w:r>
    </w:p>
    <w:p>
      <w:pPr>
        <w:pBdr>
          <w:left w:val="single" w:color="E4002B" w:sz="18" w:space="8"/>
        </w:pBdr>
        <w:shd w:fill="F2F2F2" w:val="clear"/>
        <w:spacing w:after="40" w:before="40"/>
      </w:pPr>
      <w:r>
        <w:rPr>
          <w:rFonts w:ascii="Courier New" w:cs="Courier New" w:eastAsia="Courier New" w:hAnsi="Courier New"/>
          <w:sz w:val="20"/>
          <w:szCs w:val="20"/>
        </w:rPr>
        <w:t xml:space="preserve">https://{branch}--{repo}--{org}.aem.page/</w:t>
      </w:r>
    </w:p>
    <w:p>
      <w:pPr>
        <w:spacing w:after="100"/>
      </w:pPr>
      <w:r>
        <w:t xml:space="preserve">Use </w:t>
      </w:r>
      <w:r>
        <w:rPr>
          <w:rFonts w:ascii="Courier New" w:cs="Courier New" w:eastAsia="Courier New" w:hAnsi="Courier New"/>
          <w:sz w:val="20"/>
          <w:szCs w:val="20"/>
        </w:rPr>
        <w:t xml:space="preserve">main</w:t>
      </w:r>
      <w:r>
        <w:t xml:space="preserve"> for the branch. Example: </w:t>
      </w:r>
      <w:hyperlink w:history="1" r:id="rIdoxqnpnstfxbz2ap0uvmk6">
        <w:r>
          <w:rPr>
            <w:rStyle w:val="Hyperlink"/>
          </w:rPr>
          <w:t xml:space="preserve">https://main--southwest--ynaka-adobe.aem.page/</w:t>
        </w:r>
      </w:hyperlink>
      <w:r>
        <w:t xml:space="preserve">. The page should load with no errors (header/footer may look unstyled until Phase 7 is complete).</w:t>
      </w:r>
    </w:p>
    <w:p>
      <w:pPr>
        <w:pStyle w:val="Heading2"/>
        <w:spacing w:after="80" w:before="200"/>
      </w:pPr>
      <w:r>
        <w:t xml:space="preserve">Publish (go live)</w:t>
      </w:r>
    </w:p>
    <w:p>
      <w:pPr>
        <w:spacing w:after="100"/>
      </w:pPr>
      <w:r>
        <w:t xml:space="preserve">The live domain replaces </w:t>
      </w:r>
      <w:r>
        <w:rPr>
          <w:rFonts w:ascii="Courier New" w:cs="Courier New" w:eastAsia="Courier New" w:hAnsi="Courier New"/>
          <w:sz w:val="20"/>
          <w:szCs w:val="20"/>
        </w:rPr>
        <w:t xml:space="preserve">.aem.page</w:t>
      </w:r>
      <w:r>
        <w:t xml:space="preserve"> with </w:t>
      </w:r>
      <w:r>
        <w:rPr>
          <w:rFonts w:ascii="Courier New" w:cs="Courier New" w:eastAsia="Courier New" w:hAnsi="Courier New"/>
          <w:sz w:val="20"/>
          <w:szCs w:val="20"/>
        </w:rPr>
        <w:t xml:space="preserve">.aem.live</w:t>
      </w:r>
      <w:r>
        <w:t xml:space="preserve">.</w:t>
      </w:r>
    </w:p>
    <w:p>
      <w:pPr>
        <w:pStyle w:val="ListParagraph"/>
        <w:numPr>
          <w:ilvl w:val="0"/>
          <w:numId w:val="12"/>
        </w:numPr>
        <w:spacing w:after="40"/>
      </w:pPr>
      <w:r>
        <w:t xml:space="preserve">Use the Traverse app to get a list of all page URLs.</w:t>
      </w:r>
    </w:p>
    <w:p>
      <w:pPr>
        <w:pStyle w:val="ListParagraph"/>
        <w:numPr>
          <w:ilvl w:val="0"/>
          <w:numId w:val="12"/>
        </w:numPr>
        <w:spacing w:after="40"/>
      </w:pPr>
      <w:r>
        <w:t xml:space="preserve">Paste that list into the Bulk Operations app and run Publish.</w:t>
      </w:r>
    </w:p>
    <w:p>
      <w:r>
        <w:br w:type="page"/>
      </w:r>
    </w:p>
    <w:p>
      <w:pPr>
        <w:pStyle w:val="Heading1"/>
        <w:spacing w:after="120" w:before="240"/>
      </w:pPr>
      <w:r>
        <w:t xml:space="preserve">Troubleshooting</w:t>
      </w:r>
    </w:p>
    <w:p>
      <w:pPr>
        <w:pStyle w:val="Heading2"/>
        <w:spacing w:after="80" w:before="200"/>
      </w:pPr>
      <w:r>
        <w:t xml:space="preserve">“Could not find admin” after Code Sync</w:t>
      </w:r>
    </w:p>
    <w:p>
      <w:pPr>
        <w:pStyle w:val="ListParagraph"/>
        <w:numPr>
          <w:ilvl w:val="0"/>
          <w:numId w:val="2"/>
        </w:numPr>
        <w:spacing w:after="40"/>
      </w:pPr>
      <w:r>
        <w:t xml:space="preserve">The repo's org must end in -adobe (e.g. ynaka-adobe).</w:t>
      </w:r>
    </w:p>
    <w:p>
      <w:pPr>
        <w:pStyle w:val="ListParagraph"/>
        <w:numPr>
          <w:ilvl w:val="0"/>
          <w:numId w:val="2"/>
        </w:numPr>
        <w:spacing w:after="40"/>
      </w:pPr>
      <w:r>
        <w:t xml:space="preserve">Your Adobe email must be the org's contact email.</w:t>
      </w:r>
    </w:p>
    <w:p>
      <w:pPr>
        <w:pStyle w:val="ListParagraph"/>
        <w:numPr>
          <w:ilvl w:val="0"/>
          <w:numId w:val="2"/>
        </w:numPr>
        <w:spacing w:after="40"/>
      </w:pPr>
      <w:r>
        <w:t xml:space="preserve">Creating a repo in the correctly-named org retroactively fixes older repos.</w:t>
      </w:r>
    </w:p>
    <w:p>
      <w:pPr>
        <w:pStyle w:val="Heading2"/>
        <w:spacing w:after="80" w:before="200"/>
      </w:pPr>
      <w:r>
        <w:t xml:space="preserve">Preview page won't load or shows errors</w:t>
      </w:r>
    </w:p>
    <w:p>
      <w:pPr>
        <w:pStyle w:val="ListParagraph"/>
        <w:numPr>
          <w:ilvl w:val="0"/>
          <w:numId w:val="2"/>
        </w:numPr>
        <w:spacing w:after="40"/>
      </w:pPr>
      <w:r>
        <w:t xml:space="preserve">Confirm Code Sync is installed and your last push to main succeeded.</w:t>
      </w:r>
    </w:p>
    <w:p>
      <w:pPr>
        <w:pStyle w:val="ListParagraph"/>
        <w:numPr>
          <w:ilvl w:val="0"/>
          <w:numId w:val="2"/>
        </w:numPr>
        <w:spacing w:after="40"/>
      </w:pPr>
      <w:r>
        <w:t xml:space="preserve">Confirm content was uploaded to DA (at least the index).</w:t>
      </w:r>
    </w:p>
    <w:p>
      <w:pPr>
        <w:pStyle w:val="ListParagraph"/>
        <w:numPr>
          <w:ilvl w:val="0"/>
          <w:numId w:val="2"/>
        </w:numPr>
        <w:spacing w:after="40"/>
      </w:pPr>
      <w:r>
        <w:t xml:space="preserve">Re-check the URL construct: https://main--{repo}--{org}.aem.page/.</w:t>
      </w:r>
    </w:p>
    <w:p>
      <w:pPr>
        <w:pStyle w:val="ListParagraph"/>
        <w:numPr>
          <w:ilvl w:val="0"/>
          <w:numId w:val="2"/>
        </w:numPr>
        <w:spacing w:after="40"/>
      </w:pPr>
      <w:r>
        <w:t xml:space="preserve">An unstyled header/footer before Phase 7 is expected, not an error.</w:t>
      </w:r>
    </w:p>
    <w:p>
      <w:pPr>
        <w:pStyle w:val="Heading2"/>
        <w:spacing w:after="80" w:before="200"/>
      </w:pPr>
      <w:r>
        <w:t xml:space="preserve">Universal Editor doesn't work</w:t>
      </w:r>
    </w:p>
    <w:p>
      <w:pPr>
        <w:spacing w:after="100"/>
      </w:pPr>
      <w:r>
        <w:t xml:space="preserve">The da-demo-kit project uses DA with a custom </w:t>
      </w:r>
      <w:r>
        <w:rPr>
          <w:rFonts w:ascii="Courier New" w:cs="Courier New" w:eastAsia="Courier New" w:hAnsi="Courier New"/>
          <w:sz w:val="20"/>
          <w:szCs w:val="20"/>
        </w:rPr>
        <w:t xml:space="preserve">ak.js</w:t>
      </w:r>
      <w:r>
        <w:t xml:space="preserve"> framework, so UE is not wired up by default. To enable it, prompt aemcoder:</w:t>
      </w:r>
    </w:p>
    <w:p>
      <w:pPr>
        <w:pBdr>
          <w:left w:val="single" w:color="E4002B" w:sz="18" w:space="8"/>
        </w:pBdr>
        <w:shd w:fill="F2F2F2" w:val="clear"/>
        <w:spacing w:after="40" w:before="40"/>
      </w:pPr>
      <w:r>
        <w:rPr>
          <w:rFonts w:ascii="Courier New" w:cs="Courier New" w:eastAsia="Courier New" w:hAnsi="Courier New"/>
          <w:sz w:val="20"/>
          <w:szCs w:val="20"/>
        </w:rPr>
        <w:t xml:space="preserve">Setup UE support for this project</w:t>
      </w:r>
    </w:p>
    <w:p>
      <w:pPr>
        <w:spacing w:after="100"/>
      </w:pPr>
      <w:r>
        <w:t xml:space="preserve">Read its reply and continue with </w:t>
      </w:r>
      <w:r>
        <w:rPr>
          <w:rFonts w:ascii="Courier New" w:cs="Courier New" w:eastAsia="Courier New" w:hAnsi="Courier New"/>
          <w:sz w:val="20"/>
          <w:szCs w:val="20"/>
        </w:rPr>
        <w:t xml:space="preserve">continue</w:t>
      </w:r>
      <w:r>
        <w:t xml:space="preserve">. UE connects to a special DA endpoint </w:t>
      </w:r>
      <w:r>
        <w:rPr>
          <w:rFonts w:ascii="Courier New" w:cs="Courier New" w:eastAsia="Courier New" w:hAnsi="Courier New"/>
          <w:sz w:val="20"/>
          <w:szCs w:val="20"/>
        </w:rPr>
        <w:t xml:space="preserve">{branch}--{site}--{org}.ue.da.live</w:t>
      </w:r>
      <w:r>
        <w:t xml:space="preserve"> (which cannot be loaded directly).</w:t>
      </w:r>
    </w:p>
    <w:p>
      <w:pPr>
        <w:pStyle w:val="Heading2"/>
        <w:spacing w:after="80" w:before="200"/>
      </w:pPr>
      <w:r>
        <w:t xml:space="preserve">Version history</w:t>
      </w:r>
    </w:p>
    <w:p>
      <w:pPr>
        <w:spacing w:after="100"/>
      </w:pPr>
      <w:r>
        <w:t xml:space="preserve">aemcoder gives limited visibility into version history. Cloning the repo in Cursor gives easy access to change history if you need to inspect or roll back.</w:t>
      </w:r>
    </w:p>
    <w:p>
      <w:r>
        <w:br w:type="page"/>
      </w:r>
    </w:p>
    <w:p>
      <w:pPr>
        <w:pStyle w:val="Heading1"/>
        <w:spacing w:after="120" w:before="240"/>
      </w:pPr>
      <w:r>
        <w:t xml:space="preserve">Guided mode: the create-eds-demo skill</w:t>
      </w:r>
    </w:p>
    <w:p>
      <w:pPr>
        <w:spacing w:after="100"/>
      </w:pPr>
      <w:r>
        <w:t xml:space="preserve">A Claude Code skill named </w:t>
      </w:r>
      <w:r>
        <w:rPr>
          <w:b/>
          <w:bCs/>
        </w:rPr>
        <w:t xml:space="preserve">create-eds-demo</w:t>
      </w:r>
      <w:r>
        <w:t xml:space="preserve"> automates the coaching in this guide. Once installed, type something like “create a demo for Southwest” and it will:</w:t>
      </w:r>
    </w:p>
    <w:p>
      <w:pPr>
        <w:pStyle w:val="ListParagraph"/>
        <w:numPr>
          <w:ilvl w:val="0"/>
          <w:numId w:val="2"/>
        </w:numPr>
        <w:spacing w:after="40"/>
      </w:pPr>
      <w:r>
        <w:t xml:space="preserve">Check your machine for git, Node, and the AEM CLI, and tell you what to install.</w:t>
      </w:r>
    </w:p>
    <w:p>
      <w:pPr>
        <w:pStyle w:val="ListParagraph"/>
        <w:numPr>
          <w:ilvl w:val="0"/>
          <w:numId w:val="2"/>
        </w:numPr>
        <w:spacing w:after="40"/>
      </w:pPr>
      <w:r>
        <w:t xml:space="preserve">Hand you the exact prompts to paste into aemcoder, customized to your customer and source URL.</w:t>
      </w:r>
    </w:p>
    <w:p>
      <w:pPr>
        <w:pStyle w:val="ListParagraph"/>
        <w:numPr>
          <w:ilvl w:val="0"/>
          <w:numId w:val="2"/>
        </w:numPr>
        <w:spacing w:after="40"/>
      </w:pPr>
      <w:r>
        <w:t xml:space="preserve">Fetch your preview URL and confirm the site rendered before moving to the next phase.</w:t>
      </w:r>
    </w:p>
    <w:p>
      <w:pPr>
        <w:pStyle w:val="ListParagraph"/>
        <w:numPr>
          <w:ilvl w:val="0"/>
          <w:numId w:val="2"/>
        </w:numPr>
        <w:spacing w:after="40"/>
      </w:pPr>
      <w:r>
        <w:t xml:space="preserve">Confirm with you before any push, upload, or publish step.</w:t>
      </w:r>
    </w:p>
    <w:p>
      <w:pPr>
        <w:pStyle w:val="Heading2"/>
        <w:spacing w:after="80" w:before="200"/>
      </w:pPr>
      <w:r>
        <w:t xml:space="preserve">Getting the skill</w:t>
      </w:r>
    </w:p>
    <w:p>
      <w:pPr>
        <w:spacing w:after="100"/>
      </w:pPr>
      <w:r>
        <w:t xml:space="preserve">The skill ships inside the da-demo-kit template under </w:t>
      </w:r>
      <w:r>
        <w:rPr>
          <w:rFonts w:ascii="Courier New" w:cs="Courier New" w:eastAsia="Courier New" w:hAnsi="Courier New"/>
          <w:sz w:val="20"/>
          <w:szCs w:val="20"/>
        </w:rPr>
        <w:t xml:space="preserve">.claude/skills/create-eds-demo/</w:t>
      </w:r>
      <w:r>
        <w:t xml:space="preserve">, so any repo you create from the template already has it. To use it on your own machine outside a repo, copy that folder into </w:t>
      </w:r>
      <w:r>
        <w:rPr>
          <w:rFonts w:ascii="Courier New" w:cs="Courier New" w:eastAsia="Courier New" w:hAnsi="Courier New"/>
          <w:sz w:val="20"/>
          <w:szCs w:val="20"/>
        </w:rPr>
        <w:t xml:space="preserve">~/.claude/skills/</w:t>
      </w:r>
      <w:r>
        <w:t xml:space="preserve">.</w:t>
      </w:r>
    </w:p>
    <w:p>
      <w:pPr>
        <w:pStyle w:val="Heading2"/>
        <w:spacing w:after="80" w:before="200"/>
      </w:pPr>
      <w:r>
        <w:t xml:space="preserve">Reference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E4002B" w:val="clear"/>
            <w:tcMar>
              <w:top w:type="dxa" w:w="60"/>
              <w:left w:type="dxa" w:w="100"/>
              <w:bottom w:type="dxa" w:w="60"/>
              <w:right w:type="dxa" w:w="100"/>
            </w:tcMar>
          </w:tcPr>
          <w:p>
            <w:r>
              <w:rPr>
                <w:b/>
                <w:bCs/>
                <w:color w:val="FFFFFF"/>
              </w:rPr>
              <w:t xml:space="preserve">Resource</w:t>
            </w:r>
          </w:p>
        </w:tc>
        <w:tc>
          <w:tcPr>
            <w:tcW w:type="dxa" w:w="6360"/>
            <w:shd w:fill="E4002B" w:val="clear"/>
            <w:tcMar>
              <w:top w:type="dxa" w:w="60"/>
              <w:left w:type="dxa" w:w="100"/>
              <w:bottom w:type="dxa" w:w="60"/>
              <w:right w:type="dxa" w:w="100"/>
            </w:tcMar>
          </w:tcPr>
          <w:p>
            <w:r>
              <w:rPr>
                <w:b/>
                <w:bCs/>
                <w:color w:val="FFFFFF"/>
              </w:rPr>
              <w:t xml:space="preserve">Link</w:t>
            </w:r>
          </w:p>
        </w:tc>
      </w:tr>
      <w:tr>
        <w:tc>
          <w:tcPr>
            <w:tcW w:type="dxa" w:w="3000"/>
            <w:tcMar>
              <w:top w:type="dxa" w:w="60"/>
              <w:left w:type="dxa" w:w="100"/>
              <w:bottom w:type="dxa" w:w="60"/>
              <w:right w:type="dxa" w:w="100"/>
            </w:tcMar>
          </w:tcPr>
          <w:p>
            <w:r>
              <w:rPr>
                <w:b w:val="false"/>
                <w:bCs w:val="false"/>
                <w:color w:val="000000"/>
              </w:rPr>
              <w:t xml:space="preserve">da-demo-kit template</w:t>
            </w:r>
          </w:p>
        </w:tc>
        <w:tc>
          <w:tcPr>
            <w:tcW w:type="dxa" w:w="6360"/>
            <w:tcMar>
              <w:top w:type="dxa" w:w="60"/>
              <w:left w:type="dxa" w:w="100"/>
              <w:bottom w:type="dxa" w:w="60"/>
              <w:right w:type="dxa" w:w="100"/>
            </w:tcMar>
          </w:tcPr>
          <w:p>
            <w:r>
              <w:rPr>
                <w:b w:val="false"/>
                <w:bCs w:val="false"/>
                <w:color w:val="000000"/>
              </w:rPr>
              <w:t xml:space="preserve">github.com/ynaka-adobe/da-demo-kit</w:t>
            </w:r>
          </w:p>
        </w:tc>
      </w:tr>
      <w:tr>
        <w:tc>
          <w:tcPr>
            <w:tcW w:type="dxa" w:w="3000"/>
            <w:tcMar>
              <w:top w:type="dxa" w:w="60"/>
              <w:left w:type="dxa" w:w="100"/>
              <w:bottom w:type="dxa" w:w="60"/>
              <w:right w:type="dxa" w:w="100"/>
            </w:tcMar>
          </w:tcPr>
          <w:p>
            <w:r>
              <w:rPr>
                <w:b w:val="false"/>
                <w:bCs w:val="false"/>
                <w:color w:val="000000"/>
              </w:rPr>
              <w:t xml:space="preserve">Experience Modernization Agent</w:t>
            </w:r>
          </w:p>
        </w:tc>
        <w:tc>
          <w:tcPr>
            <w:tcW w:type="dxa" w:w="6360"/>
            <w:tcMar>
              <w:top w:type="dxa" w:w="60"/>
              <w:left w:type="dxa" w:w="100"/>
              <w:bottom w:type="dxa" w:w="60"/>
              <w:right w:type="dxa" w:w="100"/>
            </w:tcMar>
          </w:tcPr>
          <w:p>
            <w:r>
              <w:rPr>
                <w:b w:val="false"/>
                <w:bCs w:val="false"/>
                <w:color w:val="000000"/>
              </w:rPr>
              <w:t xml:space="preserve">aemcoder.adobe.io</w:t>
            </w:r>
          </w:p>
        </w:tc>
      </w:tr>
      <w:tr>
        <w:tc>
          <w:tcPr>
            <w:tcW w:type="dxa" w:w="3000"/>
            <w:tcMar>
              <w:top w:type="dxa" w:w="60"/>
              <w:left w:type="dxa" w:w="100"/>
              <w:bottom w:type="dxa" w:w="60"/>
              <w:right w:type="dxa" w:w="100"/>
            </w:tcMar>
          </w:tcPr>
          <w:p>
            <w:r>
              <w:rPr>
                <w:b w:val="false"/>
                <w:bCs w:val="false"/>
                <w:color w:val="000000"/>
              </w:rPr>
              <w:t xml:space="preserve">Document Authoring wizard</w:t>
            </w:r>
          </w:p>
        </w:tc>
        <w:tc>
          <w:tcPr>
            <w:tcW w:type="dxa" w:w="6360"/>
            <w:tcMar>
              <w:top w:type="dxa" w:w="60"/>
              <w:left w:type="dxa" w:w="100"/>
              <w:bottom w:type="dxa" w:w="60"/>
              <w:right w:type="dxa" w:w="100"/>
            </w:tcMar>
          </w:tcPr>
          <w:p>
            <w:r>
              <w:rPr>
                <w:b w:val="false"/>
                <w:bCs w:val="false"/>
                <w:color w:val="000000"/>
              </w:rPr>
              <w:t xml:space="preserve">da.live/start</w:t>
            </w:r>
          </w:p>
        </w:tc>
      </w:tr>
      <w:tr>
        <w:tc>
          <w:tcPr>
            <w:tcW w:type="dxa" w:w="3000"/>
            <w:tcMar>
              <w:top w:type="dxa" w:w="60"/>
              <w:left w:type="dxa" w:w="100"/>
              <w:bottom w:type="dxa" w:w="60"/>
              <w:right w:type="dxa" w:w="100"/>
            </w:tcMar>
          </w:tcPr>
          <w:p>
            <w:r>
              <w:rPr>
                <w:b w:val="false"/>
                <w:bCs w:val="false"/>
                <w:color w:val="000000"/>
              </w:rPr>
              <w:t xml:space="preserve">AEM Code Sync app</w:t>
            </w:r>
          </w:p>
        </w:tc>
        <w:tc>
          <w:tcPr>
            <w:tcW w:type="dxa" w:w="6360"/>
            <w:tcMar>
              <w:top w:type="dxa" w:w="60"/>
              <w:left w:type="dxa" w:w="100"/>
              <w:bottom w:type="dxa" w:w="60"/>
              <w:right w:type="dxa" w:w="100"/>
            </w:tcMar>
          </w:tcPr>
          <w:p>
            <w:r>
              <w:rPr>
                <w:b w:val="false"/>
                <w:bCs w:val="false"/>
                <w:color w:val="000000"/>
              </w:rPr>
              <w:t xml:space="preserve">github.com/apps/aem-code-sync</w:t>
            </w:r>
          </w:p>
        </w:tc>
      </w:tr>
      <w:tr>
        <w:tc>
          <w:tcPr>
            <w:tcW w:type="dxa" w:w="3000"/>
            <w:tcMar>
              <w:top w:type="dxa" w:w="60"/>
              <w:left w:type="dxa" w:w="100"/>
              <w:bottom w:type="dxa" w:w="60"/>
              <w:right w:type="dxa" w:w="100"/>
            </w:tcMar>
          </w:tcPr>
          <w:p>
            <w:r>
              <w:rPr>
                <w:b w:val="false"/>
                <w:bCs w:val="false"/>
                <w:color w:val="000000"/>
              </w:rPr>
              <w:t xml:space="preserve">Sample repo</w:t>
            </w:r>
          </w:p>
        </w:tc>
        <w:tc>
          <w:tcPr>
            <w:tcW w:type="dxa" w:w="6360"/>
            <w:tcMar>
              <w:top w:type="dxa" w:w="60"/>
              <w:left w:type="dxa" w:w="100"/>
              <w:bottom w:type="dxa" w:w="60"/>
              <w:right w:type="dxa" w:w="100"/>
            </w:tcMar>
          </w:tcPr>
          <w:p>
            <w:r>
              <w:rPr>
                <w:b w:val="false"/>
                <w:bCs w:val="false"/>
                <w:color w:val="000000"/>
              </w:rPr>
              <w:t xml:space="preserve">github.com/ynaka-adobe/southwest</w:t>
            </w:r>
          </w:p>
        </w:tc>
      </w:tr>
      <w:tr>
        <w:tc>
          <w:tcPr>
            <w:tcW w:type="dxa" w:w="3000"/>
            <w:tcMar>
              <w:top w:type="dxa" w:w="60"/>
              <w:left w:type="dxa" w:w="100"/>
              <w:bottom w:type="dxa" w:w="60"/>
              <w:right w:type="dxa" w:w="100"/>
            </w:tcMar>
          </w:tcPr>
          <w:p>
            <w:r>
              <w:rPr>
                <w:b w:val="false"/>
                <w:bCs w:val="false"/>
                <w:color w:val="000000"/>
              </w:rPr>
              <w:t xml:space="preserve">Sample live site</w:t>
            </w:r>
          </w:p>
        </w:tc>
        <w:tc>
          <w:tcPr>
            <w:tcW w:type="dxa" w:w="6360"/>
            <w:tcMar>
              <w:top w:type="dxa" w:w="60"/>
              <w:left w:type="dxa" w:w="100"/>
              <w:bottom w:type="dxa" w:w="60"/>
              <w:right w:type="dxa" w:w="100"/>
            </w:tcMar>
          </w:tcPr>
          <w:p>
            <w:r>
              <w:rPr>
                <w:b w:val="false"/>
                <w:bCs w:val="false"/>
                <w:color w:val="000000"/>
              </w:rPr>
              <w:t xml:space="preserve">main--southwest--ynaka-adobe.aem.live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A1A1A"/>
      <w:sz w:val="32"/>
      <w:szCs w:val="32"/>
    </w:rPr>
  </w:style>
  <w:style w:type="paragraph" w:styleId="Heading2">
    <w:name w:val="Heading 2"/>
    <w:basedOn w:val="Normal"/>
    <w:next w:val="Normal"/>
    <w:qFormat/>
    <w:rPr>
      <w:b/>
      <w:bCs/>
      <w:color w:val="E4002B"/>
      <w:sz w:val="26"/>
      <w:szCs w:val="26"/>
    </w:rPr>
  </w:style>
  <w:style w:type="paragraph" w:styleId="Heading3">
    <w:name w:val="Heading 3"/>
    <w:basedOn w:val="Normal"/>
    <w:next w:val="Normal"/>
    <w:qFormat/>
    <w:rPr>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syzn-smvroth6tq9yb9g" Type="http://schemas.openxmlformats.org/officeDocument/2006/relationships/hyperlink" Target="https://main--southwest--ynaka-adobe.aem.live/" TargetMode="External"/><Relationship Id="rIdfbkhagbetxflkvu5cnnbs" Type="http://schemas.openxmlformats.org/officeDocument/2006/relationships/hyperlink" Target="https://github.com" TargetMode="External"/><Relationship Id="rIdanxk-0u59gqfnynx9eshl" Type="http://schemas.openxmlformats.org/officeDocument/2006/relationships/hyperlink" Target="https://github.com/ynaka-adobe/da-demo-kit" TargetMode="External"/><Relationship Id="rIdxrej-xexkgswpmg6nc_sa" Type="http://schemas.openxmlformats.org/officeDocument/2006/relationships/hyperlink" Target="https://github.com/apps/aem-code-sync" TargetMode="External"/><Relationship Id="rIddhahwhfnphb7xhsmy8pog" Type="http://schemas.openxmlformats.org/officeDocument/2006/relationships/hyperlink" Target="https://da.live/start" TargetMode="External"/><Relationship Id="rIdni1fart6wdfasunay2zon" Type="http://schemas.openxmlformats.org/officeDocument/2006/relationships/hyperlink" Target="https://aemcoder.adobe.io/" TargetMode="External"/><Relationship Id="rIdoxqnpnstfxbz2ap0uvmk6" Type="http://schemas.openxmlformats.org/officeDocument/2006/relationships/hyperlink" Target="https://main--southwest--ynaka-adobe.aem.page/"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2026-08-06T01:23:35.002Z</dcterms:created>
  <dcterms:modified xsi:type="dcterms:W3CDTF">2026-08-06T01:23:35.003Z</dcterms:modified>
</cp:coreProperties>
</file>

<file path=docProps/custom.xml><?xml version="1.0" encoding="utf-8"?>
<Properties xmlns="http://schemas.openxmlformats.org/officeDocument/2006/custom-properties" xmlns:vt="http://schemas.openxmlformats.org/officeDocument/2006/docPropsVTypes"/>
</file>