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rPr>
          <w:lang w:bidi="ar-SA"/>
        </w:rPr>
      </w:pPr>
      <w:r>
        <w:rPr>
          <w:lang w:bidi="ar-SA"/>
        </w:rPr>
        <w:t xml:space="preserve">ملخص تنفيذي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التقرير الفصلي للربع الرابع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ارتفع الأداء بنسبة 25% في Q4 2026.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التقرير الفصلي للربع الرابع</w:t>
      </w:r>
    </w:p>
    <w:p>
      <w:pPr>
        <w:bidi w:val="1"/>
        <w:jc w:val="end"/>
        <w:rPr>
          <w:rFonts w:ascii="Calibri" w:hAnsi="Calibri" w:cs="Dubai"/>
          <w:lang w:bidi="ar-SA"/>
        </w:rPr>
      </w:pPr>
      <w:r>
        <w:rPr>
          <w:rFonts w:ascii="Calibri" w:hAnsi="Calibri" w:cs="Dubai"/>
          <w:lang w:bidi="ar-SA"/>
        </w:rPr>
        <w:t xml:space="preserve">التقرير الفصلي للربع الرابع</w:t>
      </w:r>
    </w:p>
    <w:p>
      <w:pPr>
        <w:numPr>
          <w:ilvl w:val="0"/>
          <w:numId w:val="1"/>
        </w:num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نمو في قطاع التجزئة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ارتفع الأداء بنسبة 25%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التقرير الفصلي للربع الرابع</w:t>
      </w:r>
    </w:p>
    <w:p>
      <w:pPr>
        <w:pStyle w:val="EnglishBody"/>
      </w:pPr>
      <w:r>
        <w:t xml:space="preserve">Revenue rose 25% in Q4 2026.</w:t>
      </w:r>
    </w:p>
    <w:tbl>
      <w:tblPr>
        <w:tblStyle w:val="RtlTable"/>
        <w:tblW w:w="0" w:type="auto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المؤشر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الربع الثالث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الربع الرابع</w:t>
            </w:r>
          </w:p>
        </w:tc>
      </w:tr>
      <w:tr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الإيرادات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12.4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15.5</w:t>
            </w:r>
          </w:p>
        </w:tc>
      </w:tr>
    </w:tbl>
    <w:sectPr>
      <w:headerReference w:type="default" r:id="rId4"/>
      <w:pgSz w:w="11906" w:h="16838"/>
      <w:pgMar w:top="1440" w:right="1440" w:bottom="1440" w:left="1440" w:header="708" w:footer="708" w:gutter="0"/>
      <w:bidi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bidi w:val="1"/>
      <w:jc w:val="end"/>
      <w:rPr>
        <w:rFonts w:cs="Dubai"/>
        <w:lang w:bidi="ar-SA"/>
      </w:rPr>
    </w:pPr>
    <w:r>
      <w:rPr>
        <w:rFonts w:cs="Dubai"/>
        <w:lang w:bidi="ar-SA"/>
      </w:rPr>
      <w:t xml:space="preserve">شركة المثال — تقرير داخلي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theme="minorBidi"/>
      </w:rPr>
    </w:rPrDefault>
    <w:pPrDefault>
      <w:pPr/>
    </w:pPrDefault>
  </w:docDefaults>
  <w:style w:type="paragraph" w:styleId="Normal" w:default="1">
    <w:name w:val="Normal"/>
    <w:pPr>
      <w:bidi w:val="1"/>
    </w:pPr>
  </w:style>
  <w:style w:type="paragraph" w:styleId="Heading1">
    <w:name w:val="heading 1"/>
    <w:basedOn w:val="Normal"/>
    <w:pPr>
      <w:jc w:val="center"/>
    </w:pPr>
    <w:rPr>
      <w:rFonts w:cs="Dubai"/>
    </w:rPr>
  </w:style>
  <w:style w:type="paragraph" w:styleId="EnglishBody">
    <w:name w:val="English Body"/>
    <w:basedOn w:val="Normal"/>
    <w:pPr>
      <w:bidi w:val="0"/>
    </w:pPr>
  </w:style>
  <w:style w:type="table" w:styleId="RtlTable">
    <w:name w:val="RTL Table"/>
    <w:tblPr>
      <w:bidiVisual w:val="1"/>
    </w:tblPr>
  </w:style>
  <w:style w:type="table" w:styleId="PlainTable">
    <w:name w:val="Plain Table"/>
    <w:tblPr>
      <w:tblCellMar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mirsam corpus generator</Application>
  <Pages>1</Pages>
  <Words>0</Words>
  <Characters>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التقرير الفصلي</dc:title>
  <dc:creator>mirsam corpus</dc:creator>
  <cp:lastModifiedBy>mirsam corpus</cp:lastModifiedBy>
  <dcterms:created xsi:type="dcterms:W3CDTF">2026-01-01T00:00:00Z</dcterms:created>
  <dcterms:modified xsi:type="dcterms:W3CDTF">2026-01-01T00:00:00Z</dcterms:modified>
</cp:coreProperties>
</file>