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rPr>
          <w:lang w:bidi="ar-SA"/>
        </w:rPr>
      </w:pPr>
      <w:r>
        <w:rPr>
          <w:lang w:bidi="ar-SA"/>
        </w:rPr>
        <w:t xml:space="preserve">ملخص تنفيذي</w:t>
      </w:r>
    </w:p>
    <w:p>
      <w:r>
        <w:t xml:space="preserve">التقرير الفصلي للربع الرابع</w:t>
      </w:r>
    </w:p>
    <w:p>
      <w:pPr>
        <w:bidi w:val="0"/>
        <w:rPr>
          <w:rFonts w:cs="Dubai"/>
          <w:lang w:bidi="ar-SA"/>
        </w:rPr>
      </w:pPr>
      <w:r>
        <w:rPr>
          <w:rFonts w:cs="Dubai"/>
          <w:lang w:bidi="ar-SA"/>
        </w:rPr>
        <w:t xml:space="preserve">ارتفع الأداء بنسبة 25% في Q4 2026.</w:t>
      </w:r>
    </w:p>
    <w:p>
      <w:pPr>
        <w:pStyle w:val="EnglishBody"/>
        <w:rPr>
          <w:rFonts w:cs="Dubai"/>
          <w:lang w:bidi="ar-SA"/>
        </w:rPr>
      </w:pPr>
      <w:r>
        <w:rPr>
          <w:rFonts w:cs="Dubai"/>
          <w:lang w:bidi="ar-SA"/>
        </w:rPr>
        <w:t xml:space="preserve">التقرير الفصلي للربع الرابع</w:t>
      </w:r>
    </w:p>
    <w:p>
      <w:pPr>
        <w:bidi w:val="1"/>
        <w:jc w:val="end"/>
        <w:rPr>
          <w:rFonts w:ascii="Calibri" w:hAnsi="Calibri"/>
          <w:lang w:bidi="ar-SA"/>
        </w:rPr>
      </w:pPr>
      <w:r>
        <w:rPr>
          <w:rFonts w:ascii="Calibri" w:hAnsi="Calibri"/>
          <w:lang w:bidi="ar-SA"/>
        </w:rPr>
        <w:t xml:space="preserve">التقرير الفصلي للربع الرابع</w:t>
      </w:r>
    </w:p>
    <w:p>
      <w:pPr>
        <w:bidi w:val="1"/>
        <w:jc w:val="end"/>
        <w:rPr>
          <w:rFonts w:cs="Dubai"/>
          <w:lang w:bidi="ar-SA"/>
        </w:rPr>
      </w:pPr>
      <w:r>
        <w:rPr>
          <w:rFonts w:cs="Dubai"/>
          <w:lang w:bidi="ar-SA"/>
        </w:rPr>
        <w:t xml:space="preserve">• نمو في قطاع التجزئة</w:t>
      </w:r>
    </w:p>
    <w:p>
      <w:pPr>
        <w:bidi w:val="1"/>
        <w:jc w:val="end"/>
        <w:rPr>
          <w:rFonts w:cs="Dubai"/>
          <w:lang w:bidi="ar-SA"/>
        </w:rPr>
      </w:pPr>
      <w:r>
        <w:rPr>
          <w:rFonts w:cs="Dubai"/>
          <w:lang w:bidi="ar-SA"/>
        </w:rPr>
        <w:t xml:space="preserve">‫ارتفع الأداء بنسبة 25%‬</w:t>
      </w:r>
    </w:p>
    <w:p>
      <w:pPr>
        <w:bidi w:val="1"/>
        <w:jc w:val="end"/>
        <w:rPr>
          <w:rFonts w:cs="Dubai"/>
          <w:lang w:bidi="ar-SA"/>
        </w:rPr>
      </w:pPr>
      <w:r>
        <w:rPr>
          <w:rFonts w:cs="Dubai"/>
          <w:lang w:bidi="ar-SA"/>
        </w:rPr>
        <w:t xml:space="preserve">ﺍﻟﺘﻘﺮﻳﺮ ﺍﻟﻔﺼﻠﻲ</w:t>
      </w:r>
    </w:p>
    <w:p>
      <w:pPr>
        <w:pStyle w:val="EnglishBody"/>
      </w:pPr>
      <w:r>
        <w:t xml:space="preserve">Revenue rose 25% in Q4 2026.</w:t>
      </w:r>
    </w:p>
    <w:tbl>
      <w:tblPr>
        <w:tblStyle w:val="PlainTable"/>
        <w:tblW w:w="0" w:type="auto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pPr>
              <w:bidi w:val="1"/>
              <w:jc w:val="end"/>
              <w:rPr>
                <w:rFonts w:cs="Dubai"/>
                <w:lang w:bidi="ar-SA"/>
              </w:rPr>
            </w:pPr>
            <w:r>
              <w:rPr>
                <w:rFonts w:cs="Dubai"/>
                <w:lang w:bidi="ar-SA"/>
              </w:rPr>
              <w:t xml:space="preserve">المؤشر</w:t>
            </w:r>
          </w:p>
        </w:tc>
        <w:tc>
          <w:tcPr>
            <w:tcW w:w="2880" w:type="dxa"/>
          </w:tcPr>
          <w:p>
            <w:pPr>
              <w:bidi w:val="1"/>
              <w:jc w:val="end"/>
              <w:rPr>
                <w:rFonts w:cs="Dubai"/>
                <w:lang w:bidi="ar-SA"/>
              </w:rPr>
            </w:pPr>
            <w:r>
              <w:rPr>
                <w:rFonts w:cs="Dubai"/>
                <w:lang w:bidi="ar-SA"/>
              </w:rPr>
              <w:t xml:space="preserve">الربع الثالث</w:t>
            </w:r>
          </w:p>
        </w:tc>
        <w:tc>
          <w:tcPr>
            <w:tcW w:w="2880" w:type="dxa"/>
          </w:tcPr>
          <w:p>
            <w:pPr>
              <w:bidi w:val="1"/>
              <w:jc w:val="end"/>
              <w:rPr>
                <w:rFonts w:cs="Dubai"/>
                <w:lang w:bidi="ar-SA"/>
              </w:rPr>
            </w:pPr>
            <w:r>
              <w:rPr>
                <w:rFonts w:cs="Dubai"/>
                <w:lang w:bidi="ar-SA"/>
              </w:rPr>
              <w:t xml:space="preserve">الربع الرابع</w:t>
            </w:r>
          </w:p>
        </w:tc>
      </w:tr>
      <w:tr>
        <w:tc>
          <w:tcPr>
            <w:tcW w:w="2880" w:type="dxa"/>
          </w:tcPr>
          <w:p>
            <w:pPr>
              <w:bidi w:val="1"/>
              <w:jc w:val="end"/>
              <w:rPr>
                <w:rFonts w:cs="Dubai"/>
                <w:lang w:bidi="ar-SA"/>
              </w:rPr>
            </w:pPr>
            <w:r>
              <w:rPr>
                <w:rFonts w:cs="Dubai"/>
                <w:lang w:bidi="ar-SA"/>
              </w:rPr>
              <w:t xml:space="preserve">الإيرادات</w:t>
            </w:r>
          </w:p>
        </w:tc>
        <w:tc>
          <w:tcPr>
            <w:tcW w:w="2880" w:type="dxa"/>
          </w:tcPr>
          <w:p>
            <w:pPr>
              <w:bidi w:val="1"/>
              <w:jc w:val="end"/>
              <w:rPr>
                <w:rFonts w:cs="Dubai"/>
                <w:lang w:bidi="ar-SA"/>
              </w:rPr>
            </w:pPr>
            <w:r>
              <w:rPr>
                <w:rFonts w:cs="Dubai"/>
                <w:lang w:bidi="ar-SA"/>
              </w:rPr>
              <w:t xml:space="preserve">12.4</w:t>
            </w:r>
          </w:p>
        </w:tc>
        <w:tc>
          <w:tcPr>
            <w:tcW w:w="2880" w:type="dxa"/>
          </w:tcPr>
          <w:p>
            <w:pPr>
              <w:bidi w:val="1"/>
              <w:jc w:val="end"/>
              <w:rPr>
                <w:rFonts w:cs="Dubai"/>
                <w:lang w:bidi="ar-SA"/>
              </w:rPr>
            </w:pPr>
            <w:r>
              <w:rPr>
                <w:rFonts w:cs="Dubai"/>
                <w:lang w:bidi="ar-SA"/>
              </w:rPr>
              <w:t xml:space="preserve">15.5</w:t>
            </w:r>
          </w:p>
        </w:tc>
      </w:tr>
    </w:tbl>
    <w:sectPr>
      <w:headerReference w:type="default" r:id="rId4"/>
      <w:pgSz w:w="11906" w:h="16838"/>
      <w:pgMar w:top="1440" w:right="1440" w:bottom="1440" w:left="1440" w:header="708" w:footer="708" w:gutter="0"/>
      <w:bidi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jc w:val="end"/>
      <w:rPr>
        <w:rFonts w:cs="Dubai"/>
        <w:lang w:bidi="ar-SA"/>
      </w:rPr>
    </w:pPr>
    <w:r>
      <w:rPr>
        <w:rFonts w:cs="Dubai"/>
        <w:lang w:bidi="ar-SA"/>
      </w:rPr>
      <w:t xml:space="preserve">شركة المثال — تقرير داخلي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theme="minorBidi"/>
      </w:rPr>
    </w:rPrDefault>
    <w:pPrDefault>
      <w:pPr/>
    </w:pPrDefault>
  </w:docDefaults>
  <w:style w:type="paragraph" w:styleId="Normal" w:default="1">
    <w:name w:val="Normal"/>
    <w:pPr>
      <w:bidi w:val="1"/>
    </w:pPr>
  </w:style>
  <w:style w:type="paragraph" w:styleId="Heading1">
    <w:name w:val="heading 1"/>
    <w:basedOn w:val="Normal"/>
    <w:pPr>
      <w:jc w:val="center"/>
    </w:pPr>
    <w:rPr>
      <w:rFonts w:cs="Dubai"/>
    </w:rPr>
  </w:style>
  <w:style w:type="paragraph" w:styleId="EnglishBody">
    <w:name w:val="English Body"/>
    <w:basedOn w:val="Normal"/>
    <w:pPr>
      <w:bidi w:val="0"/>
    </w:pPr>
  </w:style>
  <w:style w:type="table" w:styleId="RtlTable">
    <w:name w:val="RTL Table"/>
    <w:tblPr>
      <w:bidiVisual w:val="1"/>
    </w:tblPr>
  </w:style>
  <w:style w:type="table" w:styleId="PlainTable">
    <w:name w:val="Plain Table"/>
    <w:tblPr>
      <w:tblCellMar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mirsam corpus generator</Application>
  <Pages>1</Pages>
  <Words>0</Words>
  <Characters>0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التقرير الفصلي</dc:title>
  <dc:creator>mirsam corpus</dc:creator>
  <cp:lastModifiedBy>mirsam corpus</cp:lastModifiedBy>
  <dcterms:created xsi:type="dcterms:W3CDTF">2026-01-01T00:00:00Z</dcterms:created>
  <dcterms:modified xsi:type="dcterms:W3CDTF">2026-01-01T00:00:00Z</dcterms:modified>
</cp:coreProperties>
</file>