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626C" w14:textId="77777777" w:rsidR="009F64EA" w:rsidRDefault="009F64EA" w:rsidP="000B2DF7">
      <w:pPr>
        <w:widowControl w:val="0"/>
        <w:pBdr>
          <w:top w:val="nil"/>
          <w:left w:val="nil"/>
          <w:bottom w:val="nil"/>
          <w:right w:val="nil"/>
          <w:between w:val="nil"/>
        </w:pBdr>
        <w:spacing w:line="360" w:lineRule="auto"/>
      </w:pPr>
    </w:p>
    <w:sdt>
      <w:sdtPr>
        <w:tag w:val="goog_rdk_1"/>
        <w:id w:val="-1309540285"/>
      </w:sdtPr>
      <w:sdtEndPr/>
      <w:sdtContent>
        <w:p w14:paraId="1709EBCF" w14:textId="1CC36DB7" w:rsidR="009F64EA" w:rsidRPr="00FA2208" w:rsidRDefault="009F64EA" w:rsidP="000B2DF7">
          <w:pPr>
            <w:keepNext/>
            <w:tabs>
              <w:tab w:val="left" w:pos="720"/>
            </w:tabs>
            <w:spacing w:line="360" w:lineRule="auto"/>
            <w:rPr>
              <w:sz w:val="48"/>
              <w:szCs w:val="48"/>
            </w:rPr>
          </w:pPr>
          <w:r>
            <w:rPr>
              <w:sz w:val="48"/>
              <w:szCs w:val="48"/>
            </w:rPr>
            <w:t>Tracking two pleasures</w:t>
          </w:r>
        </w:p>
      </w:sdtContent>
    </w:sdt>
    <w:sdt>
      <w:sdtPr>
        <w:tag w:val="goog_rdk_3"/>
        <w:id w:val="-1039580733"/>
      </w:sdtPr>
      <w:sdtEndPr/>
      <w:sdtContent>
        <w:p w14:paraId="72A8308C" w14:textId="5A9C23D4" w:rsidR="009F64EA" w:rsidRPr="00B111B3" w:rsidRDefault="009F64EA" w:rsidP="000B2DF7">
          <w:pPr>
            <w:keepNext/>
            <w:tabs>
              <w:tab w:val="left" w:pos="720"/>
            </w:tabs>
            <w:spacing w:line="360" w:lineRule="auto"/>
            <w:rPr>
              <w:vertAlign w:val="superscript"/>
            </w:rPr>
          </w:pPr>
          <w:r w:rsidRPr="00B111B3">
            <w:t>Aenne A. Brielmann &amp; Denis G. Pelli</w:t>
          </w:r>
        </w:p>
      </w:sdtContent>
    </w:sdt>
    <w:p w14:paraId="51B8424A" w14:textId="77777777" w:rsidR="00A35B6B" w:rsidRPr="00B111B3" w:rsidRDefault="00A35B6B" w:rsidP="000B2DF7">
      <w:pPr>
        <w:spacing w:line="360" w:lineRule="auto"/>
        <w:rPr>
          <w:b/>
          <w:color w:val="808080" w:themeColor="background1" w:themeShade="80"/>
        </w:rPr>
      </w:pPr>
    </w:p>
    <w:p w14:paraId="77586E5E" w14:textId="3BFC8069" w:rsidR="00857627" w:rsidRDefault="009F64EA" w:rsidP="000B2DF7">
      <w:pPr>
        <w:pStyle w:val="ListParagraph"/>
        <w:spacing w:line="360" w:lineRule="auto"/>
        <w:ind w:left="0"/>
        <w:jc w:val="center"/>
        <w:rPr>
          <w:b/>
        </w:rPr>
      </w:pPr>
      <w:r>
        <w:rPr>
          <w:b/>
        </w:rPr>
        <w:t xml:space="preserve">Detailed </w:t>
      </w:r>
      <w:r w:rsidR="00124B1F">
        <w:rPr>
          <w:b/>
        </w:rPr>
        <w:t>analysis description</w:t>
      </w:r>
    </w:p>
    <w:p w14:paraId="52212FFD" w14:textId="00AF7BAB" w:rsidR="009F64EA" w:rsidRDefault="00274621" w:rsidP="000B2DF7">
      <w:pPr>
        <w:pStyle w:val="ListParagraph"/>
        <w:spacing w:line="360" w:lineRule="auto"/>
        <w:ind w:left="0"/>
        <w:rPr>
          <w:bCs/>
        </w:rPr>
      </w:pPr>
      <w:r>
        <w:rPr>
          <w:bCs/>
        </w:rPr>
        <w:t>In the following, we provide a detailed description of all analyses that were carried out with MATLAB that shall enable reconstruction of our analyses with a different software.</w:t>
      </w:r>
    </w:p>
    <w:p w14:paraId="44EC07E3" w14:textId="77777777" w:rsidR="00274621" w:rsidRPr="00274621" w:rsidRDefault="00274621" w:rsidP="000B2DF7">
      <w:pPr>
        <w:pStyle w:val="ListParagraph"/>
        <w:spacing w:line="360" w:lineRule="auto"/>
        <w:ind w:left="0"/>
        <w:rPr>
          <w:bCs/>
        </w:rPr>
      </w:pPr>
    </w:p>
    <w:p w14:paraId="5D7AABE9" w14:textId="13FF1CC7" w:rsidR="00931B2E" w:rsidRDefault="00931B2E" w:rsidP="000B2DF7">
      <w:pPr>
        <w:spacing w:line="360" w:lineRule="auto"/>
        <w:rPr>
          <w:b/>
        </w:rPr>
      </w:pPr>
      <w:r w:rsidRPr="00931B2E">
        <w:rPr>
          <w:b/>
        </w:rPr>
        <w:t>analyses01</w:t>
      </w:r>
      <w:r w:rsidR="005278EA">
        <w:rPr>
          <w:b/>
        </w:rPr>
        <w:t>: C</w:t>
      </w:r>
      <w:r w:rsidRPr="00931B2E">
        <w:rPr>
          <w:b/>
        </w:rPr>
        <w:t>orrelation</w:t>
      </w:r>
      <w:r w:rsidR="005278EA">
        <w:rPr>
          <w:b/>
        </w:rPr>
        <w:t xml:space="preserve"> </w:t>
      </w:r>
      <w:r w:rsidRPr="00931B2E">
        <w:rPr>
          <w:b/>
        </w:rPr>
        <w:t>between</w:t>
      </w:r>
      <w:r w:rsidR="005278EA">
        <w:rPr>
          <w:b/>
        </w:rPr>
        <w:t xml:space="preserve"> </w:t>
      </w:r>
      <w:r w:rsidR="00FA2208" w:rsidRPr="00931B2E">
        <w:rPr>
          <w:b/>
        </w:rPr>
        <w:t>base</w:t>
      </w:r>
      <w:r w:rsidR="00FA2208">
        <w:rPr>
          <w:b/>
        </w:rPr>
        <w:t>l</w:t>
      </w:r>
      <w:r w:rsidR="00FA2208" w:rsidRPr="00931B2E">
        <w:rPr>
          <w:b/>
        </w:rPr>
        <w:t>ine</w:t>
      </w:r>
      <w:r w:rsidR="005278EA">
        <w:rPr>
          <w:b/>
        </w:rPr>
        <w:t xml:space="preserve"> ratings, average beauty, and valence</w:t>
      </w:r>
      <w:r w:rsidRPr="00931B2E">
        <w:rPr>
          <w:b/>
        </w:rPr>
        <w:t xml:space="preserve"> </w:t>
      </w:r>
    </w:p>
    <w:p w14:paraId="634842D9" w14:textId="3F6BE238" w:rsidR="00931B2E" w:rsidRDefault="00931B2E" w:rsidP="000B2DF7">
      <w:pPr>
        <w:spacing w:line="360" w:lineRule="auto"/>
      </w:pPr>
      <w:r w:rsidRPr="00931B2E">
        <w:t xml:space="preserve">For </w:t>
      </w:r>
      <w:r>
        <w:t xml:space="preserve">each participant, we calculated the Pearson correlation coefficient between her baseline beauty ratings for each image and 1) mean beauty ratings for those images obtained from a separate sample of </w:t>
      </w:r>
      <w:proofErr w:type="spellStart"/>
      <w:r>
        <w:t>mTurk</w:t>
      </w:r>
      <w:proofErr w:type="spellEnd"/>
      <w:r>
        <w:t xml:space="preserve"> participants by our lab (Brielmann &amp; Pelli, under review; </w:t>
      </w:r>
      <w:hyperlink r:id="rId7" w:history="1">
        <w:r w:rsidR="003236F1">
          <w:rPr>
            <w:rStyle w:val="Hyperlink"/>
            <w:rFonts w:eastAsiaTheme="majorEastAsia"/>
          </w:rPr>
          <w:t>https://github.com/aenneb/OASIS-beauty</w:t>
        </w:r>
      </w:hyperlink>
      <w:r>
        <w:t>), and 2) mean valence ratings for those images provided by Kurdi and colleagues (</w:t>
      </w:r>
      <w:r w:rsidR="00FF204D">
        <w:t xml:space="preserve">Kurdi, Lozano, &amp; </w:t>
      </w:r>
      <w:proofErr w:type="spellStart"/>
      <w:r w:rsidR="00FF204D">
        <w:t>Banaji</w:t>
      </w:r>
      <w:proofErr w:type="spellEnd"/>
      <w:r w:rsidR="00FF204D">
        <w:t>, 2017</w:t>
      </w:r>
      <w:r w:rsidR="00FF204D">
        <w:rPr>
          <w:rFonts w:ascii="Helvetica Neue" w:hAnsi="Helvetica Neue"/>
          <w:color w:val="333333"/>
          <w:sz w:val="21"/>
          <w:szCs w:val="21"/>
          <w:shd w:val="clear" w:color="auto" w:fill="FFFFFF"/>
        </w:rPr>
        <w:t xml:space="preserve">; </w:t>
      </w:r>
      <w:hyperlink r:id="rId8" w:history="1">
        <w:r w:rsidR="005C0CAA">
          <w:rPr>
            <w:rStyle w:val="Hyperlink"/>
            <w:rFonts w:eastAsiaTheme="majorEastAsia"/>
          </w:rPr>
          <w:t>https://osf.io/6pnd7/</w:t>
        </w:r>
      </w:hyperlink>
      <w:r>
        <w:t>). Rating pairs with missing values were excluded from the calculation on a pairwise basis. We then calculated the mean, minimum, and maximum correlation across participants.</w:t>
      </w:r>
    </w:p>
    <w:p w14:paraId="4341D6AE" w14:textId="77777777" w:rsidR="00931B2E" w:rsidRDefault="00931B2E" w:rsidP="000B2DF7">
      <w:pPr>
        <w:spacing w:line="360" w:lineRule="auto"/>
      </w:pPr>
    </w:p>
    <w:p w14:paraId="5CE62854" w14:textId="21880C8E" w:rsidR="00931B2E" w:rsidRDefault="00931B2E" w:rsidP="000B2DF7">
      <w:pPr>
        <w:spacing w:line="360" w:lineRule="auto"/>
        <w:rPr>
          <w:b/>
          <w:bCs/>
        </w:rPr>
      </w:pPr>
      <w:r w:rsidRPr="00931B2E">
        <w:rPr>
          <w:b/>
          <w:bCs/>
        </w:rPr>
        <w:t>analyses02</w:t>
      </w:r>
      <w:r w:rsidR="005278EA">
        <w:rPr>
          <w:b/>
          <w:bCs/>
        </w:rPr>
        <w:t xml:space="preserve">: </w:t>
      </w:r>
      <w:r w:rsidRPr="00931B2E">
        <w:rPr>
          <w:b/>
          <w:bCs/>
        </w:rPr>
        <w:t xml:space="preserve">ICC </w:t>
      </w:r>
    </w:p>
    <w:p w14:paraId="23D23B43" w14:textId="461AFDF0" w:rsidR="001A674A" w:rsidRDefault="001A674A" w:rsidP="000B2DF7">
      <w:pPr>
        <w:spacing w:line="360" w:lineRule="auto"/>
      </w:pPr>
      <w:r>
        <w:t xml:space="preserve">To calculate </w:t>
      </w:r>
      <w:r w:rsidR="005278EA">
        <w:t>intraclass-correlation coefficient (</w:t>
      </w:r>
      <w:r>
        <w:t>ICC</w:t>
      </w:r>
      <w:r w:rsidR="005278EA">
        <w:t>)</w:t>
      </w:r>
      <w:r>
        <w:t>, we first combined the data of all participants into a single matrix. Next, we used the MATLAB function ICC (</w:t>
      </w:r>
      <w:hyperlink r:id="rId9" w:history="1">
        <w:r>
          <w:rPr>
            <w:rStyle w:val="Hyperlink"/>
            <w:rFonts w:eastAsiaTheme="majorEastAsia"/>
          </w:rPr>
          <w:t>https://www.mathworks.com/matlabcentral/fileexchange/22099-intraclass-correlation-coefficient-icc</w:t>
        </w:r>
      </w:hyperlink>
      <w:r>
        <w:t xml:space="preserve">; see overview for a detailed description) to calculate the </w:t>
      </w:r>
      <w:r w:rsidR="005278EA">
        <w:t xml:space="preserve">ICC </w:t>
      </w:r>
      <w:r>
        <w:t>for bas</w:t>
      </w:r>
      <w:r w:rsidR="005278EA">
        <w:t>e</w:t>
      </w:r>
      <w:r>
        <w:t>line ratings. Data from participants with missing values in their baseline ratings, for the main data this was participant #1, were excluded from this analysis. ICC was calculated as “</w:t>
      </w:r>
      <w:r w:rsidRPr="001A674A">
        <w:t>'A-1': case 2: The degree of absolute agreement among measurements.</w:t>
      </w:r>
      <w:r>
        <w:t>”</w:t>
      </w:r>
    </w:p>
    <w:p w14:paraId="594356F0" w14:textId="076B1C5E" w:rsidR="005278EA" w:rsidRDefault="005278EA" w:rsidP="000B2DF7">
      <w:pPr>
        <w:spacing w:line="360" w:lineRule="auto"/>
      </w:pPr>
    </w:p>
    <w:p w14:paraId="332BFA32" w14:textId="697B94C7" w:rsidR="005278EA" w:rsidRDefault="005278EA" w:rsidP="000B2DF7">
      <w:pPr>
        <w:spacing w:line="360" w:lineRule="auto"/>
        <w:rPr>
          <w:b/>
          <w:bCs/>
        </w:rPr>
      </w:pPr>
      <w:r w:rsidRPr="005278EA">
        <w:rPr>
          <w:b/>
          <w:bCs/>
        </w:rPr>
        <w:t>analyses03</w:t>
      </w:r>
      <w:r w:rsidR="00F858A3">
        <w:rPr>
          <w:b/>
          <w:bCs/>
        </w:rPr>
        <w:t>:</w:t>
      </w:r>
      <w:r>
        <w:rPr>
          <w:b/>
          <w:bCs/>
        </w:rPr>
        <w:t xml:space="preserve"> </w:t>
      </w:r>
      <w:r w:rsidR="00F858A3">
        <w:rPr>
          <w:b/>
          <w:bCs/>
        </w:rPr>
        <w:t>C</w:t>
      </w:r>
      <w:r w:rsidRPr="005278EA">
        <w:rPr>
          <w:b/>
          <w:bCs/>
        </w:rPr>
        <w:t>ronbach</w:t>
      </w:r>
      <w:r>
        <w:rPr>
          <w:b/>
          <w:bCs/>
        </w:rPr>
        <w:t xml:space="preserve"> </w:t>
      </w:r>
      <w:r w:rsidRPr="005278EA">
        <w:rPr>
          <w:b/>
          <w:bCs/>
        </w:rPr>
        <w:t>error</w:t>
      </w:r>
      <w:r w:rsidR="00F858A3">
        <w:rPr>
          <w:b/>
          <w:bCs/>
        </w:rPr>
        <w:t xml:space="preserve"> a</w:t>
      </w:r>
      <w:r w:rsidRPr="005278EA">
        <w:rPr>
          <w:b/>
          <w:bCs/>
        </w:rPr>
        <w:t>nalyses</w:t>
      </w:r>
    </w:p>
    <w:p w14:paraId="27B6E2C2" w14:textId="6585E0C5" w:rsidR="001408E5" w:rsidRPr="001408E5" w:rsidRDefault="000B2DF7" w:rsidP="000B2DF7">
      <w:pPr>
        <w:spacing w:line="360" w:lineRule="auto"/>
      </w:pPr>
      <w:r>
        <w:t>The analyses of Cronbach’s alpha for errors were b</w:t>
      </w:r>
      <w:r w:rsidR="001408E5" w:rsidRPr="001408E5">
        <w:t>ased on Haberman</w:t>
      </w:r>
      <w:r>
        <w:t>, Brady, and Alvarez (2015). They measure the consistency of participants’ errors within each trial type: pre-cued one-pleasure, pre-cued combined-pleasure, post-cued one-pleasure, and post-cued combined-pleasure.</w:t>
      </w:r>
    </w:p>
    <w:p w14:paraId="65E33FF4" w14:textId="16A7B20F" w:rsidR="00263EBA" w:rsidRDefault="000B2DF7" w:rsidP="000B2DF7">
      <w:pPr>
        <w:spacing w:line="360" w:lineRule="auto"/>
      </w:pPr>
      <w:r>
        <w:t xml:space="preserve">STEP 1: For each participant, we first split the data into the four trial types described above. We then calculate the mean absolute difference between these ratings and the baseline ratings </w:t>
      </w:r>
      <w:r>
        <w:lastRenderedPageBreak/>
        <w:t>given by the same participant for each image (for one-pleasure trials) or the average of the baseline ratings for both presented images (for combined-pleasure trials). These mean absolute differences are the error for each participant per trial type.</w:t>
      </w:r>
    </w:p>
    <w:p w14:paraId="4B990DB9" w14:textId="43A86697" w:rsidR="000B2DF7" w:rsidRDefault="000B2DF7" w:rsidP="000B2DF7">
      <w:pPr>
        <w:spacing w:line="360" w:lineRule="auto"/>
      </w:pPr>
      <w:r>
        <w:t xml:space="preserve">STEP 2: Next, we calculate Cronbach’s alpha for each trial type using the errors calculated in step 1. We used the MATLAB function </w:t>
      </w:r>
      <w:proofErr w:type="spellStart"/>
      <w:r w:rsidR="00C97C5E">
        <w:t>c</w:t>
      </w:r>
      <w:r>
        <w:t>ronbach</w:t>
      </w:r>
      <w:proofErr w:type="spellEnd"/>
      <w:r>
        <w:t>() to do so (</w:t>
      </w:r>
      <w:hyperlink r:id="rId10" w:history="1">
        <w:r>
          <w:rPr>
            <w:rStyle w:val="Hyperlink"/>
            <w:rFonts w:eastAsiaTheme="majorEastAsia"/>
          </w:rPr>
          <w:t>https://www.mathworks.com/matlabcentral/fileexchange/7829-cronbach-s-alpha</w:t>
        </w:r>
      </w:hyperlink>
      <w:r>
        <w:t>). Again, data from participants with missing values in their baseline ratings, for the main data this was participant #1, were excluded from this analysis.</w:t>
      </w:r>
    </w:p>
    <w:p w14:paraId="7FE7B5DA" w14:textId="245F7DD8" w:rsidR="000B2DF7" w:rsidRDefault="000B2DF7" w:rsidP="000B2DF7">
      <w:pPr>
        <w:spacing w:line="360" w:lineRule="auto"/>
      </w:pPr>
      <w:r>
        <w:t xml:space="preserve">STEP 3: Based on the alpha values in step 2, we calculate the maximum correlation obtainable for the combination of each trial type as the square root of the products of the trial types to be correlated. </w:t>
      </w:r>
    </w:p>
    <w:p w14:paraId="0C0612AA" w14:textId="58CEC1F8" w:rsidR="000B2DF7" w:rsidRDefault="000B2DF7" w:rsidP="000B2DF7">
      <w:pPr>
        <w:spacing w:line="360" w:lineRule="auto"/>
      </w:pPr>
    </w:p>
    <w:p w14:paraId="0EF41EFD" w14:textId="34AFABBD" w:rsidR="00CE1E91" w:rsidRDefault="00CE1E91" w:rsidP="000B2DF7">
      <w:pPr>
        <w:spacing w:line="360" w:lineRule="auto"/>
        <w:rPr>
          <w:b/>
          <w:bCs/>
        </w:rPr>
      </w:pPr>
      <w:r>
        <w:rPr>
          <w:b/>
          <w:bCs/>
        </w:rPr>
        <w:t>Analyses 04: LOOCV for one-</w:t>
      </w:r>
      <w:r w:rsidR="004311F3">
        <w:rPr>
          <w:b/>
          <w:bCs/>
        </w:rPr>
        <w:t>pleasure</w:t>
      </w:r>
      <w:r>
        <w:rPr>
          <w:b/>
          <w:bCs/>
        </w:rPr>
        <w:t xml:space="preserve"> trials</w:t>
      </w:r>
    </w:p>
    <w:p w14:paraId="7485678F" w14:textId="1D3820C6" w:rsidR="00CE1E91" w:rsidRDefault="00CF6FE6" w:rsidP="000B2DF7">
      <w:pPr>
        <w:spacing w:line="360" w:lineRule="auto"/>
      </w:pPr>
      <w:r>
        <w:t xml:space="preserve">Leave-one out cross-validation analyses were conducted for each individual participant separately. We fit three different models based on Eq. </w:t>
      </w:r>
      <w:r w:rsidR="00F7211A">
        <w:t>1</w:t>
      </w:r>
      <w:r>
        <w:t>:</w:t>
      </w:r>
    </w:p>
    <w:p w14:paraId="3634BAA6" w14:textId="5671B26E" w:rsidR="00CF6FE6" w:rsidRDefault="00CF6FE6" w:rsidP="00CF6FE6">
      <w:pPr>
        <w:spacing w:line="360" w:lineRule="auto"/>
      </w:pPr>
      <m:oMath>
        <m:acc>
          <m:accPr>
            <m:ctrlPr>
              <w:rPr>
                <w:rFonts w:ascii="Cambria Math" w:hAnsi="Cambria Math"/>
                <w:i/>
              </w:rPr>
            </m:ctrlPr>
          </m:accPr>
          <m:e>
            <m:r>
              <w:rPr>
                <w:rFonts w:ascii="Cambria Math" w:hAnsi="Cambria Math"/>
              </w:rPr>
              <m:t>P</m:t>
            </m:r>
          </m:e>
        </m:acc>
        <m:r>
          <w:rPr>
            <w:rFonts w:ascii="Cambria Math" w:hAnsi="Cambria Math"/>
          </w:rPr>
          <m:t>=a+b(w</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tab/>
      </w:r>
      <w:r>
        <w:tab/>
      </w:r>
      <w:r>
        <w:tab/>
      </w:r>
      <w:r>
        <w:tab/>
      </w:r>
      <w:r>
        <w:tab/>
      </w:r>
      <w:r>
        <w:tab/>
      </w:r>
      <w:r>
        <w:tab/>
      </w:r>
      <w:r>
        <w:tab/>
        <w:t>(1)</w:t>
      </w:r>
    </w:p>
    <w:p w14:paraId="1FE94733" w14:textId="34D1861B" w:rsidR="00CF6FE6" w:rsidRDefault="00CF6FE6" w:rsidP="00CF6FE6">
      <w:pPr>
        <w:spacing w:line="360" w:lineRule="auto"/>
      </w:pPr>
      <w:r>
        <w:t xml:space="preserve">where </w:t>
      </w:r>
      <m:oMath>
        <m:acc>
          <m:accPr>
            <m:ctrlPr>
              <w:rPr>
                <w:rFonts w:ascii="Cambria Math" w:hAnsi="Cambria Math"/>
                <w:i/>
              </w:rPr>
            </m:ctrlPr>
          </m:accPr>
          <m:e>
            <m:r>
              <w:rPr>
                <w:rFonts w:ascii="Cambria Math" w:hAnsi="Cambria Math"/>
              </w:rPr>
              <m:t>P</m:t>
            </m:r>
          </m:e>
        </m:acc>
      </m:oMath>
      <w:r>
        <w:t xml:space="preserve"> </w:t>
      </w:r>
      <w:r>
        <w:t xml:space="preserve">is reported pleasure, w is the target weight, 0.5 ≤ </w:t>
      </w:r>
      <w:r w:rsidRPr="00CF6FE6">
        <w:rPr>
          <w:i/>
          <w:iCs/>
        </w:rPr>
        <w:t xml:space="preserve">w </w:t>
      </w:r>
      <w:r>
        <w:t xml:space="preserve">≤ 1, and </w:t>
      </w:r>
      <w:r w:rsidRPr="00CF6FE6">
        <w:rPr>
          <w:i/>
          <w:iCs/>
        </w:rPr>
        <w:t>a</w:t>
      </w:r>
      <w:r>
        <w:t xml:space="preserve"> and </w:t>
      </w:r>
      <w:r w:rsidRPr="00CF6FE6">
        <w:rPr>
          <w:i/>
          <w:iCs/>
        </w:rPr>
        <w:t>b</w:t>
      </w:r>
      <w:r>
        <w:t xml:space="preserve"> are constants. For one-pleasure trials, </w:t>
      </w:r>
      <w:r w:rsidRPr="00CF6FE6">
        <w:rPr>
          <w:i/>
          <w:iCs/>
        </w:rPr>
        <w:t>P</w:t>
      </w:r>
      <w:r w:rsidRPr="00CF6FE6">
        <w:rPr>
          <w:vertAlign w:val="subscript"/>
        </w:rPr>
        <w:t>1</w:t>
      </w:r>
      <w:r>
        <w:t xml:space="preserve"> represents target single-pleasure and </w:t>
      </w:r>
      <w:r w:rsidRPr="00CF6FE6">
        <w:rPr>
          <w:i/>
          <w:iCs/>
        </w:rPr>
        <w:t>P</w:t>
      </w:r>
      <w:r>
        <w:rPr>
          <w:vertAlign w:val="subscript"/>
        </w:rPr>
        <w:t>2</w:t>
      </w:r>
      <w:r>
        <w:t xml:space="preserve"> distractor single-pleasure. For combined-pleasure trials, </w:t>
      </w:r>
      <w:r w:rsidRPr="00CF6FE6">
        <w:rPr>
          <w:i/>
          <w:iCs/>
        </w:rPr>
        <w:t>P</w:t>
      </w:r>
      <w:r w:rsidRPr="00CF6FE6">
        <w:rPr>
          <w:vertAlign w:val="subscript"/>
        </w:rPr>
        <w:t>1</w:t>
      </w:r>
      <w:r>
        <w:t xml:space="preserve"> represents the left image’s single-pleasure and </w:t>
      </w:r>
      <w:r w:rsidRPr="00CF6FE6">
        <w:rPr>
          <w:i/>
          <w:iCs/>
        </w:rPr>
        <w:t>P</w:t>
      </w:r>
      <w:r>
        <w:rPr>
          <w:vertAlign w:val="subscript"/>
        </w:rPr>
        <w:t>2</w:t>
      </w:r>
      <w:r>
        <w:t xml:space="preserve"> the right image’s single-pleasure. </w:t>
      </w:r>
    </w:p>
    <w:p w14:paraId="4A704C49" w14:textId="0D4E0913" w:rsidR="00CF6FE6" w:rsidRDefault="00CF6FE6" w:rsidP="00CF6FE6">
      <w:pPr>
        <w:spacing w:line="360" w:lineRule="auto"/>
      </w:pPr>
      <w:r>
        <w:t xml:space="preserve">All models </w:t>
      </w:r>
      <w:r>
        <w:t>are</w:t>
      </w:r>
      <w:r>
        <w:t xml:space="preserve"> special cases of Eq. 1. The models of interest </w:t>
      </w:r>
      <w:r>
        <w:t>for the LOOCV one-pleasure analyses</w:t>
      </w:r>
      <w:r>
        <w:t xml:space="preserve"> are the accurate observer, compulsory averaging, and partial compulsory averaging models. These models assume no linear transformation, i.e. </w:t>
      </w:r>
      <w:r w:rsidRPr="00CF6FE6">
        <w:rPr>
          <w:i/>
          <w:iCs/>
        </w:rPr>
        <w:t>a</w:t>
      </w:r>
      <w:r>
        <w:t xml:space="preserve"> = 0 and </w:t>
      </w:r>
      <w:r w:rsidRPr="00CF6FE6">
        <w:rPr>
          <w:i/>
          <w:iCs/>
        </w:rPr>
        <w:t>b</w:t>
      </w:r>
      <w:r>
        <w:t xml:space="preserve"> = 1. Crucially, the compulsory averaging model has a weight </w:t>
      </w:r>
      <w:r w:rsidRPr="00CF6FE6">
        <w:rPr>
          <w:i/>
          <w:iCs/>
        </w:rPr>
        <w:t>w</w:t>
      </w:r>
      <w:r>
        <w:t xml:space="preserve"> = 0.5, whereas an accurate observer has </w:t>
      </w:r>
      <w:r w:rsidRPr="00CF6FE6">
        <w:rPr>
          <w:i/>
          <w:iCs/>
        </w:rPr>
        <w:t>w</w:t>
      </w:r>
      <w:r>
        <w:t xml:space="preserve"> = 1. Values for </w:t>
      </w:r>
      <w:r w:rsidRPr="006C75FC">
        <w:rPr>
          <w:i/>
          <w:iCs/>
        </w:rPr>
        <w:t>w</w:t>
      </w:r>
      <w:r>
        <w:t xml:space="preserve"> fall in between for the partial compulsory averaging model.</w:t>
      </w:r>
    </w:p>
    <w:p w14:paraId="05BED9C6" w14:textId="6507103D" w:rsidR="00F7211A" w:rsidRDefault="00F7211A" w:rsidP="00CF6FE6">
      <w:pPr>
        <w:spacing w:line="360" w:lineRule="auto"/>
      </w:pPr>
      <w:r>
        <w:t xml:space="preserve">The models were fit on all but the one left-out trial. The models were distinguished by constraining the permissible range of the model parameters </w:t>
      </w:r>
      <w:r>
        <w:rPr>
          <w:i/>
          <w:iCs/>
        </w:rPr>
        <w:t>a</w:t>
      </w:r>
      <w:r>
        <w:t xml:space="preserve">, </w:t>
      </w:r>
      <w:r>
        <w:rPr>
          <w:i/>
          <w:iCs/>
        </w:rPr>
        <w:t>b</w:t>
      </w:r>
      <w:r>
        <w:t xml:space="preserve">, and </w:t>
      </w:r>
      <w:proofErr w:type="spellStart"/>
      <w:r>
        <w:rPr>
          <w:i/>
          <w:iCs/>
        </w:rPr>
        <w:t>w</w:t>
      </w:r>
      <w:r>
        <w:t xml:space="preserve"> as</w:t>
      </w:r>
      <w:proofErr w:type="spellEnd"/>
      <w:r>
        <w:t xml:space="preserve"> described above. To fit these models we used the built-in MATLAB function </w:t>
      </w:r>
      <w:proofErr w:type="spellStart"/>
      <w:r>
        <w:t>fmincon</w:t>
      </w:r>
      <w:proofErr w:type="spellEnd"/>
      <w:r>
        <w:t>() with a maximum of 10</w:t>
      </w:r>
      <w:r>
        <w:rPr>
          <w:vertAlign w:val="superscript"/>
        </w:rPr>
        <w:t>8</w:t>
      </w:r>
      <w:r>
        <w:t xml:space="preserve"> iterations and function evaluations and a t</w:t>
      </w:r>
      <w:r w:rsidRPr="00F7211A">
        <w:t xml:space="preserve">ermination tolerance for </w:t>
      </w:r>
      <w:r w:rsidRPr="00F7211A">
        <w:rPr>
          <w:i/>
          <w:iCs/>
        </w:rPr>
        <w:t>x</w:t>
      </w:r>
      <w:r w:rsidRPr="00F7211A">
        <w:t xml:space="preserve"> </w:t>
      </w:r>
      <w:r>
        <w:t>of 1</w:t>
      </w:r>
      <w:r>
        <w:rPr>
          <w:vertAlign w:val="superscript"/>
        </w:rPr>
        <w:t>-20</w:t>
      </w:r>
      <w:r>
        <w:t xml:space="preserve">. The </w:t>
      </w:r>
      <w:proofErr w:type="spellStart"/>
      <w:r>
        <w:t>fmincon</w:t>
      </w:r>
      <w:proofErr w:type="spellEnd"/>
      <w:r>
        <w:t>() function finds the minimum of a problem specified by, in our case:</w:t>
      </w:r>
    </w:p>
    <w:p w14:paraId="5B06E4DA" w14:textId="202C9178" w:rsidR="00F7211A" w:rsidRPr="00C5300D" w:rsidRDefault="00F7211A" w:rsidP="00CF6FE6">
      <w:pPr>
        <w:spacing w:line="36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r>
                <w:rPr>
                  <w:rFonts w:ascii="Cambria Math" w:hAnsi="Cambria Math"/>
                </w:rPr>
                <m:t>f(x)</m:t>
              </m:r>
            </m:e>
          </m:func>
          <m:d>
            <m:dPr>
              <m:begChr m:val="{"/>
              <m:endChr m:val=""/>
              <m:ctrlPr>
                <w:rPr>
                  <w:rFonts w:ascii="Cambria Math" w:hAnsi="Cambria Math"/>
                  <w:i/>
                </w:rPr>
              </m:ctrlPr>
            </m:dPr>
            <m:e>
              <m:r>
                <w:rPr>
                  <w:rFonts w:ascii="Cambria Math" w:hAnsi="Cambria Math"/>
                </w:rPr>
                <m:t>lb≤x≤ub</m:t>
              </m:r>
            </m:e>
          </m:d>
        </m:oMath>
      </m:oMathPara>
    </w:p>
    <w:p w14:paraId="16655FB8" w14:textId="68D55F84" w:rsidR="00C5300D" w:rsidRDefault="00C5300D" w:rsidP="00CF6FE6">
      <w:pPr>
        <w:spacing w:line="360" w:lineRule="auto"/>
      </w:pPr>
      <w:r>
        <w:t xml:space="preserve">Where </w:t>
      </w:r>
      <w:proofErr w:type="spellStart"/>
      <w:r>
        <w:rPr>
          <w:i/>
          <w:iCs/>
        </w:rPr>
        <w:t>lb</w:t>
      </w:r>
      <w:proofErr w:type="spellEnd"/>
      <w:r>
        <w:t xml:space="preserve"> is the specified lower bound and </w:t>
      </w:r>
      <w:proofErr w:type="spellStart"/>
      <w:r>
        <w:rPr>
          <w:i/>
          <w:iCs/>
        </w:rPr>
        <w:t>ub</w:t>
      </w:r>
      <w:proofErr w:type="spellEnd"/>
      <w:r>
        <w:t xml:space="preserve"> is the specified upper bound for the variable </w:t>
      </w:r>
      <w:r>
        <w:rPr>
          <w:i/>
          <w:iCs/>
        </w:rPr>
        <w:t>x</w:t>
      </w:r>
      <w:r>
        <w:t>.</w:t>
      </w:r>
    </w:p>
    <w:p w14:paraId="76D763D7" w14:textId="77777777" w:rsidR="00C5300D" w:rsidRDefault="00C5300D" w:rsidP="00CF6FE6">
      <w:pPr>
        <w:spacing w:line="360" w:lineRule="auto"/>
      </w:pPr>
      <w:r>
        <w:lastRenderedPageBreak/>
        <w:t xml:space="preserve">The start value for </w:t>
      </w:r>
      <w:r>
        <w:rPr>
          <w:i/>
          <w:iCs/>
        </w:rPr>
        <w:t>w</w:t>
      </w:r>
      <w:r>
        <w:t xml:space="preserve"> was set to 0.5. The cost function for the minimization problem was the root mean square error between model predictions and observed values for ratings on individual trials. </w:t>
      </w:r>
    </w:p>
    <w:p w14:paraId="5CBE2A43" w14:textId="0B14B95B" w:rsidR="00C5300D" w:rsidRDefault="00C5300D" w:rsidP="00CF6FE6">
      <w:pPr>
        <w:spacing w:line="360" w:lineRule="auto"/>
      </w:pPr>
      <w:r>
        <w:t xml:space="preserve">For the one-image trials, only the partial compulsory averaging was fit on the training trials. The accurate observer and compulsory averaging model were not fit since they do not contain a free parameter. For each model and each observer, we calculated the average root mean square error (RMSE) between model predictions and observed rating in the left-out test trials. </w:t>
      </w:r>
    </w:p>
    <w:p w14:paraId="4D19F55F" w14:textId="037817DF" w:rsidR="00C5300D" w:rsidRDefault="00C5300D" w:rsidP="00CF6FE6">
      <w:pPr>
        <w:spacing w:line="360" w:lineRule="auto"/>
      </w:pPr>
      <w:r>
        <w:t xml:space="preserve">Last, we calculate the mean RMSE per model across participants as well as the standard error of this mean. </w:t>
      </w:r>
    </w:p>
    <w:p w14:paraId="313877D7" w14:textId="5E5A44ED" w:rsidR="004311F3" w:rsidRDefault="004311F3" w:rsidP="00CF6FE6">
      <w:pPr>
        <w:spacing w:line="360" w:lineRule="auto"/>
      </w:pPr>
    </w:p>
    <w:p w14:paraId="20A95E95" w14:textId="5AB46B50" w:rsidR="004311F3" w:rsidRDefault="004311F3" w:rsidP="004311F3">
      <w:pPr>
        <w:spacing w:line="360" w:lineRule="auto"/>
        <w:rPr>
          <w:b/>
          <w:bCs/>
        </w:rPr>
      </w:pPr>
      <w:r>
        <w:rPr>
          <w:b/>
          <w:bCs/>
        </w:rPr>
        <w:t>Analyses 0</w:t>
      </w:r>
      <w:r>
        <w:rPr>
          <w:b/>
          <w:bCs/>
        </w:rPr>
        <w:t>6</w:t>
      </w:r>
      <w:r>
        <w:rPr>
          <w:b/>
          <w:bCs/>
        </w:rPr>
        <w:t xml:space="preserve">: LOOCV for </w:t>
      </w:r>
      <w:r>
        <w:rPr>
          <w:b/>
          <w:bCs/>
        </w:rPr>
        <w:t>combined pleasure</w:t>
      </w:r>
      <w:r>
        <w:rPr>
          <w:b/>
          <w:bCs/>
        </w:rPr>
        <w:t xml:space="preserve"> trials</w:t>
      </w:r>
    </w:p>
    <w:p w14:paraId="48131F6C" w14:textId="63B80376" w:rsidR="004311F3" w:rsidRDefault="004311F3" w:rsidP="00CF6FE6">
      <w:pPr>
        <w:spacing w:line="360" w:lineRule="auto"/>
      </w:pPr>
      <w:r>
        <w:t>The analyses for combined-pleasure trials followed the same procedure as the analyses for one-pleasure trials with exception of the model specifications.</w:t>
      </w:r>
    </w:p>
    <w:p w14:paraId="2569B9C8" w14:textId="6C91BAAE" w:rsidR="004311F3" w:rsidRPr="00C5300D" w:rsidRDefault="004311F3" w:rsidP="00CF6FE6">
      <w:pPr>
        <w:spacing w:line="360" w:lineRule="auto"/>
      </w:pPr>
      <w:r>
        <w:t xml:space="preserve">For combined-pleasure trials, </w:t>
      </w:r>
      <w:r w:rsidR="00920FDA">
        <w:t>t</w:t>
      </w:r>
      <w:r w:rsidR="00920FDA" w:rsidRPr="00920FDA">
        <w:t xml:space="preserve">he </w:t>
      </w:r>
      <w:r w:rsidR="00920FDA">
        <w:t>evaluated</w:t>
      </w:r>
      <w:r w:rsidR="00920FDA" w:rsidRPr="00920FDA">
        <w:t xml:space="preserve"> models </w:t>
      </w:r>
      <w:r w:rsidR="00920FDA">
        <w:t>were</w:t>
      </w:r>
      <w:r w:rsidR="00920FDA" w:rsidRPr="00920FDA">
        <w:t xml:space="preserve"> the accurate observer, compressive, and expansive models. All three models assume </w:t>
      </w:r>
      <w:r w:rsidR="00920FDA" w:rsidRPr="00853AF0">
        <w:rPr>
          <w:i/>
          <w:iCs/>
        </w:rPr>
        <w:t>w</w:t>
      </w:r>
      <w:r w:rsidR="00920FDA" w:rsidRPr="00920FDA">
        <w:t xml:space="preserve"> = 0.5. The compressive model predicts a slope of 0 &lt; </w:t>
      </w:r>
      <w:r w:rsidR="00920FDA" w:rsidRPr="00853AF0">
        <w:rPr>
          <w:i/>
          <w:iCs/>
        </w:rPr>
        <w:t>b</w:t>
      </w:r>
      <w:r w:rsidR="00920FDA" w:rsidRPr="00920FDA">
        <w:t xml:space="preserve"> &lt; 1, and an intercept </w:t>
      </w:r>
      <w:r w:rsidR="00920FDA" w:rsidRPr="00853AF0">
        <w:rPr>
          <w:i/>
          <w:iCs/>
        </w:rPr>
        <w:t xml:space="preserve">a </w:t>
      </w:r>
      <w:r w:rsidR="00920FDA" w:rsidRPr="00920FDA">
        <w:t xml:space="preserve">&gt; 0. The expansive model predicts a slope of </w:t>
      </w:r>
      <w:r w:rsidR="00920FDA" w:rsidRPr="00853AF0">
        <w:rPr>
          <w:i/>
          <w:iCs/>
        </w:rPr>
        <w:t>b</w:t>
      </w:r>
      <w:r w:rsidR="00920FDA" w:rsidRPr="00920FDA">
        <w:t xml:space="preserve"> &gt; 1 and an intercept of </w:t>
      </w:r>
      <w:r w:rsidR="00920FDA" w:rsidRPr="00853AF0">
        <w:rPr>
          <w:i/>
          <w:iCs/>
        </w:rPr>
        <w:t>a</w:t>
      </w:r>
      <w:r w:rsidR="00920FDA" w:rsidRPr="00920FDA">
        <w:t xml:space="preserve"> &lt; 0. In contrast, the accurate observer model predicts an intercept of </w:t>
      </w:r>
      <w:r w:rsidR="00920FDA" w:rsidRPr="00853AF0">
        <w:rPr>
          <w:i/>
          <w:iCs/>
        </w:rPr>
        <w:t>a</w:t>
      </w:r>
      <w:r w:rsidR="00920FDA" w:rsidRPr="00920FDA">
        <w:t xml:space="preserve"> = 0 and a slope of </w:t>
      </w:r>
      <w:r w:rsidR="00920FDA" w:rsidRPr="00853AF0">
        <w:rPr>
          <w:i/>
          <w:iCs/>
        </w:rPr>
        <w:t xml:space="preserve">b </w:t>
      </w:r>
      <w:r w:rsidR="00920FDA" w:rsidRPr="00920FDA">
        <w:t xml:space="preserve">= 1. </w:t>
      </w:r>
      <w:bookmarkStart w:id="0" w:name="_GoBack"/>
      <w:bookmarkEnd w:id="0"/>
    </w:p>
    <w:p w14:paraId="1A9578A3" w14:textId="49B05051" w:rsidR="00263EBA" w:rsidRDefault="00263EBA" w:rsidP="000B2DF7">
      <w:pPr>
        <w:spacing w:line="360" w:lineRule="auto"/>
      </w:pPr>
      <w:r>
        <w:br w:type="page"/>
      </w:r>
    </w:p>
    <w:p w14:paraId="0D46B6D2" w14:textId="36F3CDE3" w:rsidR="00263EBA" w:rsidRPr="00263EBA" w:rsidRDefault="00C8096B" w:rsidP="000B2DF7">
      <w:pPr>
        <w:spacing w:line="360" w:lineRule="auto"/>
        <w:jc w:val="center"/>
        <w:rPr>
          <w:rFonts w:ascii="Helvetica Neue" w:hAnsi="Helvetica Neue"/>
          <w:b/>
          <w:bCs/>
          <w:color w:val="333333"/>
          <w:sz w:val="21"/>
          <w:szCs w:val="21"/>
          <w:shd w:val="clear" w:color="auto" w:fill="FFFFFF"/>
        </w:rPr>
      </w:pPr>
      <w:r w:rsidRPr="00263EBA">
        <w:rPr>
          <w:rFonts w:ascii="Helvetica Neue" w:hAnsi="Helvetica Neue"/>
          <w:b/>
          <w:bCs/>
          <w:color w:val="333333"/>
          <w:sz w:val="21"/>
          <w:szCs w:val="21"/>
          <w:shd w:val="clear" w:color="auto" w:fill="FFFFFF"/>
        </w:rPr>
        <w:lastRenderedPageBreak/>
        <w:t>References</w:t>
      </w:r>
    </w:p>
    <w:p w14:paraId="2CE491F5" w14:textId="77777777" w:rsidR="000B2DF7" w:rsidRDefault="000B2DF7" w:rsidP="000B2DF7">
      <w:pPr>
        <w:spacing w:line="360" w:lineRule="auto"/>
        <w:rPr>
          <w:rFonts w:ascii="Helvetica Neue" w:hAnsi="Helvetica Neue"/>
          <w:color w:val="333333"/>
          <w:sz w:val="21"/>
          <w:szCs w:val="21"/>
          <w:shd w:val="clear" w:color="auto" w:fill="FFFFFF"/>
        </w:rPr>
      </w:pPr>
    </w:p>
    <w:p w14:paraId="72A5FF71" w14:textId="7A4C868B" w:rsidR="00263EBA" w:rsidRDefault="000B2DF7" w:rsidP="000B2DF7">
      <w:pPr>
        <w:spacing w:line="360" w:lineRule="auto"/>
        <w:rPr>
          <w:rFonts w:ascii="Helvetica Neue" w:hAnsi="Helvetica Neue"/>
          <w:color w:val="333333"/>
          <w:sz w:val="21"/>
          <w:szCs w:val="21"/>
          <w:shd w:val="clear" w:color="auto" w:fill="FFFFFF"/>
        </w:rPr>
      </w:pPr>
      <w:r w:rsidRPr="000B2DF7">
        <w:rPr>
          <w:rFonts w:ascii="Helvetica Neue" w:hAnsi="Helvetica Neue"/>
          <w:color w:val="333333"/>
          <w:sz w:val="21"/>
          <w:szCs w:val="21"/>
          <w:shd w:val="clear" w:color="auto" w:fill="FFFFFF"/>
        </w:rPr>
        <w:t xml:space="preserve">Haberman, J., Brady, T. F., &amp; Alvarez, G. A. (2015). Individual differences in ensemble perception reveal multiple, independent levels of ensemble representation. Journal of Experimental Psychology: General, 144(2), 432–446. </w:t>
      </w:r>
      <w:hyperlink r:id="rId11" w:history="1">
        <w:r w:rsidRPr="00923EBB">
          <w:rPr>
            <w:rStyle w:val="Hyperlink"/>
            <w:rFonts w:ascii="Helvetica Neue" w:hAnsi="Helvetica Neue"/>
            <w:sz w:val="21"/>
            <w:szCs w:val="21"/>
            <w:shd w:val="clear" w:color="auto" w:fill="FFFFFF"/>
          </w:rPr>
          <w:t>http://doi.org/10.1037/xge0000053</w:t>
        </w:r>
      </w:hyperlink>
    </w:p>
    <w:p w14:paraId="025F782F" w14:textId="77777777" w:rsidR="000B2DF7" w:rsidRDefault="000B2DF7" w:rsidP="000B2DF7">
      <w:pPr>
        <w:spacing w:line="360" w:lineRule="auto"/>
        <w:rPr>
          <w:rFonts w:ascii="Helvetica Neue" w:hAnsi="Helvetica Neue"/>
          <w:color w:val="333333"/>
          <w:sz w:val="21"/>
          <w:szCs w:val="21"/>
          <w:shd w:val="clear" w:color="auto" w:fill="FFFFFF"/>
        </w:rPr>
      </w:pPr>
    </w:p>
    <w:p w14:paraId="3EA288EC" w14:textId="6CE04438" w:rsidR="00263EBA" w:rsidRDefault="00263EBA" w:rsidP="000B2DF7">
      <w:pPr>
        <w:spacing w:line="360" w:lineRule="auto"/>
      </w:pPr>
      <w:r>
        <w:rPr>
          <w:rFonts w:ascii="Helvetica Neue" w:hAnsi="Helvetica Neue"/>
          <w:color w:val="333333"/>
          <w:sz w:val="21"/>
          <w:szCs w:val="21"/>
          <w:shd w:val="clear" w:color="auto" w:fill="FFFFFF"/>
        </w:rPr>
        <w:t xml:space="preserve">Kurdi, B., Lozano, S., &amp; </w:t>
      </w:r>
      <w:proofErr w:type="spellStart"/>
      <w:r>
        <w:rPr>
          <w:rFonts w:ascii="Helvetica Neue" w:hAnsi="Helvetica Neue"/>
          <w:color w:val="333333"/>
          <w:sz w:val="21"/>
          <w:szCs w:val="21"/>
          <w:shd w:val="clear" w:color="auto" w:fill="FFFFFF"/>
        </w:rPr>
        <w:t>Banaji</w:t>
      </w:r>
      <w:proofErr w:type="spellEnd"/>
      <w:r>
        <w:rPr>
          <w:rFonts w:ascii="Helvetica Neue" w:hAnsi="Helvetica Neue"/>
          <w:color w:val="333333"/>
          <w:sz w:val="21"/>
          <w:szCs w:val="21"/>
          <w:shd w:val="clear" w:color="auto" w:fill="FFFFFF"/>
        </w:rPr>
        <w:t>, M. R. (2017). Introducing the Open Affective Standardized Image Set (OASIS). Behavior Research Methods, 49(2), 457–470</w:t>
      </w:r>
    </w:p>
    <w:p w14:paraId="40001A4D" w14:textId="77777777" w:rsidR="00263EBA" w:rsidRPr="001408E5" w:rsidRDefault="00263EBA" w:rsidP="000B2DF7">
      <w:pPr>
        <w:spacing w:line="360" w:lineRule="auto"/>
      </w:pPr>
    </w:p>
    <w:sectPr w:rsidR="00263EBA" w:rsidRPr="001408E5" w:rsidSect="00B46C01">
      <w:head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2D833" w14:textId="77777777" w:rsidR="007210B4" w:rsidRDefault="007210B4" w:rsidP="00F265BD">
      <w:r>
        <w:separator/>
      </w:r>
    </w:p>
  </w:endnote>
  <w:endnote w:type="continuationSeparator" w:id="0">
    <w:p w14:paraId="0B44269E" w14:textId="77777777" w:rsidR="007210B4" w:rsidRDefault="007210B4" w:rsidP="00F265BD">
      <w:r>
        <w:continuationSeparator/>
      </w:r>
    </w:p>
  </w:endnote>
  <w:endnote w:type="continuationNotice" w:id="1">
    <w:p w14:paraId="60D1C1FF" w14:textId="77777777" w:rsidR="007210B4" w:rsidRDefault="00721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Light">
    <w:panose1 w:val="020B0403020202020204"/>
    <w:charset w:val="00"/>
    <w:family w:val="swiss"/>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6066D" w14:textId="77777777" w:rsidR="007210B4" w:rsidRDefault="007210B4" w:rsidP="00F265BD">
      <w:r>
        <w:separator/>
      </w:r>
    </w:p>
  </w:footnote>
  <w:footnote w:type="continuationSeparator" w:id="0">
    <w:p w14:paraId="725D839E" w14:textId="77777777" w:rsidR="007210B4" w:rsidRDefault="007210B4" w:rsidP="00F265BD">
      <w:r>
        <w:continuationSeparator/>
      </w:r>
    </w:p>
  </w:footnote>
  <w:footnote w:type="continuationNotice" w:id="1">
    <w:p w14:paraId="79CF0A8E" w14:textId="77777777" w:rsidR="007210B4" w:rsidRDefault="00721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DD40" w14:textId="57FAE9D3" w:rsidR="007C7032" w:rsidRPr="00F265BD" w:rsidRDefault="007C7032">
    <w:pPr>
      <w:pStyle w:val="Header"/>
      <w:rPr>
        <w:rFonts w:ascii="Helvetica Light" w:hAnsi="Helvetica Light"/>
      </w:rPr>
    </w:pPr>
    <w:r>
      <w:rPr>
        <w:rFonts w:ascii="Helvetica Light" w:hAnsi="Helvetica Light"/>
      </w:rPr>
      <w:tab/>
    </w:r>
    <w:r w:rsidRPr="005877A4">
      <w:rPr>
        <w:rFonts w:ascii="Helvetica Light" w:hAnsi="Helvetica Ligh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0DEC"/>
    <w:multiLevelType w:val="hybridMultilevel"/>
    <w:tmpl w:val="8B420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952EF"/>
    <w:multiLevelType w:val="hybridMultilevel"/>
    <w:tmpl w:val="B4A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26101"/>
    <w:multiLevelType w:val="hybridMultilevel"/>
    <w:tmpl w:val="6052A6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F13A0"/>
    <w:multiLevelType w:val="hybridMultilevel"/>
    <w:tmpl w:val="1F2C5A0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331C01"/>
    <w:multiLevelType w:val="hybridMultilevel"/>
    <w:tmpl w:val="B254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D2701"/>
    <w:multiLevelType w:val="multilevel"/>
    <w:tmpl w:val="1F2C5A0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3E495A"/>
    <w:multiLevelType w:val="hybridMultilevel"/>
    <w:tmpl w:val="AC6E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06D8C"/>
    <w:multiLevelType w:val="hybridMultilevel"/>
    <w:tmpl w:val="946A1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A878A6"/>
    <w:multiLevelType w:val="hybridMultilevel"/>
    <w:tmpl w:val="F9EC574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5C1C26"/>
    <w:multiLevelType w:val="hybridMultilevel"/>
    <w:tmpl w:val="0A0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D1A84"/>
    <w:multiLevelType w:val="multilevel"/>
    <w:tmpl w:val="B254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E87887"/>
    <w:multiLevelType w:val="hybridMultilevel"/>
    <w:tmpl w:val="66FE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F26E37"/>
    <w:multiLevelType w:val="hybridMultilevel"/>
    <w:tmpl w:val="2526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E30A31"/>
    <w:multiLevelType w:val="hybridMultilevel"/>
    <w:tmpl w:val="6AB4D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3A7719"/>
    <w:multiLevelType w:val="hybridMultilevel"/>
    <w:tmpl w:val="724EA74A"/>
    <w:lvl w:ilvl="0" w:tplc="0409000F">
      <w:start w:val="1"/>
      <w:numFmt w:val="decimal"/>
      <w:lvlText w:val="%1."/>
      <w:lvlJc w:val="lef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176956D2"/>
    <w:multiLevelType w:val="hybridMultilevel"/>
    <w:tmpl w:val="DF1853F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6F6EDA"/>
    <w:multiLevelType w:val="multilevel"/>
    <w:tmpl w:val="0AC8DDC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A474B1D"/>
    <w:multiLevelType w:val="hybridMultilevel"/>
    <w:tmpl w:val="DB62D55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3A7647"/>
    <w:multiLevelType w:val="hybridMultilevel"/>
    <w:tmpl w:val="F8DA57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E0E38"/>
    <w:multiLevelType w:val="hybridMultilevel"/>
    <w:tmpl w:val="3A88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0" w15:restartNumberingAfterBreak="0">
    <w:nsid w:val="27621337"/>
    <w:multiLevelType w:val="hybridMultilevel"/>
    <w:tmpl w:val="AA644722"/>
    <w:lvl w:ilvl="0" w:tplc="0409001B">
      <w:start w:val="1"/>
      <w:numFmt w:val="lowerRoman"/>
      <w:lvlText w:val="%1."/>
      <w:lvlJc w:val="righ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15:restartNumberingAfterBreak="0">
    <w:nsid w:val="2D85760C"/>
    <w:multiLevelType w:val="hybridMultilevel"/>
    <w:tmpl w:val="CD66373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EF3AB8"/>
    <w:multiLevelType w:val="hybridMultilevel"/>
    <w:tmpl w:val="D788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990D3C"/>
    <w:multiLevelType w:val="hybridMultilevel"/>
    <w:tmpl w:val="B254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73019A"/>
    <w:multiLevelType w:val="hybridMultilevel"/>
    <w:tmpl w:val="4C5493FC"/>
    <w:lvl w:ilvl="0" w:tplc="699C0684">
      <w:start w:val="2"/>
      <w:numFmt w:val="bullet"/>
      <w:lvlText w:val="-"/>
      <w:lvlJc w:val="left"/>
      <w:pPr>
        <w:ind w:left="1068" w:hanging="360"/>
      </w:pPr>
      <w:rPr>
        <w:rFonts w:ascii="Times New Roman" w:eastAsia="Times New Roman" w:hAnsi="Times New Roman" w:cs="Times New Roman" w:hint="default"/>
      </w:rPr>
    </w:lvl>
    <w:lvl w:ilvl="1" w:tplc="08090003" w:tentative="1">
      <w:start w:val="1"/>
      <w:numFmt w:val="bullet"/>
      <w:lvlText w:val="o"/>
      <w:lvlJc w:val="left"/>
      <w:pPr>
        <w:ind w:left="2136" w:hanging="360"/>
      </w:pPr>
      <w:rPr>
        <w:rFonts w:ascii="Courier New" w:hAnsi="Courier New" w:cs="Courier New" w:hint="default"/>
      </w:rPr>
    </w:lvl>
    <w:lvl w:ilvl="2" w:tplc="08090005" w:tentative="1">
      <w:start w:val="1"/>
      <w:numFmt w:val="bullet"/>
      <w:lvlText w:val=""/>
      <w:lvlJc w:val="left"/>
      <w:pPr>
        <w:ind w:left="2856" w:hanging="360"/>
      </w:pPr>
      <w:rPr>
        <w:rFonts w:ascii="Wingdings" w:hAnsi="Wingdings" w:hint="default"/>
      </w:rPr>
    </w:lvl>
    <w:lvl w:ilvl="3" w:tplc="08090001" w:tentative="1">
      <w:start w:val="1"/>
      <w:numFmt w:val="bullet"/>
      <w:lvlText w:val=""/>
      <w:lvlJc w:val="left"/>
      <w:pPr>
        <w:ind w:left="3576" w:hanging="360"/>
      </w:pPr>
      <w:rPr>
        <w:rFonts w:ascii="Symbol" w:hAnsi="Symbol" w:hint="default"/>
      </w:rPr>
    </w:lvl>
    <w:lvl w:ilvl="4" w:tplc="08090003" w:tentative="1">
      <w:start w:val="1"/>
      <w:numFmt w:val="bullet"/>
      <w:lvlText w:val="o"/>
      <w:lvlJc w:val="left"/>
      <w:pPr>
        <w:ind w:left="4296" w:hanging="360"/>
      </w:pPr>
      <w:rPr>
        <w:rFonts w:ascii="Courier New" w:hAnsi="Courier New" w:cs="Courier New" w:hint="default"/>
      </w:rPr>
    </w:lvl>
    <w:lvl w:ilvl="5" w:tplc="08090005" w:tentative="1">
      <w:start w:val="1"/>
      <w:numFmt w:val="bullet"/>
      <w:lvlText w:val=""/>
      <w:lvlJc w:val="left"/>
      <w:pPr>
        <w:ind w:left="5016" w:hanging="360"/>
      </w:pPr>
      <w:rPr>
        <w:rFonts w:ascii="Wingdings" w:hAnsi="Wingdings" w:hint="default"/>
      </w:rPr>
    </w:lvl>
    <w:lvl w:ilvl="6" w:tplc="08090001" w:tentative="1">
      <w:start w:val="1"/>
      <w:numFmt w:val="bullet"/>
      <w:lvlText w:val=""/>
      <w:lvlJc w:val="left"/>
      <w:pPr>
        <w:ind w:left="5736" w:hanging="360"/>
      </w:pPr>
      <w:rPr>
        <w:rFonts w:ascii="Symbol" w:hAnsi="Symbol" w:hint="default"/>
      </w:rPr>
    </w:lvl>
    <w:lvl w:ilvl="7" w:tplc="08090003" w:tentative="1">
      <w:start w:val="1"/>
      <w:numFmt w:val="bullet"/>
      <w:lvlText w:val="o"/>
      <w:lvlJc w:val="left"/>
      <w:pPr>
        <w:ind w:left="6456" w:hanging="360"/>
      </w:pPr>
      <w:rPr>
        <w:rFonts w:ascii="Courier New" w:hAnsi="Courier New" w:cs="Courier New" w:hint="default"/>
      </w:rPr>
    </w:lvl>
    <w:lvl w:ilvl="8" w:tplc="08090005" w:tentative="1">
      <w:start w:val="1"/>
      <w:numFmt w:val="bullet"/>
      <w:lvlText w:val=""/>
      <w:lvlJc w:val="left"/>
      <w:pPr>
        <w:ind w:left="7176" w:hanging="360"/>
      </w:pPr>
      <w:rPr>
        <w:rFonts w:ascii="Wingdings" w:hAnsi="Wingdings" w:hint="default"/>
      </w:rPr>
    </w:lvl>
  </w:abstractNum>
  <w:abstractNum w:abstractNumId="25" w15:restartNumberingAfterBreak="0">
    <w:nsid w:val="3C5A0845"/>
    <w:multiLevelType w:val="hybridMultilevel"/>
    <w:tmpl w:val="D8749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A7FD3"/>
    <w:multiLevelType w:val="hybridMultilevel"/>
    <w:tmpl w:val="B1106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E84CDD"/>
    <w:multiLevelType w:val="hybridMultilevel"/>
    <w:tmpl w:val="02003BB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540B5"/>
    <w:multiLevelType w:val="multilevel"/>
    <w:tmpl w:val="B4A83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84D001B"/>
    <w:multiLevelType w:val="hybridMultilevel"/>
    <w:tmpl w:val="E4BEF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422F03"/>
    <w:multiLevelType w:val="hybridMultilevel"/>
    <w:tmpl w:val="7382D0C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4B48480F"/>
    <w:multiLevelType w:val="hybridMultilevel"/>
    <w:tmpl w:val="5A9EBB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E6ECE"/>
    <w:multiLevelType w:val="hybridMultilevel"/>
    <w:tmpl w:val="C0C4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7226F9"/>
    <w:multiLevelType w:val="hybridMultilevel"/>
    <w:tmpl w:val="B9940C20"/>
    <w:lvl w:ilvl="0" w:tplc="21A8867C">
      <w:numFmt w:val="bullet"/>
      <w:lvlText w:val="-"/>
      <w:lvlJc w:val="left"/>
      <w:pPr>
        <w:ind w:left="360" w:hanging="360"/>
      </w:pPr>
      <w:rPr>
        <w:rFonts w:ascii="Helvetica Light" w:eastAsiaTheme="minorEastAsia" w:hAnsi="Helvetica Light"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2502F"/>
    <w:multiLevelType w:val="multilevel"/>
    <w:tmpl w:val="5A9EBBF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2F80E04"/>
    <w:multiLevelType w:val="multilevel"/>
    <w:tmpl w:val="B254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9E669D8"/>
    <w:multiLevelType w:val="hybridMultilevel"/>
    <w:tmpl w:val="BA38845C"/>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7" w15:restartNumberingAfterBreak="0">
    <w:nsid w:val="69F537DF"/>
    <w:multiLevelType w:val="hybridMultilevel"/>
    <w:tmpl w:val="53D20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9F68CB"/>
    <w:multiLevelType w:val="hybridMultilevel"/>
    <w:tmpl w:val="CCA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66DD2"/>
    <w:multiLevelType w:val="hybridMultilevel"/>
    <w:tmpl w:val="D7F2E5B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2C621A"/>
    <w:multiLevelType w:val="hybridMultilevel"/>
    <w:tmpl w:val="7AB0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A75215"/>
    <w:multiLevelType w:val="hybridMultilevel"/>
    <w:tmpl w:val="29A64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9D4D6B"/>
    <w:multiLevelType w:val="multilevel"/>
    <w:tmpl w:val="CD66373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38"/>
  </w:num>
  <w:num w:numId="5">
    <w:abstractNumId w:val="37"/>
  </w:num>
  <w:num w:numId="6">
    <w:abstractNumId w:val="17"/>
  </w:num>
  <w:num w:numId="7">
    <w:abstractNumId w:val="12"/>
  </w:num>
  <w:num w:numId="8">
    <w:abstractNumId w:val="30"/>
  </w:num>
  <w:num w:numId="9">
    <w:abstractNumId w:val="15"/>
  </w:num>
  <w:num w:numId="10">
    <w:abstractNumId w:val="14"/>
  </w:num>
  <w:num w:numId="11">
    <w:abstractNumId w:val="20"/>
  </w:num>
  <w:num w:numId="12">
    <w:abstractNumId w:val="19"/>
  </w:num>
  <w:num w:numId="13">
    <w:abstractNumId w:val="24"/>
  </w:num>
  <w:num w:numId="14">
    <w:abstractNumId w:val="25"/>
  </w:num>
  <w:num w:numId="15">
    <w:abstractNumId w:val="4"/>
  </w:num>
  <w:num w:numId="16">
    <w:abstractNumId w:val="26"/>
  </w:num>
  <w:num w:numId="17">
    <w:abstractNumId w:val="31"/>
  </w:num>
  <w:num w:numId="18">
    <w:abstractNumId w:val="29"/>
  </w:num>
  <w:num w:numId="19">
    <w:abstractNumId w:val="21"/>
  </w:num>
  <w:num w:numId="20">
    <w:abstractNumId w:val="1"/>
  </w:num>
  <w:num w:numId="21">
    <w:abstractNumId w:val="23"/>
  </w:num>
  <w:num w:numId="22">
    <w:abstractNumId w:val="41"/>
  </w:num>
  <w:num w:numId="23">
    <w:abstractNumId w:val="8"/>
  </w:num>
  <w:num w:numId="24">
    <w:abstractNumId w:val="3"/>
  </w:num>
  <w:num w:numId="25">
    <w:abstractNumId w:val="5"/>
  </w:num>
  <w:num w:numId="26">
    <w:abstractNumId w:val="16"/>
  </w:num>
  <w:num w:numId="27">
    <w:abstractNumId w:val="42"/>
  </w:num>
  <w:num w:numId="28">
    <w:abstractNumId w:val="28"/>
  </w:num>
  <w:num w:numId="29">
    <w:abstractNumId w:val="10"/>
  </w:num>
  <w:num w:numId="30">
    <w:abstractNumId w:val="35"/>
  </w:num>
  <w:num w:numId="31">
    <w:abstractNumId w:val="34"/>
  </w:num>
  <w:num w:numId="32">
    <w:abstractNumId w:val="0"/>
  </w:num>
  <w:num w:numId="33">
    <w:abstractNumId w:val="36"/>
  </w:num>
  <w:num w:numId="34">
    <w:abstractNumId w:val="32"/>
  </w:num>
  <w:num w:numId="35">
    <w:abstractNumId w:val="39"/>
  </w:num>
  <w:num w:numId="36">
    <w:abstractNumId w:val="6"/>
  </w:num>
  <w:num w:numId="37">
    <w:abstractNumId w:val="11"/>
  </w:num>
  <w:num w:numId="38">
    <w:abstractNumId w:val="18"/>
  </w:num>
  <w:num w:numId="39">
    <w:abstractNumId w:val="27"/>
  </w:num>
  <w:num w:numId="40">
    <w:abstractNumId w:val="40"/>
  </w:num>
  <w:num w:numId="41">
    <w:abstractNumId w:val="7"/>
  </w:num>
  <w:num w:numId="42">
    <w:abstractNumId w:val="2"/>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50"/>
    <w:rsid w:val="000018D8"/>
    <w:rsid w:val="00024200"/>
    <w:rsid w:val="000331BE"/>
    <w:rsid w:val="00045BF2"/>
    <w:rsid w:val="00070079"/>
    <w:rsid w:val="000755D0"/>
    <w:rsid w:val="00077869"/>
    <w:rsid w:val="000841B3"/>
    <w:rsid w:val="000922B8"/>
    <w:rsid w:val="00096558"/>
    <w:rsid w:val="000976D1"/>
    <w:rsid w:val="000B2DF7"/>
    <w:rsid w:val="000C560E"/>
    <w:rsid w:val="000F79DB"/>
    <w:rsid w:val="00106C50"/>
    <w:rsid w:val="00124B1F"/>
    <w:rsid w:val="00125AEE"/>
    <w:rsid w:val="0013204F"/>
    <w:rsid w:val="001408E5"/>
    <w:rsid w:val="00160D4E"/>
    <w:rsid w:val="00166763"/>
    <w:rsid w:val="00182BDC"/>
    <w:rsid w:val="00186B57"/>
    <w:rsid w:val="001A674A"/>
    <w:rsid w:val="001B1622"/>
    <w:rsid w:val="001D4038"/>
    <w:rsid w:val="001D68EF"/>
    <w:rsid w:val="001E1B7B"/>
    <w:rsid w:val="001F475A"/>
    <w:rsid w:val="00257048"/>
    <w:rsid w:val="00263EBA"/>
    <w:rsid w:val="00274621"/>
    <w:rsid w:val="00276466"/>
    <w:rsid w:val="00287812"/>
    <w:rsid w:val="00287E6B"/>
    <w:rsid w:val="0029249C"/>
    <w:rsid w:val="002D4A9C"/>
    <w:rsid w:val="002E451C"/>
    <w:rsid w:val="002E4DB8"/>
    <w:rsid w:val="002F2182"/>
    <w:rsid w:val="002F32ED"/>
    <w:rsid w:val="002F582F"/>
    <w:rsid w:val="00302074"/>
    <w:rsid w:val="00311A55"/>
    <w:rsid w:val="00320DE6"/>
    <w:rsid w:val="00321860"/>
    <w:rsid w:val="003236F1"/>
    <w:rsid w:val="00370FE7"/>
    <w:rsid w:val="003737A2"/>
    <w:rsid w:val="003B20F5"/>
    <w:rsid w:val="003C5FE6"/>
    <w:rsid w:val="003C6D99"/>
    <w:rsid w:val="003D0B1A"/>
    <w:rsid w:val="003E30E2"/>
    <w:rsid w:val="00427FF0"/>
    <w:rsid w:val="00430116"/>
    <w:rsid w:val="004311F3"/>
    <w:rsid w:val="004512DD"/>
    <w:rsid w:val="00454FA9"/>
    <w:rsid w:val="00486D66"/>
    <w:rsid w:val="004900A9"/>
    <w:rsid w:val="00496A8C"/>
    <w:rsid w:val="004A1C71"/>
    <w:rsid w:val="004A3059"/>
    <w:rsid w:val="004B0A88"/>
    <w:rsid w:val="004D6098"/>
    <w:rsid w:val="004F1D5B"/>
    <w:rsid w:val="005029EF"/>
    <w:rsid w:val="005061A6"/>
    <w:rsid w:val="0051317B"/>
    <w:rsid w:val="005234DE"/>
    <w:rsid w:val="0052556E"/>
    <w:rsid w:val="005278EA"/>
    <w:rsid w:val="0053326D"/>
    <w:rsid w:val="0053459F"/>
    <w:rsid w:val="0057029B"/>
    <w:rsid w:val="005708CE"/>
    <w:rsid w:val="005A41C9"/>
    <w:rsid w:val="005C0CAA"/>
    <w:rsid w:val="005D4EB6"/>
    <w:rsid w:val="005D62E7"/>
    <w:rsid w:val="005E45CF"/>
    <w:rsid w:val="005E60C6"/>
    <w:rsid w:val="00602D27"/>
    <w:rsid w:val="006050F9"/>
    <w:rsid w:val="00624E43"/>
    <w:rsid w:val="0063219B"/>
    <w:rsid w:val="00640559"/>
    <w:rsid w:val="0066114F"/>
    <w:rsid w:val="00670228"/>
    <w:rsid w:val="006868CD"/>
    <w:rsid w:val="006A2D25"/>
    <w:rsid w:val="006A5947"/>
    <w:rsid w:val="006B7921"/>
    <w:rsid w:val="006C3EF1"/>
    <w:rsid w:val="006C75FC"/>
    <w:rsid w:val="006D27DD"/>
    <w:rsid w:val="006F52AD"/>
    <w:rsid w:val="00700CDC"/>
    <w:rsid w:val="00711650"/>
    <w:rsid w:val="00711F72"/>
    <w:rsid w:val="00713610"/>
    <w:rsid w:val="0071391A"/>
    <w:rsid w:val="007210B4"/>
    <w:rsid w:val="007260B4"/>
    <w:rsid w:val="007311F7"/>
    <w:rsid w:val="00740D28"/>
    <w:rsid w:val="0074243C"/>
    <w:rsid w:val="0075509D"/>
    <w:rsid w:val="0077130F"/>
    <w:rsid w:val="00780E3C"/>
    <w:rsid w:val="00790365"/>
    <w:rsid w:val="007949F0"/>
    <w:rsid w:val="007B3589"/>
    <w:rsid w:val="007B7D54"/>
    <w:rsid w:val="007C25BB"/>
    <w:rsid w:val="007C7032"/>
    <w:rsid w:val="007C7A28"/>
    <w:rsid w:val="007D12FA"/>
    <w:rsid w:val="007E5699"/>
    <w:rsid w:val="008266EC"/>
    <w:rsid w:val="008355E7"/>
    <w:rsid w:val="00843B57"/>
    <w:rsid w:val="00853AF0"/>
    <w:rsid w:val="00857627"/>
    <w:rsid w:val="008665BD"/>
    <w:rsid w:val="00870441"/>
    <w:rsid w:val="00876622"/>
    <w:rsid w:val="00881FB4"/>
    <w:rsid w:val="008947B3"/>
    <w:rsid w:val="00895D62"/>
    <w:rsid w:val="008D1FD7"/>
    <w:rsid w:val="008D6703"/>
    <w:rsid w:val="008E0EAF"/>
    <w:rsid w:val="00911C68"/>
    <w:rsid w:val="0091592A"/>
    <w:rsid w:val="00920FDA"/>
    <w:rsid w:val="00922095"/>
    <w:rsid w:val="009244C3"/>
    <w:rsid w:val="00931B2E"/>
    <w:rsid w:val="00972259"/>
    <w:rsid w:val="00993C86"/>
    <w:rsid w:val="009957D7"/>
    <w:rsid w:val="009966C6"/>
    <w:rsid w:val="009C5932"/>
    <w:rsid w:val="009D4DB6"/>
    <w:rsid w:val="009D559E"/>
    <w:rsid w:val="009D5E40"/>
    <w:rsid w:val="009F64EA"/>
    <w:rsid w:val="00A35B6B"/>
    <w:rsid w:val="00A3653B"/>
    <w:rsid w:val="00A507F7"/>
    <w:rsid w:val="00A56116"/>
    <w:rsid w:val="00A80ED4"/>
    <w:rsid w:val="00AC14D6"/>
    <w:rsid w:val="00AC1D28"/>
    <w:rsid w:val="00AC6CA8"/>
    <w:rsid w:val="00AC7BDC"/>
    <w:rsid w:val="00AD35AA"/>
    <w:rsid w:val="00AD6A2E"/>
    <w:rsid w:val="00AF6CA6"/>
    <w:rsid w:val="00B04C8B"/>
    <w:rsid w:val="00B111B3"/>
    <w:rsid w:val="00B25313"/>
    <w:rsid w:val="00B46C01"/>
    <w:rsid w:val="00B508A0"/>
    <w:rsid w:val="00B67244"/>
    <w:rsid w:val="00B8584F"/>
    <w:rsid w:val="00BA0E9C"/>
    <w:rsid w:val="00BA16CA"/>
    <w:rsid w:val="00BA52AA"/>
    <w:rsid w:val="00BC019E"/>
    <w:rsid w:val="00BD469C"/>
    <w:rsid w:val="00C0068B"/>
    <w:rsid w:val="00C01397"/>
    <w:rsid w:val="00C01AA7"/>
    <w:rsid w:val="00C05A28"/>
    <w:rsid w:val="00C36C57"/>
    <w:rsid w:val="00C41FFD"/>
    <w:rsid w:val="00C5300D"/>
    <w:rsid w:val="00C61878"/>
    <w:rsid w:val="00C8096B"/>
    <w:rsid w:val="00C8412C"/>
    <w:rsid w:val="00C92371"/>
    <w:rsid w:val="00C92955"/>
    <w:rsid w:val="00C97C5E"/>
    <w:rsid w:val="00CB4DFE"/>
    <w:rsid w:val="00CC5650"/>
    <w:rsid w:val="00CC5A2F"/>
    <w:rsid w:val="00CD3983"/>
    <w:rsid w:val="00CE1E91"/>
    <w:rsid w:val="00CF07C7"/>
    <w:rsid w:val="00CF6FE6"/>
    <w:rsid w:val="00D012F0"/>
    <w:rsid w:val="00D03121"/>
    <w:rsid w:val="00D06234"/>
    <w:rsid w:val="00D312E5"/>
    <w:rsid w:val="00D41F7E"/>
    <w:rsid w:val="00D42C89"/>
    <w:rsid w:val="00D5761D"/>
    <w:rsid w:val="00D75507"/>
    <w:rsid w:val="00D75C4D"/>
    <w:rsid w:val="00D83984"/>
    <w:rsid w:val="00D95359"/>
    <w:rsid w:val="00DA1448"/>
    <w:rsid w:val="00DA6C97"/>
    <w:rsid w:val="00DB1320"/>
    <w:rsid w:val="00DB1E2F"/>
    <w:rsid w:val="00DB5AB4"/>
    <w:rsid w:val="00DC3C2F"/>
    <w:rsid w:val="00DC6BFF"/>
    <w:rsid w:val="00DD0D36"/>
    <w:rsid w:val="00DE5451"/>
    <w:rsid w:val="00E07ED3"/>
    <w:rsid w:val="00E11B34"/>
    <w:rsid w:val="00E13F0F"/>
    <w:rsid w:val="00E40614"/>
    <w:rsid w:val="00E76050"/>
    <w:rsid w:val="00E76DF0"/>
    <w:rsid w:val="00E76FA5"/>
    <w:rsid w:val="00E8370C"/>
    <w:rsid w:val="00E97E8A"/>
    <w:rsid w:val="00EA677E"/>
    <w:rsid w:val="00ED61B9"/>
    <w:rsid w:val="00ED61E6"/>
    <w:rsid w:val="00F0749C"/>
    <w:rsid w:val="00F11013"/>
    <w:rsid w:val="00F15F61"/>
    <w:rsid w:val="00F16AB0"/>
    <w:rsid w:val="00F265BD"/>
    <w:rsid w:val="00F334D9"/>
    <w:rsid w:val="00F36176"/>
    <w:rsid w:val="00F36492"/>
    <w:rsid w:val="00F53617"/>
    <w:rsid w:val="00F61090"/>
    <w:rsid w:val="00F61E4F"/>
    <w:rsid w:val="00F67E39"/>
    <w:rsid w:val="00F71CD7"/>
    <w:rsid w:val="00F7211A"/>
    <w:rsid w:val="00F72690"/>
    <w:rsid w:val="00F858A3"/>
    <w:rsid w:val="00F87E55"/>
    <w:rsid w:val="00F90BC4"/>
    <w:rsid w:val="00FA2208"/>
    <w:rsid w:val="00FA7542"/>
    <w:rsid w:val="00FB2DC6"/>
    <w:rsid w:val="00FB7A8E"/>
    <w:rsid w:val="00FD2992"/>
    <w:rsid w:val="00FF2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AA068"/>
  <w15:docId w15:val="{1DA83E6D-CD44-B841-886D-7B1AEFF8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F7"/>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E760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931B2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
    <w:basedOn w:val="Normal"/>
    <w:next w:val="Normal"/>
    <w:uiPriority w:val="1"/>
    <w:qFormat/>
    <w:rsid w:val="00ED61E6"/>
    <w:rPr>
      <w:rFonts w:eastAsiaTheme="minorHAnsi"/>
      <w:szCs w:val="22"/>
    </w:rPr>
  </w:style>
  <w:style w:type="character" w:customStyle="1" w:styleId="Heading1Char">
    <w:name w:val="Heading 1 Char"/>
    <w:basedOn w:val="DefaultParagraphFont"/>
    <w:link w:val="Heading1"/>
    <w:uiPriority w:val="9"/>
    <w:rsid w:val="00E76050"/>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E76050"/>
    <w:rPr>
      <w:i/>
      <w:iCs/>
    </w:rPr>
  </w:style>
  <w:style w:type="character" w:styleId="SubtleEmphasis">
    <w:name w:val="Subtle Emphasis"/>
    <w:basedOn w:val="DefaultParagraphFont"/>
    <w:uiPriority w:val="19"/>
    <w:qFormat/>
    <w:rsid w:val="00E76050"/>
    <w:rPr>
      <w:i/>
      <w:iCs/>
      <w:color w:val="808080" w:themeColor="text1" w:themeTint="7F"/>
    </w:rPr>
  </w:style>
  <w:style w:type="paragraph" w:styleId="Subtitle">
    <w:name w:val="Subtitle"/>
    <w:basedOn w:val="Normal"/>
    <w:next w:val="Normal"/>
    <w:link w:val="SubtitleChar"/>
    <w:uiPriority w:val="11"/>
    <w:qFormat/>
    <w:rsid w:val="00E7605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6050"/>
    <w:rPr>
      <w:rFonts w:asciiTheme="majorHAnsi" w:eastAsiaTheme="majorEastAsia" w:hAnsiTheme="majorHAnsi" w:cstheme="majorBidi"/>
      <w:i/>
      <w:iCs/>
      <w:color w:val="4F81BD" w:themeColor="accent1"/>
      <w:spacing w:val="15"/>
    </w:rPr>
  </w:style>
  <w:style w:type="paragraph" w:customStyle="1" w:styleId="Body">
    <w:name w:val="Body"/>
    <w:basedOn w:val="Normal"/>
    <w:rsid w:val="003D0B1A"/>
    <w:pPr>
      <w:ind w:firstLine="720"/>
    </w:pPr>
    <w:rPr>
      <w:szCs w:val="20"/>
    </w:rPr>
  </w:style>
  <w:style w:type="paragraph" w:styleId="Header">
    <w:name w:val="header"/>
    <w:basedOn w:val="Normal"/>
    <w:link w:val="HeaderChar"/>
    <w:uiPriority w:val="99"/>
    <w:unhideWhenUsed/>
    <w:rsid w:val="00F265BD"/>
    <w:pPr>
      <w:tabs>
        <w:tab w:val="center" w:pos="4536"/>
        <w:tab w:val="right" w:pos="9072"/>
      </w:tabs>
    </w:pPr>
  </w:style>
  <w:style w:type="character" w:customStyle="1" w:styleId="HeaderChar">
    <w:name w:val="Header Char"/>
    <w:basedOn w:val="DefaultParagraphFont"/>
    <w:link w:val="Header"/>
    <w:uiPriority w:val="99"/>
    <w:rsid w:val="00F265BD"/>
    <w:rPr>
      <w:rFonts w:ascii="Times" w:hAnsi="Times"/>
    </w:rPr>
  </w:style>
  <w:style w:type="paragraph" w:styleId="Footer">
    <w:name w:val="footer"/>
    <w:basedOn w:val="Normal"/>
    <w:link w:val="FooterChar"/>
    <w:uiPriority w:val="99"/>
    <w:unhideWhenUsed/>
    <w:rsid w:val="00F265BD"/>
    <w:pPr>
      <w:tabs>
        <w:tab w:val="center" w:pos="4536"/>
        <w:tab w:val="right" w:pos="9072"/>
      </w:tabs>
    </w:pPr>
  </w:style>
  <w:style w:type="character" w:customStyle="1" w:styleId="FooterChar">
    <w:name w:val="Footer Char"/>
    <w:basedOn w:val="DefaultParagraphFont"/>
    <w:link w:val="Footer"/>
    <w:uiPriority w:val="99"/>
    <w:rsid w:val="00F265BD"/>
    <w:rPr>
      <w:rFonts w:ascii="Times" w:hAnsi="Times"/>
    </w:rPr>
  </w:style>
  <w:style w:type="paragraph" w:styleId="ListParagraph">
    <w:name w:val="List Paragraph"/>
    <w:basedOn w:val="Normal"/>
    <w:uiPriority w:val="34"/>
    <w:qFormat/>
    <w:rsid w:val="006B7921"/>
    <w:pPr>
      <w:ind w:left="720"/>
      <w:contextualSpacing/>
    </w:pPr>
  </w:style>
  <w:style w:type="character" w:styleId="Hyperlink">
    <w:name w:val="Hyperlink"/>
    <w:basedOn w:val="DefaultParagraphFont"/>
    <w:uiPriority w:val="99"/>
    <w:unhideWhenUsed/>
    <w:rsid w:val="006B7921"/>
    <w:rPr>
      <w:color w:val="0000FF" w:themeColor="hyperlink"/>
      <w:u w:val="single"/>
    </w:rPr>
  </w:style>
  <w:style w:type="paragraph" w:styleId="BalloonText">
    <w:name w:val="Balloon Text"/>
    <w:basedOn w:val="Normal"/>
    <w:link w:val="BalloonTextChar"/>
    <w:uiPriority w:val="99"/>
    <w:semiHidden/>
    <w:unhideWhenUsed/>
    <w:rsid w:val="00D03121"/>
    <w:rPr>
      <w:rFonts w:ascii="Tahoma" w:hAnsi="Tahoma" w:cs="Tahoma"/>
      <w:sz w:val="16"/>
      <w:szCs w:val="16"/>
    </w:rPr>
  </w:style>
  <w:style w:type="character" w:customStyle="1" w:styleId="BalloonTextChar">
    <w:name w:val="Balloon Text Char"/>
    <w:basedOn w:val="DefaultParagraphFont"/>
    <w:link w:val="BalloonText"/>
    <w:uiPriority w:val="99"/>
    <w:semiHidden/>
    <w:rsid w:val="00D03121"/>
    <w:rPr>
      <w:rFonts w:ascii="Tahoma" w:hAnsi="Tahoma" w:cs="Tahoma"/>
      <w:sz w:val="16"/>
      <w:szCs w:val="16"/>
    </w:rPr>
  </w:style>
  <w:style w:type="character" w:styleId="CommentReference">
    <w:name w:val="annotation reference"/>
    <w:basedOn w:val="DefaultParagraphFont"/>
    <w:uiPriority w:val="99"/>
    <w:semiHidden/>
    <w:unhideWhenUsed/>
    <w:rsid w:val="00D03121"/>
    <w:rPr>
      <w:sz w:val="16"/>
      <w:szCs w:val="16"/>
    </w:rPr>
  </w:style>
  <w:style w:type="paragraph" w:styleId="CommentText">
    <w:name w:val="annotation text"/>
    <w:basedOn w:val="Normal"/>
    <w:link w:val="CommentTextChar"/>
    <w:uiPriority w:val="99"/>
    <w:unhideWhenUsed/>
    <w:rsid w:val="00D03121"/>
    <w:rPr>
      <w:sz w:val="20"/>
      <w:szCs w:val="20"/>
    </w:rPr>
  </w:style>
  <w:style w:type="character" w:customStyle="1" w:styleId="CommentTextChar">
    <w:name w:val="Comment Text Char"/>
    <w:basedOn w:val="DefaultParagraphFont"/>
    <w:link w:val="CommentText"/>
    <w:uiPriority w:val="99"/>
    <w:rsid w:val="00D03121"/>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D03121"/>
    <w:rPr>
      <w:b/>
      <w:bCs/>
    </w:rPr>
  </w:style>
  <w:style w:type="character" w:customStyle="1" w:styleId="CommentSubjectChar">
    <w:name w:val="Comment Subject Char"/>
    <w:basedOn w:val="CommentTextChar"/>
    <w:link w:val="CommentSubject"/>
    <w:uiPriority w:val="99"/>
    <w:semiHidden/>
    <w:rsid w:val="00D03121"/>
    <w:rPr>
      <w:rFonts w:ascii="Times" w:hAnsi="Times"/>
      <w:b/>
      <w:bCs/>
      <w:sz w:val="20"/>
      <w:szCs w:val="20"/>
    </w:rPr>
  </w:style>
  <w:style w:type="paragraph" w:styleId="FootnoteText">
    <w:name w:val="footnote text"/>
    <w:basedOn w:val="Normal"/>
    <w:link w:val="FootnoteTextChar"/>
    <w:uiPriority w:val="99"/>
    <w:unhideWhenUsed/>
    <w:rsid w:val="00A35B6B"/>
  </w:style>
  <w:style w:type="character" w:customStyle="1" w:styleId="FootnoteTextChar">
    <w:name w:val="Footnote Text Char"/>
    <w:basedOn w:val="DefaultParagraphFont"/>
    <w:link w:val="FootnoteText"/>
    <w:uiPriority w:val="99"/>
    <w:rsid w:val="00A35B6B"/>
    <w:rPr>
      <w:rFonts w:ascii="Times" w:hAnsi="Times"/>
    </w:rPr>
  </w:style>
  <w:style w:type="character" w:styleId="FootnoteReference">
    <w:name w:val="footnote reference"/>
    <w:basedOn w:val="DefaultParagraphFont"/>
    <w:uiPriority w:val="99"/>
    <w:unhideWhenUsed/>
    <w:rsid w:val="00A35B6B"/>
    <w:rPr>
      <w:vertAlign w:val="superscript"/>
    </w:rPr>
  </w:style>
  <w:style w:type="character" w:styleId="FollowedHyperlink">
    <w:name w:val="FollowedHyperlink"/>
    <w:basedOn w:val="DefaultParagraphFont"/>
    <w:uiPriority w:val="99"/>
    <w:semiHidden/>
    <w:unhideWhenUsed/>
    <w:rsid w:val="009C5932"/>
    <w:rPr>
      <w:color w:val="800080" w:themeColor="followedHyperlink"/>
      <w:u w:val="single"/>
    </w:rPr>
  </w:style>
  <w:style w:type="character" w:styleId="UnresolvedMention">
    <w:name w:val="Unresolved Mention"/>
    <w:basedOn w:val="DefaultParagraphFont"/>
    <w:uiPriority w:val="99"/>
    <w:semiHidden/>
    <w:unhideWhenUsed/>
    <w:rsid w:val="00857627"/>
    <w:rPr>
      <w:color w:val="605E5C"/>
      <w:shd w:val="clear" w:color="auto" w:fill="E1DFDD"/>
    </w:rPr>
  </w:style>
  <w:style w:type="paragraph" w:styleId="Revision">
    <w:name w:val="Revision"/>
    <w:hidden/>
    <w:uiPriority w:val="99"/>
    <w:semiHidden/>
    <w:rsid w:val="00F67E39"/>
    <w:rPr>
      <w:rFonts w:ascii="Times" w:hAnsi="Times"/>
    </w:rPr>
  </w:style>
  <w:style w:type="table" w:styleId="TableGrid">
    <w:name w:val="Table Grid"/>
    <w:basedOn w:val="TableNormal"/>
    <w:uiPriority w:val="59"/>
    <w:rsid w:val="00D75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31B2E"/>
    <w:rPr>
      <w:rFonts w:asciiTheme="majorHAnsi" w:eastAsiaTheme="majorEastAsia" w:hAnsiTheme="majorHAnsi" w:cstheme="majorBidi"/>
      <w:color w:val="365F91" w:themeColor="accent1" w:themeShade="BF"/>
      <w:sz w:val="26"/>
      <w:szCs w:val="26"/>
      <w:lang w:eastAsia="en-US"/>
    </w:rPr>
  </w:style>
  <w:style w:type="character" w:styleId="PlaceholderText">
    <w:name w:val="Placeholder Text"/>
    <w:basedOn w:val="DefaultParagraphFont"/>
    <w:uiPriority w:val="99"/>
    <w:semiHidden/>
    <w:rsid w:val="00CF6F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4082">
      <w:bodyDiv w:val="1"/>
      <w:marLeft w:val="0"/>
      <w:marRight w:val="0"/>
      <w:marTop w:val="0"/>
      <w:marBottom w:val="0"/>
      <w:divBdr>
        <w:top w:val="none" w:sz="0" w:space="0" w:color="auto"/>
        <w:left w:val="none" w:sz="0" w:space="0" w:color="auto"/>
        <w:bottom w:val="none" w:sz="0" w:space="0" w:color="auto"/>
        <w:right w:val="none" w:sz="0" w:space="0" w:color="auto"/>
      </w:divBdr>
    </w:div>
    <w:div w:id="204802124">
      <w:bodyDiv w:val="1"/>
      <w:marLeft w:val="0"/>
      <w:marRight w:val="0"/>
      <w:marTop w:val="0"/>
      <w:marBottom w:val="0"/>
      <w:divBdr>
        <w:top w:val="none" w:sz="0" w:space="0" w:color="auto"/>
        <w:left w:val="none" w:sz="0" w:space="0" w:color="auto"/>
        <w:bottom w:val="none" w:sz="0" w:space="0" w:color="auto"/>
        <w:right w:val="none" w:sz="0" w:space="0" w:color="auto"/>
      </w:divBdr>
    </w:div>
    <w:div w:id="406266928">
      <w:bodyDiv w:val="1"/>
      <w:marLeft w:val="0"/>
      <w:marRight w:val="0"/>
      <w:marTop w:val="0"/>
      <w:marBottom w:val="0"/>
      <w:divBdr>
        <w:top w:val="none" w:sz="0" w:space="0" w:color="auto"/>
        <w:left w:val="none" w:sz="0" w:space="0" w:color="auto"/>
        <w:bottom w:val="none" w:sz="0" w:space="0" w:color="auto"/>
        <w:right w:val="none" w:sz="0" w:space="0" w:color="auto"/>
      </w:divBdr>
    </w:div>
    <w:div w:id="409158143">
      <w:bodyDiv w:val="1"/>
      <w:marLeft w:val="0"/>
      <w:marRight w:val="0"/>
      <w:marTop w:val="0"/>
      <w:marBottom w:val="0"/>
      <w:divBdr>
        <w:top w:val="none" w:sz="0" w:space="0" w:color="auto"/>
        <w:left w:val="none" w:sz="0" w:space="0" w:color="auto"/>
        <w:bottom w:val="none" w:sz="0" w:space="0" w:color="auto"/>
        <w:right w:val="none" w:sz="0" w:space="0" w:color="auto"/>
      </w:divBdr>
    </w:div>
    <w:div w:id="432559555">
      <w:bodyDiv w:val="1"/>
      <w:marLeft w:val="0"/>
      <w:marRight w:val="0"/>
      <w:marTop w:val="0"/>
      <w:marBottom w:val="0"/>
      <w:divBdr>
        <w:top w:val="none" w:sz="0" w:space="0" w:color="auto"/>
        <w:left w:val="none" w:sz="0" w:space="0" w:color="auto"/>
        <w:bottom w:val="none" w:sz="0" w:space="0" w:color="auto"/>
        <w:right w:val="none" w:sz="0" w:space="0" w:color="auto"/>
      </w:divBdr>
    </w:div>
    <w:div w:id="521866964">
      <w:bodyDiv w:val="1"/>
      <w:marLeft w:val="0"/>
      <w:marRight w:val="0"/>
      <w:marTop w:val="0"/>
      <w:marBottom w:val="0"/>
      <w:divBdr>
        <w:top w:val="none" w:sz="0" w:space="0" w:color="auto"/>
        <w:left w:val="none" w:sz="0" w:space="0" w:color="auto"/>
        <w:bottom w:val="none" w:sz="0" w:space="0" w:color="auto"/>
        <w:right w:val="none" w:sz="0" w:space="0" w:color="auto"/>
      </w:divBdr>
    </w:div>
    <w:div w:id="539631321">
      <w:bodyDiv w:val="1"/>
      <w:marLeft w:val="0"/>
      <w:marRight w:val="0"/>
      <w:marTop w:val="0"/>
      <w:marBottom w:val="0"/>
      <w:divBdr>
        <w:top w:val="none" w:sz="0" w:space="0" w:color="auto"/>
        <w:left w:val="none" w:sz="0" w:space="0" w:color="auto"/>
        <w:bottom w:val="none" w:sz="0" w:space="0" w:color="auto"/>
        <w:right w:val="none" w:sz="0" w:space="0" w:color="auto"/>
      </w:divBdr>
    </w:div>
    <w:div w:id="694503196">
      <w:bodyDiv w:val="1"/>
      <w:marLeft w:val="0"/>
      <w:marRight w:val="0"/>
      <w:marTop w:val="0"/>
      <w:marBottom w:val="0"/>
      <w:divBdr>
        <w:top w:val="none" w:sz="0" w:space="0" w:color="auto"/>
        <w:left w:val="none" w:sz="0" w:space="0" w:color="auto"/>
        <w:bottom w:val="none" w:sz="0" w:space="0" w:color="auto"/>
        <w:right w:val="none" w:sz="0" w:space="0" w:color="auto"/>
      </w:divBdr>
    </w:div>
    <w:div w:id="935867279">
      <w:bodyDiv w:val="1"/>
      <w:marLeft w:val="0"/>
      <w:marRight w:val="0"/>
      <w:marTop w:val="0"/>
      <w:marBottom w:val="0"/>
      <w:divBdr>
        <w:top w:val="none" w:sz="0" w:space="0" w:color="auto"/>
        <w:left w:val="none" w:sz="0" w:space="0" w:color="auto"/>
        <w:bottom w:val="none" w:sz="0" w:space="0" w:color="auto"/>
        <w:right w:val="none" w:sz="0" w:space="0" w:color="auto"/>
      </w:divBdr>
    </w:div>
    <w:div w:id="952324840">
      <w:bodyDiv w:val="1"/>
      <w:marLeft w:val="0"/>
      <w:marRight w:val="0"/>
      <w:marTop w:val="0"/>
      <w:marBottom w:val="0"/>
      <w:divBdr>
        <w:top w:val="none" w:sz="0" w:space="0" w:color="auto"/>
        <w:left w:val="none" w:sz="0" w:space="0" w:color="auto"/>
        <w:bottom w:val="none" w:sz="0" w:space="0" w:color="auto"/>
        <w:right w:val="none" w:sz="0" w:space="0" w:color="auto"/>
      </w:divBdr>
    </w:div>
    <w:div w:id="1165247253">
      <w:bodyDiv w:val="1"/>
      <w:marLeft w:val="0"/>
      <w:marRight w:val="0"/>
      <w:marTop w:val="0"/>
      <w:marBottom w:val="0"/>
      <w:divBdr>
        <w:top w:val="none" w:sz="0" w:space="0" w:color="auto"/>
        <w:left w:val="none" w:sz="0" w:space="0" w:color="auto"/>
        <w:bottom w:val="none" w:sz="0" w:space="0" w:color="auto"/>
        <w:right w:val="none" w:sz="0" w:space="0" w:color="auto"/>
      </w:divBdr>
    </w:div>
    <w:div w:id="1228880730">
      <w:bodyDiv w:val="1"/>
      <w:marLeft w:val="0"/>
      <w:marRight w:val="0"/>
      <w:marTop w:val="0"/>
      <w:marBottom w:val="0"/>
      <w:divBdr>
        <w:top w:val="none" w:sz="0" w:space="0" w:color="auto"/>
        <w:left w:val="none" w:sz="0" w:space="0" w:color="auto"/>
        <w:bottom w:val="none" w:sz="0" w:space="0" w:color="auto"/>
        <w:right w:val="none" w:sz="0" w:space="0" w:color="auto"/>
      </w:divBdr>
    </w:div>
    <w:div w:id="1248922157">
      <w:bodyDiv w:val="1"/>
      <w:marLeft w:val="0"/>
      <w:marRight w:val="0"/>
      <w:marTop w:val="0"/>
      <w:marBottom w:val="0"/>
      <w:divBdr>
        <w:top w:val="none" w:sz="0" w:space="0" w:color="auto"/>
        <w:left w:val="none" w:sz="0" w:space="0" w:color="auto"/>
        <w:bottom w:val="none" w:sz="0" w:space="0" w:color="auto"/>
        <w:right w:val="none" w:sz="0" w:space="0" w:color="auto"/>
      </w:divBdr>
    </w:div>
    <w:div w:id="1293436203">
      <w:bodyDiv w:val="1"/>
      <w:marLeft w:val="0"/>
      <w:marRight w:val="0"/>
      <w:marTop w:val="0"/>
      <w:marBottom w:val="0"/>
      <w:divBdr>
        <w:top w:val="none" w:sz="0" w:space="0" w:color="auto"/>
        <w:left w:val="none" w:sz="0" w:space="0" w:color="auto"/>
        <w:bottom w:val="none" w:sz="0" w:space="0" w:color="auto"/>
        <w:right w:val="none" w:sz="0" w:space="0" w:color="auto"/>
      </w:divBdr>
    </w:div>
    <w:div w:id="1505441146">
      <w:bodyDiv w:val="1"/>
      <w:marLeft w:val="0"/>
      <w:marRight w:val="0"/>
      <w:marTop w:val="0"/>
      <w:marBottom w:val="0"/>
      <w:divBdr>
        <w:top w:val="none" w:sz="0" w:space="0" w:color="auto"/>
        <w:left w:val="none" w:sz="0" w:space="0" w:color="auto"/>
        <w:bottom w:val="none" w:sz="0" w:space="0" w:color="auto"/>
        <w:right w:val="none" w:sz="0" w:space="0" w:color="auto"/>
      </w:divBdr>
    </w:div>
    <w:div w:id="1550340800">
      <w:bodyDiv w:val="1"/>
      <w:marLeft w:val="0"/>
      <w:marRight w:val="0"/>
      <w:marTop w:val="0"/>
      <w:marBottom w:val="0"/>
      <w:divBdr>
        <w:top w:val="none" w:sz="0" w:space="0" w:color="auto"/>
        <w:left w:val="none" w:sz="0" w:space="0" w:color="auto"/>
        <w:bottom w:val="none" w:sz="0" w:space="0" w:color="auto"/>
        <w:right w:val="none" w:sz="0" w:space="0" w:color="auto"/>
      </w:divBdr>
    </w:div>
    <w:div w:id="1575890743">
      <w:bodyDiv w:val="1"/>
      <w:marLeft w:val="0"/>
      <w:marRight w:val="0"/>
      <w:marTop w:val="0"/>
      <w:marBottom w:val="0"/>
      <w:divBdr>
        <w:top w:val="none" w:sz="0" w:space="0" w:color="auto"/>
        <w:left w:val="none" w:sz="0" w:space="0" w:color="auto"/>
        <w:bottom w:val="none" w:sz="0" w:space="0" w:color="auto"/>
        <w:right w:val="none" w:sz="0" w:space="0" w:color="auto"/>
      </w:divBdr>
    </w:div>
    <w:div w:id="1641836386">
      <w:bodyDiv w:val="1"/>
      <w:marLeft w:val="0"/>
      <w:marRight w:val="0"/>
      <w:marTop w:val="0"/>
      <w:marBottom w:val="0"/>
      <w:divBdr>
        <w:top w:val="none" w:sz="0" w:space="0" w:color="auto"/>
        <w:left w:val="none" w:sz="0" w:space="0" w:color="auto"/>
        <w:bottom w:val="none" w:sz="0" w:space="0" w:color="auto"/>
        <w:right w:val="none" w:sz="0" w:space="0" w:color="auto"/>
      </w:divBdr>
    </w:div>
    <w:div w:id="1646012905">
      <w:bodyDiv w:val="1"/>
      <w:marLeft w:val="0"/>
      <w:marRight w:val="0"/>
      <w:marTop w:val="0"/>
      <w:marBottom w:val="0"/>
      <w:divBdr>
        <w:top w:val="none" w:sz="0" w:space="0" w:color="auto"/>
        <w:left w:val="none" w:sz="0" w:space="0" w:color="auto"/>
        <w:bottom w:val="none" w:sz="0" w:space="0" w:color="auto"/>
        <w:right w:val="none" w:sz="0" w:space="0" w:color="auto"/>
      </w:divBdr>
    </w:div>
    <w:div w:id="1719551037">
      <w:bodyDiv w:val="1"/>
      <w:marLeft w:val="0"/>
      <w:marRight w:val="0"/>
      <w:marTop w:val="0"/>
      <w:marBottom w:val="0"/>
      <w:divBdr>
        <w:top w:val="none" w:sz="0" w:space="0" w:color="auto"/>
        <w:left w:val="none" w:sz="0" w:space="0" w:color="auto"/>
        <w:bottom w:val="none" w:sz="0" w:space="0" w:color="auto"/>
        <w:right w:val="none" w:sz="0" w:space="0" w:color="auto"/>
      </w:divBdr>
    </w:div>
    <w:div w:id="1757944488">
      <w:bodyDiv w:val="1"/>
      <w:marLeft w:val="0"/>
      <w:marRight w:val="0"/>
      <w:marTop w:val="0"/>
      <w:marBottom w:val="0"/>
      <w:divBdr>
        <w:top w:val="none" w:sz="0" w:space="0" w:color="auto"/>
        <w:left w:val="none" w:sz="0" w:space="0" w:color="auto"/>
        <w:bottom w:val="none" w:sz="0" w:space="0" w:color="auto"/>
        <w:right w:val="none" w:sz="0" w:space="0" w:color="auto"/>
      </w:divBdr>
    </w:div>
    <w:div w:id="1778134879">
      <w:bodyDiv w:val="1"/>
      <w:marLeft w:val="0"/>
      <w:marRight w:val="0"/>
      <w:marTop w:val="0"/>
      <w:marBottom w:val="0"/>
      <w:divBdr>
        <w:top w:val="none" w:sz="0" w:space="0" w:color="auto"/>
        <w:left w:val="none" w:sz="0" w:space="0" w:color="auto"/>
        <w:bottom w:val="none" w:sz="0" w:space="0" w:color="auto"/>
        <w:right w:val="none" w:sz="0" w:space="0" w:color="auto"/>
      </w:divBdr>
    </w:div>
    <w:div w:id="1875189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pnd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enneb/OASIS-beaut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1037/xge0000053" TargetMode="External"/><Relationship Id="rId5" Type="http://schemas.openxmlformats.org/officeDocument/2006/relationships/footnotes" Target="footnotes.xml"/><Relationship Id="rId10" Type="http://schemas.openxmlformats.org/officeDocument/2006/relationships/hyperlink" Target="https://www.mathworks.com/matlabcentral/fileexchange/7829-cronbach-s-alpha" TargetMode="External"/><Relationship Id="rId4" Type="http://schemas.openxmlformats.org/officeDocument/2006/relationships/webSettings" Target="webSettings.xml"/><Relationship Id="rId9" Type="http://schemas.openxmlformats.org/officeDocument/2006/relationships/hyperlink" Target="https://www.mathworks.com/matlabcentral/fileexchange/22099-intraclass-correlation-coefficient-icc"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Van 't Veer</dc:creator>
  <cp:lastModifiedBy>Microsoft Office User</cp:lastModifiedBy>
  <cp:revision>24</cp:revision>
  <dcterms:created xsi:type="dcterms:W3CDTF">2019-06-17T16:57:00Z</dcterms:created>
  <dcterms:modified xsi:type="dcterms:W3CDTF">2019-06-17T20:09:00Z</dcterms:modified>
</cp:coreProperties>
</file>