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4月16日处务例会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时间：</w:t>
            </w:r>
            <w:r>
              <w:rPr>
                <w:rFonts w:ascii="仿宋" w:hAnsi="仿宋" w:eastAsia="仿宋"/>
                <w:b w:val="0"/>
                <w:sz w:val="31"/>
              </w:rPr>
              <w:t>4月16日14:00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地点：</w:t>
            </w:r>
            <w:r>
              <w:rPr>
                <w:rFonts w:ascii="仿宋" w:hAnsi="仿宋" w:eastAsia="仿宋"/>
                <w:b w:val="0"/>
                <w:sz w:val="31"/>
              </w:rPr>
              <w:t>313室</w:t>
            </w:r>
          </w:p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主持人：</w:t>
            </w:r>
            <w:r>
              <w:rPr>
                <w:rFonts w:ascii="仿宋" w:hAnsi="仿宋" w:eastAsia="仿宋"/>
                <w:b w:val="0"/>
                <w:sz w:val="31"/>
              </w:rPr>
              <w:t>赵主任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/>
            </w:pPr>
            <w:r>
              <w:rPr>
                <w:rFonts w:ascii="仿宋" w:hAnsi="仿宋" w:eastAsia="仿宋"/>
                <w:b/>
                <w:sz w:val="31"/>
              </w:rPr>
              <w:t>议程：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尚网办项目（黄雪莲，需细分）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智算平台落地和开放公测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数智哲社项目及当前推进场景情况及任务安排（陈超，需细分）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三大数据库升级改造（赵虎）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综合楼弱点工程（韩測，需细分）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数智化调研（偶芲，需细分）</w:t>
            </w:r>
          </w:p>
          <w:p>
            <w:pPr>
              <w:spacing w:lineRule="auto" w:line="24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保密巡视整改（韩測，需细分）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