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43.0"/>
              <w:szCs w:val="43.0"/>
              <w:b/>
              <w:rFonts w:ascii="黑体" w:hAnsi="黑体" w:cs="黑体"/>
            </w:rPr>
            <w:t xml:space="preserve">4月16日处务例会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时间：</w:t>
            </w:r>
            <w:r>
              <w:rPr>
                <w:rFonts w:ascii="仿宋" w:hAnsi="仿宋" w:eastAsia="仿宋"/>
                <w:b w:val="0"/>
                <w:sz w:val="31"/>
              </w:rPr>
              <w:t>4月16日14:00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地点：</w:t>
            </w:r>
            <w:r>
              <w:rPr>
                <w:rFonts w:ascii="仿宋" w:hAnsi="仿宋" w:eastAsia="仿宋"/>
                <w:b w:val="0"/>
                <w:sz w:val="31"/>
              </w:rPr>
              <w:t>313室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主持人：</w:t>
            </w:r>
            <w:r>
              <w:rPr>
                <w:rFonts w:ascii="仿宋" w:hAnsi="仿宋" w:eastAsia="仿宋"/>
                <w:b w:val="0"/>
                <w:sz w:val="31"/>
              </w:rPr>
              <w:t>赵主任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议程：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尚网办项目（黄雪莲，需细分）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智算平台落地和开放公测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数智哲社项目及当前推进场景情况及任务安排（陈超，需细分）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三大数据库升级改造（赵虹）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综合楼弱点工程（韩沁，需细分）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数智化调研（奚艳，需细分）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保密巡视整改（韩沁，需细分）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