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32.0"/>
              <w:szCs w:val="32.0"/>
              <w:b/>
              <w:rFonts w:ascii="黑体" w:hAnsi="黑体" w:cs="黑体"/>
            </w:rPr>
            <w:t xml:space="preserve">处务例会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时　间：</w:t>
            </w:r>
            <w:r>
              <w:rPr>
                <w:rFonts w:ascii="宋体" w:hAnsi="宋体" w:eastAsia="宋体"/>
                <w:b w:val="0"/>
                <w:sz w:val="24"/>
              </w:rPr>
              <w:t>2025年4月16日 14:00</w:t>
            </w:r>
          </w:p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地　点：</w:t>
            </w:r>
            <w:r>
              <w:rPr>
                <w:rFonts w:ascii="宋体" w:hAnsi="宋体" w:eastAsia="宋体"/>
                <w:b w:val="0"/>
                <w:sz w:val="24"/>
              </w:rPr>
              <w:t>313室</w:t>
            </w:r>
          </w:p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主　持：</w:t>
            </w:r>
            <w:r>
              <w:rPr>
                <w:rFonts w:ascii="宋体" w:hAnsi="宋体" w:eastAsia="宋体"/>
                <w:b w:val="0"/>
                <w:sz w:val="24"/>
              </w:rPr>
              <w:t>赵主任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议程：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一、尚网办项目汇报（黄雪莲）</w:t>
            </w:r>
          </w:p>
          <w:p>
            <w:pPr>
              <w:spacing w:lineRule="auto" w:line="360"/>
              <w:ind w:left="480"/>
            </w:pPr>
            <w:r>
              <w:rPr>
                <w:rFonts w:ascii="宋体" w:hAnsi="宋体" w:eastAsia="宋体"/>
                <w:b w:val="0"/>
                <w:sz w:val="24"/>
              </w:rPr>
              <w:t>项目细分二级任务节点和时间表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二、智算平台落地和开放公测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三、数智哲社项目及当前推进场景情况及任务安排（陈超）</w:t>
            </w:r>
          </w:p>
          <w:p>
            <w:pPr>
              <w:spacing w:lineRule="auto" w:line="360"/>
              <w:ind w:left="480"/>
            </w:pPr>
            <w:r>
              <w:rPr>
                <w:rFonts w:ascii="宋体" w:hAnsi="宋体" w:eastAsia="宋体"/>
                <w:b w:val="0"/>
                <w:sz w:val="24"/>
              </w:rPr>
              <w:t>项目细分二级任务节点和时间表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四、三大数据库升级改造（赵虹）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五、综合楼弱点工程（韩沁）</w:t>
            </w:r>
          </w:p>
          <w:p>
            <w:pPr>
              <w:spacing w:lineRule="auto" w:line="360"/>
              <w:ind w:left="480"/>
            </w:pPr>
            <w:r>
              <w:rPr>
                <w:rFonts w:ascii="宋体" w:hAnsi="宋体" w:eastAsia="宋体"/>
                <w:b w:val="0"/>
                <w:sz w:val="24"/>
              </w:rPr>
              <w:t>工程细分二级任务节点和时间表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六、数智化调研（奚艳）</w:t>
            </w:r>
          </w:p>
          <w:p>
            <w:pPr>
              <w:spacing w:lineRule="auto" w:line="360"/>
              <w:ind w:left="480"/>
            </w:pPr>
            <w:r>
              <w:rPr>
                <w:rFonts w:ascii="宋体" w:hAnsi="宋体" w:eastAsia="宋体"/>
                <w:b w:val="0"/>
                <w:sz w:val="24"/>
              </w:rPr>
              <w:t>调研细分二级任务节点和时间表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七、保密巡视整改（韩沁）</w:t>
            </w:r>
          </w:p>
          <w:p>
            <w:pPr>
              <w:spacing w:lineRule="auto" w:line="360"/>
              <w:ind w:left="480"/>
            </w:pPr>
            <w:r>
              <w:rPr>
                <w:rFonts w:ascii="宋体" w:hAnsi="宋体" w:eastAsia="宋体"/>
                <w:b w:val="0"/>
                <w:sz w:val="24"/>
              </w:rPr>
              <w:t>整改细分二级任务节点和时间表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