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Add or change anything you want..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Do you give your consent to complete the following survey? The results will be anonymous. If no please exit the survey.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Do you currently own a car?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What is your current mode of transportation?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Walking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Bus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Car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Bike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While travelling do you listen to music?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Yes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No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What kind of license do you have?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L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Class 5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Other (international..)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What features does your car currently have (check all that apply)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[insert list of features here]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Voice control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Steering wheel function buttons (radio channel, volume control, etc.)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Navigation system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On board entertainment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Electronic seat adjustment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Seat warmer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A/C System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How often do you use a navigation system? (If your car has one)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Everytime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Often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Occasionally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Rarely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How satisfied are you with your current vehicle’s interface?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Very satisfied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Satisfied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Unsatisfied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Very unsatisfied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How often do your dashboard instruments (spedometer, fuel tank level, rpm, etc…) distract your eyes from the road?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Very often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Often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Sometimes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Never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How comfortable are you with the steering wheel features?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Very Comfortable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Comfortable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Uncomfortable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Very uncomfortable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How distracting is changing the temperature/radio while driving?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Very distracting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Distracting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Not very distracting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 don’t drive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What is your ideal price range for your next car?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Under $10,000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$10,000 to $30,000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$30,000 to $50,000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Above $50,000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What actions can you do without moving your eyes off the road? (Select all that apply.)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Changing the temperature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Changing the volume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Changing radio channel/song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Starting the navigation system (looking up destinations)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