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40"/>
      </w:pPr>
      <w:r>
        <w:rPr>
          <w:rFonts w:ascii="Calibri" w:hAnsi="Calibri"/>
          <w:b/>
          <w:i w:val="0"/>
          <w:color w:val="70000E"/>
          <w:sz w:val="32"/>
        </w:rPr>
        <w:t>KayaTo</w:t>
      </w:r>
    </w:p>
    <w:p>
      <w:pPr>
        <w:keepNext w:val="0"/>
        <w:spacing w:before="0" w:after="80"/>
      </w:pPr>
      <w:r>
        <w:rPr>
          <w:rFonts w:ascii="Calibri" w:hAnsi="Calibri"/>
          <w:b/>
          <w:i w:val="0"/>
          <w:color w:val="70000E"/>
          <w:sz w:val="24"/>
        </w:rPr>
        <w:t>FULL-STACK</w:t>
      </w:r>
    </w:p>
    <w:p>
      <w:pPr>
        <w:keepNext w:val="0"/>
        <w:spacing w:before="0" w:after="200"/>
        <w:pBdr>
          <w:bottom w:val="single" w:sz="18" w:space="8" w:color="70000E"/>
        </w:pBdr>
      </w:pPr>
      <w:r>
        <w:rPr>
          <w:rFonts w:ascii="Calibri" w:hAnsi="Calibri"/>
          <w:b/>
          <w:i w:val="0"/>
          <w:color w:val="2C2929"/>
          <w:sz w:val="60"/>
        </w:rPr>
        <w:t>Implementation Specification</w:t>
      </w:r>
    </w:p>
    <w:p>
      <w:pPr>
        <w:keepNext w:val="0"/>
        <w:spacing w:before="0" w:after="720"/>
      </w:pPr>
      <w:r>
        <w:rPr>
          <w:rFonts w:ascii="Calibri" w:hAnsi="Calibri"/>
          <w:b w:val="0"/>
          <w:i w:val="0"/>
          <w:color w:val="666163"/>
          <w:sz w:val="28"/>
        </w:rPr>
        <w:t>Production blueprint for the web, API, realtime collaboration, AI planner, bills, notifications, and mobile clients.</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2300"/>
        <w:gridCol w:w="7060"/>
      </w:tblGrid>
      <w:tr>
        <w:trPr>
          <w:cantSplit/>
          <w:tblHeader w:val="true"/>
        </w:trPr>
        <w:tc>
          <w:tcPr>
            <w:tcW w:type="dxa" w:w="2300"/>
            <w:tcMar>
              <w:top w:w="80" w:type="dxa"/>
              <w:start w:w="120" w:type="dxa"/>
              <w:bottom w:w="80" w:type="dxa"/>
              <w:end w:w="120" w:type="dxa"/>
            </w:tcMar>
            <w:shd w:fill="F5F4F2"/>
            <w:vAlign w:val="center"/>
          </w:tcPr>
          <w:p>
            <w:pPr>
              <w:spacing w:after="0"/>
            </w:pPr>
            <w:r>
              <w:rPr>
                <w:rFonts w:ascii="Calibri" w:hAnsi="Calibri"/>
                <w:b/>
                <w:color w:val="70000E"/>
                <w:sz w:val="20"/>
              </w:rPr>
              <w:t>Field</w:t>
            </w:r>
          </w:p>
        </w:tc>
        <w:tc>
          <w:tcPr>
            <w:tcW w:type="dxa" w:w="7060"/>
            <w:tcMar>
              <w:top w:w="80" w:type="dxa"/>
              <w:start w:w="120" w:type="dxa"/>
              <w:bottom w:w="80" w:type="dxa"/>
              <w:end w:w="120" w:type="dxa"/>
            </w:tcMar>
            <w:shd w:fill="F5F4F2"/>
            <w:vAlign w:val="center"/>
          </w:tcPr>
          <w:p>
            <w:pPr>
              <w:spacing w:after="0"/>
            </w:pPr>
            <w:r>
              <w:rPr>
                <w:rFonts w:ascii="Calibri" w:hAnsi="Calibri"/>
                <w:b/>
                <w:color w:val="70000E"/>
                <w:sz w:val="20"/>
              </w:rPr>
              <w:t>Value</w:t>
            </w:r>
          </w:p>
        </w:tc>
      </w:tr>
      <w:tr>
        <w:trPr>
          <w:cantSplit/>
        </w:trPr>
        <w:tc>
          <w:tcPr>
            <w:tcW w:type="dxa" w:w="2300"/>
            <w:vAlign w:val="center"/>
          </w:tcPr>
          <w:p>
            <w:pPr>
              <w:spacing w:after="0" w:line="259" w:lineRule="auto"/>
            </w:pPr>
            <w:r>
              <w:rPr>
                <w:rFonts w:ascii="Calibri" w:hAnsi="Calibri"/>
                <w:color w:val="2C2929"/>
                <w:sz w:val="20"/>
              </w:rPr>
              <w:t>Document</w:t>
            </w:r>
          </w:p>
        </w:tc>
        <w:tc>
          <w:tcPr>
            <w:tcW w:type="dxa" w:w="7060"/>
            <w:vAlign w:val="center"/>
          </w:tcPr>
          <w:p>
            <w:pPr>
              <w:spacing w:after="0" w:line="259" w:lineRule="auto"/>
            </w:pPr>
            <w:r>
              <w:rPr>
                <w:rFonts w:ascii="Calibri" w:hAnsi="Calibri"/>
                <w:color w:val="2C2929"/>
                <w:sz w:val="20"/>
              </w:rPr>
              <w:t>Technical implementation specification</w:t>
            </w:r>
          </w:p>
        </w:tc>
      </w:tr>
      <w:tr>
        <w:trPr>
          <w:cantSplit/>
        </w:trPr>
        <w:tc>
          <w:tcPr>
            <w:tcW w:type="dxa" w:w="2300"/>
            <w:vAlign w:val="center"/>
          </w:tcPr>
          <w:p>
            <w:pPr>
              <w:spacing w:after="0" w:line="259" w:lineRule="auto"/>
            </w:pPr>
            <w:r>
              <w:rPr>
                <w:rFonts w:ascii="Calibri" w:hAnsi="Calibri"/>
                <w:color w:val="2C2929"/>
                <w:sz w:val="20"/>
              </w:rPr>
              <w:t>Version</w:t>
            </w:r>
          </w:p>
        </w:tc>
        <w:tc>
          <w:tcPr>
            <w:tcW w:type="dxa" w:w="7060"/>
            <w:vAlign w:val="center"/>
          </w:tcPr>
          <w:p>
            <w:pPr>
              <w:spacing w:after="0" w:line="259" w:lineRule="auto"/>
            </w:pPr>
            <w:r>
              <w:rPr>
                <w:rFonts w:ascii="Calibri" w:hAnsi="Calibri"/>
                <w:color w:val="2C2929"/>
                <w:sz w:val="20"/>
              </w:rPr>
              <w:t>1.0</w:t>
            </w:r>
          </w:p>
        </w:tc>
      </w:tr>
      <w:tr>
        <w:trPr>
          <w:cantSplit/>
        </w:trPr>
        <w:tc>
          <w:tcPr>
            <w:tcW w:type="dxa" w:w="2300"/>
            <w:vAlign w:val="center"/>
          </w:tcPr>
          <w:p>
            <w:pPr>
              <w:spacing w:after="0" w:line="259" w:lineRule="auto"/>
            </w:pPr>
            <w:r>
              <w:rPr>
                <w:rFonts w:ascii="Calibri" w:hAnsi="Calibri"/>
                <w:color w:val="2C2929"/>
                <w:sz w:val="20"/>
              </w:rPr>
              <w:t>Prepared</w:t>
            </w:r>
          </w:p>
        </w:tc>
        <w:tc>
          <w:tcPr>
            <w:tcW w:type="dxa" w:w="7060"/>
            <w:vAlign w:val="center"/>
          </w:tcPr>
          <w:p>
            <w:pPr>
              <w:spacing w:after="0" w:line="259" w:lineRule="auto"/>
            </w:pPr>
            <w:r>
              <w:rPr>
                <w:rFonts w:ascii="Calibri" w:hAnsi="Calibri"/>
                <w:color w:val="2C2929"/>
                <w:sz w:val="20"/>
              </w:rPr>
              <w:t>27 September 2026</w:t>
            </w:r>
          </w:p>
        </w:tc>
      </w:tr>
      <w:tr>
        <w:trPr>
          <w:cantSplit/>
        </w:trPr>
        <w:tc>
          <w:tcPr>
            <w:tcW w:type="dxa" w:w="2300"/>
            <w:vAlign w:val="center"/>
          </w:tcPr>
          <w:p>
            <w:pPr>
              <w:spacing w:after="0" w:line="259" w:lineRule="auto"/>
            </w:pPr>
            <w:r>
              <w:rPr>
                <w:rFonts w:ascii="Calibri" w:hAnsi="Calibri"/>
                <w:color w:val="2C2929"/>
                <w:sz w:val="20"/>
              </w:rPr>
              <w:t>Repository scope</w:t>
            </w:r>
          </w:p>
        </w:tc>
        <w:tc>
          <w:tcPr>
            <w:tcW w:type="dxa" w:w="7060"/>
            <w:vAlign w:val="center"/>
          </w:tcPr>
          <w:p>
            <w:pPr>
              <w:spacing w:after="0" w:line="259" w:lineRule="auto"/>
            </w:pPr>
            <w:r>
              <w:rPr>
                <w:rFonts w:ascii="Calibri" w:hAnsi="Calibri"/>
                <w:color w:val="2C2929"/>
                <w:sz w:val="20"/>
              </w:rPr>
              <w:t>kayato-web and kayato-mobile</w:t>
            </w:r>
          </w:p>
        </w:tc>
      </w:tr>
      <w:tr>
        <w:trPr>
          <w:cantSplit/>
        </w:trPr>
        <w:tc>
          <w:tcPr>
            <w:tcW w:type="dxa" w:w="2300"/>
            <w:vAlign w:val="center"/>
          </w:tcPr>
          <w:p>
            <w:pPr>
              <w:spacing w:after="0" w:line="259" w:lineRule="auto"/>
            </w:pPr>
            <w:r>
              <w:rPr>
                <w:rFonts w:ascii="Calibri" w:hAnsi="Calibri"/>
                <w:color w:val="2C2929"/>
                <w:sz w:val="20"/>
              </w:rPr>
              <w:t>Audience</w:t>
            </w:r>
          </w:p>
        </w:tc>
        <w:tc>
          <w:tcPr>
            <w:tcW w:type="dxa" w:w="7060"/>
            <w:vAlign w:val="center"/>
          </w:tcPr>
          <w:p>
            <w:pPr>
              <w:spacing w:after="0" w:line="259" w:lineRule="auto"/>
            </w:pPr>
            <w:r>
              <w:rPr>
                <w:rFonts w:ascii="Calibri" w:hAnsi="Calibri"/>
                <w:color w:val="2C2929"/>
                <w:sz w:val="20"/>
              </w:rPr>
              <w:t>Product, frontend, backend, mobile, QA, and DevOps</w:t>
            </w:r>
          </w:p>
        </w:tc>
      </w:tr>
      <w:tr>
        <w:trPr>
          <w:cantSplit/>
        </w:trPr>
        <w:tc>
          <w:tcPr>
            <w:tcW w:type="dxa" w:w="2300"/>
            <w:vAlign w:val="center"/>
          </w:tcPr>
          <w:p>
            <w:pPr>
              <w:spacing w:after="0" w:line="259" w:lineRule="auto"/>
            </w:pPr>
            <w:r>
              <w:rPr>
                <w:rFonts w:ascii="Calibri" w:hAnsi="Calibri"/>
                <w:color w:val="2C2929"/>
                <w:sz w:val="20"/>
              </w:rPr>
              <w:t>Status</w:t>
            </w:r>
          </w:p>
        </w:tc>
        <w:tc>
          <w:tcPr>
            <w:tcW w:type="dxa" w:w="7060"/>
            <w:vAlign w:val="center"/>
          </w:tcPr>
          <w:p>
            <w:pPr>
              <w:spacing w:after="0" w:line="259" w:lineRule="auto"/>
            </w:pPr>
            <w:r>
              <w:rPr>
                <w:rFonts w:ascii="Calibri" w:hAnsi="Calibri"/>
                <w:color w:val="2C2929"/>
                <w:sz w:val="20"/>
              </w:rPr>
              <w:t>Implementation blueprint</w:t>
            </w:r>
          </w:p>
        </w:tc>
      </w:tr>
    </w:tbl>
    <w:p>
      <w:pPr>
        <w:keepNext w:val="0"/>
        <w:spacing w:before="0" w:after="40"/>
      </w:pPr>
      <w:r>
        <w:rPr>
          <w:rFonts w:ascii="Calibri" w:hAnsi="Calibri"/>
          <w:b w:val="0"/>
          <w:i w:val="0"/>
          <w:color w:val="2C2929"/>
        </w:rPr>
      </w:r>
    </w:p>
    <w:p>
      <w:pPr>
        <w:keepNext w:val="0"/>
        <w:spacing w:before="0" w:after="720"/>
      </w:pPr>
      <w:r>
        <w:rPr>
          <w:rFonts w:ascii="Calibri" w:hAnsi="Calibri"/>
          <w:b w:val="0"/>
          <w:i w:val="0"/>
          <w:color w:val="2C2929"/>
        </w:rPr>
      </w:r>
    </w:p>
    <w:tbl>
      <w:tblPr>
        <w:tblW w:type="dxa" w:w="9360"/>
        <w:jc w:val="left"/>
        <w:tblLayout w:type="fixed"/>
        <w:tblLook w:firstColumn="1" w:firstRow="1" w:lastColumn="0" w:lastRow="0" w:noHBand="0" w:noVBand="1" w:val="04A0"/>
        <w:tblInd w:w="120" w:type="dxa"/>
        <w:tblBorders>
          <w:top w:val="single" w:sz="8" w:space="0" w:color="70000E"/>
          <w:left w:val="single" w:sz="8" w:space="0" w:color="70000E"/>
          <w:bottom w:val="single" w:sz="8" w:space="0" w:color="70000E"/>
          <w:right w:val="single" w:sz="8" w:space="0" w:color="70000E"/>
          <w:insideH w:val="single" w:sz="8" w:space="0" w:color="70000E"/>
          <w:insideV w:val="single" w:sz="8" w:space="0" w:color="70000E"/>
        </w:tblBorders>
      </w:tblPr>
      <w:tblGrid>
        <w:gridCol w:w="9360"/>
      </w:tblGrid>
      <w:tr>
        <w:trPr>
          <w:tblHeader w:val="true"/>
        </w:trPr>
        <w:tc>
          <w:tcPr>
            <w:tcW w:type="dxa" w:w="9360"/>
            <w:tcMar>
              <w:top w:w="80" w:type="dxa"/>
              <w:start w:w="120" w:type="dxa"/>
              <w:bottom w:w="80" w:type="dxa"/>
              <w:end w:w="120" w:type="dxa"/>
            </w:tcMar>
            <w:shd w:fill="F4E8EA"/>
          </w:tcPr>
          <w:p>
            <w:pPr>
              <w:spacing w:after="0"/>
            </w:pPr>
            <w:r>
              <w:rPr>
                <w:rFonts w:ascii="Calibri" w:hAnsi="Calibri"/>
                <w:b/>
                <w:color w:val="70000E"/>
                <w:sz w:val="21"/>
              </w:rPr>
              <w:t xml:space="preserve">Purpose: </w:t>
            </w:r>
            <w:r>
              <w:rPr>
                <w:rFonts w:ascii="Calibri" w:hAnsi="Calibri"/>
                <w:color w:val="2C2929"/>
                <w:sz w:val="21"/>
              </w:rPr>
              <w:t>Translate the existing KayaTo prototype and API foundation into a secure, testable, deployable full-stack product. Proposed components are clearly separated from features already present in the repository.</w:t>
            </w:r>
          </w:p>
        </w:tc>
      </w:tr>
    </w:tbl>
    <w:p>
      <w:pPr>
        <w:keepNext w:val="0"/>
        <w:spacing w:before="0" w:after="40"/>
      </w:pPr>
      <w:r>
        <w:rPr>
          <w:rFonts w:ascii="Calibri" w:hAnsi="Calibri"/>
          <w:b w:val="0"/>
          <w:i w:val="0"/>
          <w:color w:val="2C2929"/>
        </w:rPr>
      </w:r>
    </w:p>
    <w:p>
      <w:pPr>
        <w:keepNext w:val="0"/>
        <w:spacing w:before="0" w:after="0"/>
      </w:pPr>
      <w:r>
        <w:rPr>
          <w:rFonts w:ascii="Calibri" w:hAnsi="Calibri"/>
          <w:b w:val="0"/>
          <w:i/>
          <w:color w:val="666163"/>
          <w:sz w:val="19"/>
        </w:rPr>
        <w:t>Prepared from the local project snapshot. No claim in this document means a proposed production feature is already implemented.</w:t>
      </w:r>
    </w:p>
    <w:p>
      <w:r>
        <w:br w:type="page"/>
      </w:r>
    </w:p>
    <w:p>
      <w:pPr>
        <w:pStyle w:val="Heading1"/>
      </w:pPr>
      <w:r>
        <w:t>Document map</w:t>
      </w:r>
    </w:p>
    <w:p>
      <w:pPr>
        <w:pStyle w:val="ListBullet"/>
        <w:keepLines/>
      </w:pPr>
      <w:r>
        <w:t>1. Executive summary and implementation principles</w:t>
      </w:r>
    </w:p>
    <w:p>
      <w:pPr>
        <w:pStyle w:val="ListBullet"/>
        <w:keepLines/>
      </w:pPr>
      <w:r>
        <w:t>2. Repository baseline and gap assessment</w:t>
      </w:r>
    </w:p>
    <w:p>
      <w:pPr>
        <w:pStyle w:val="ListBullet"/>
        <w:keepLines/>
      </w:pPr>
      <w:r>
        <w:t>3. Target architecture and system boundaries</w:t>
      </w:r>
    </w:p>
    <w:p>
      <w:pPr>
        <w:pStyle w:val="ListBullet"/>
        <w:keepLines/>
      </w:pPr>
      <w:r>
        <w:t>4. Domain model and persistence design</w:t>
      </w:r>
    </w:p>
    <w:p>
      <w:pPr>
        <w:pStyle w:val="ListBullet"/>
        <w:keepLines/>
      </w:pPr>
      <w:r>
        <w:t>5. Backend services and API contract</w:t>
      </w:r>
    </w:p>
    <w:p>
      <w:pPr>
        <w:pStyle w:val="ListBullet"/>
        <w:keepLines/>
      </w:pPr>
      <w:r>
        <w:t>6. Web and mobile client implementation</w:t>
      </w:r>
    </w:p>
    <w:p>
      <w:pPr>
        <w:pStyle w:val="ListBullet"/>
        <w:keepLines/>
      </w:pPr>
      <w:r>
        <w:t>7. Realtime collaboration and AI planner</w:t>
      </w:r>
    </w:p>
    <w:p>
      <w:pPr>
        <w:pStyle w:val="ListBullet"/>
        <w:keepLines/>
      </w:pPr>
      <w:r>
        <w:t>8. Security, privacy, and resilience</w:t>
      </w:r>
    </w:p>
    <w:p>
      <w:pPr>
        <w:pStyle w:val="ListBullet"/>
        <w:keepLines/>
      </w:pPr>
      <w:r>
        <w:t>9. Delivery, testing, observability, and operations</w:t>
      </w:r>
    </w:p>
    <w:p>
      <w:pPr>
        <w:pStyle w:val="ListBullet"/>
        <w:keepLines/>
      </w:pPr>
      <w:r>
        <w:t>10. Phased roadmap and definition of done</w:t>
      </w:r>
    </w:p>
    <w:p>
      <w:pPr>
        <w:pStyle w:val="ListBullet"/>
        <w:keepLines/>
      </w:pPr>
      <w:r>
        <w:t>Appendices: environment, repository structure, and acceptance checklist</w:t>
      </w:r>
    </w:p>
    <w:p>
      <w:pPr>
        <w:pStyle w:val="Heading1"/>
      </w:pPr>
      <w:r>
        <w:t>1. Executive summary</w:t>
      </w:r>
    </w:p>
    <w:p>
      <w:pPr>
        <w:keepNext w:val="0"/>
        <w:spacing w:before="0" w:after="120"/>
      </w:pPr>
      <w:r>
        <w:rPr>
          <w:rFonts w:ascii="Calibri" w:hAnsi="Calibri"/>
          <w:b w:val="0"/>
          <w:i w:val="0"/>
          <w:color w:val="2C2929"/>
        </w:rPr>
        <w:t>KayaTo is a productivity platform that combines personal tasks, team collaboration, AI-assisted planning, chat, and bill reminders. The repository already demonstrates the intended user experience and contains a useful MERN API foundation. The next implementation step is to replace mock state with authenticated service calls, complete the missing collaboration and AI workflows, and introduce production controls for security, reliability, and operations.</w:t>
      </w:r>
    </w:p>
    <w:tbl>
      <w:tblPr>
        <w:tblW w:type="dxa" w:w="9360"/>
        <w:jc w:val="left"/>
        <w:tblLayout w:type="fixed"/>
        <w:tblLook w:firstColumn="1" w:firstRow="1" w:lastColumn="0" w:lastRow="0" w:noHBand="0" w:noVBand="1" w:val="04A0"/>
        <w:tblInd w:w="120" w:type="dxa"/>
        <w:tblBorders>
          <w:top w:val="single" w:sz="8" w:space="0" w:color="70000E"/>
          <w:left w:val="single" w:sz="8" w:space="0" w:color="70000E"/>
          <w:bottom w:val="single" w:sz="8" w:space="0" w:color="70000E"/>
          <w:right w:val="single" w:sz="8" w:space="0" w:color="70000E"/>
          <w:insideH w:val="single" w:sz="8" w:space="0" w:color="70000E"/>
          <w:insideV w:val="single" w:sz="8" w:space="0" w:color="70000E"/>
        </w:tblBorders>
      </w:tblPr>
      <w:tblGrid>
        <w:gridCol w:w="9360"/>
      </w:tblGrid>
      <w:tr>
        <w:trPr>
          <w:tblHeader w:val="true"/>
        </w:trPr>
        <w:tc>
          <w:tcPr>
            <w:tcW w:type="dxa" w:w="9360"/>
            <w:tcMar>
              <w:top w:w="80" w:type="dxa"/>
              <w:start w:w="120" w:type="dxa"/>
              <w:bottom w:w="80" w:type="dxa"/>
              <w:end w:w="120" w:type="dxa"/>
            </w:tcMar>
            <w:shd w:fill="F4E8EA"/>
          </w:tcPr>
          <w:p>
            <w:pPr>
              <w:spacing w:after="0"/>
            </w:pPr>
            <w:r>
              <w:rPr>
                <w:rFonts w:ascii="Calibri" w:hAnsi="Calibri"/>
                <w:b/>
                <w:color w:val="70000E"/>
                <w:sz w:val="21"/>
              </w:rPr>
              <w:t xml:space="preserve">Recommended approach: </w:t>
            </w:r>
            <w:r>
              <w:rPr>
                <w:rFonts w:ascii="Calibri" w:hAnsi="Calibri"/>
                <w:color w:val="2C2929"/>
                <w:sz w:val="21"/>
              </w:rPr>
              <w:t>Retain the existing React, Express, MongoDB, Mongoose, JWT, Socket.IO, and Flutter choices. Add a shared API contract, service/repository separation, durable file storage, background jobs, validation, automated tests, and deployment automation before expanding feature scope.</w:t>
            </w:r>
          </w:p>
        </w:tc>
      </w:tr>
    </w:tbl>
    <w:p>
      <w:pPr>
        <w:keepNext w:val="0"/>
        <w:spacing w:before="0" w:after="40"/>
      </w:pPr>
      <w:r>
        <w:rPr>
          <w:rFonts w:ascii="Calibri" w:hAnsi="Calibri"/>
          <w:b w:val="0"/>
          <w:i w:val="0"/>
          <w:color w:val="2C2929"/>
        </w:rPr>
      </w:r>
    </w:p>
    <w:p>
      <w:pPr>
        <w:pStyle w:val="Heading2"/>
      </w:pPr>
      <w:r>
        <w:t>Implementation principles</w:t>
      </w:r>
    </w:p>
    <w:p>
      <w:pPr>
        <w:pStyle w:val="ListBullet"/>
        <w:keepLines/>
      </w:pPr>
      <w:r>
        <w:t>One source of truth: server data is authoritative; client mock data is removed once an endpoint is connected.</w:t>
      </w:r>
    </w:p>
    <w:p>
      <w:pPr>
        <w:pStyle w:val="ListBullet"/>
        <w:keepLines/>
      </w:pPr>
      <w:r>
        <w:t>Incremental delivery: each vertical slice includes UI, API, authorization, persistence, tests, telemetry, and documentation.</w:t>
      </w:r>
    </w:p>
    <w:p>
      <w:pPr>
        <w:pStyle w:val="ListBullet"/>
        <w:keepLines/>
      </w:pPr>
      <w:r>
        <w:t>Secure by default: least-privilege access, validated input, short-lived sessions, safe file handling, and no payment credential storage.</w:t>
      </w:r>
    </w:p>
    <w:p>
      <w:pPr>
        <w:pStyle w:val="ListBullet"/>
        <w:keepLines/>
      </w:pPr>
      <w:r>
        <w:t>Human-controlled AI: Kaya proposes structured plans; users review and confirm before tasks are created or assigned.</w:t>
      </w:r>
    </w:p>
    <w:p>
      <w:pPr>
        <w:pStyle w:val="ListBullet"/>
        <w:keepLines/>
      </w:pPr>
      <w:r>
        <w:t>Mobile parity by API, not duplication: web and Flutter consume the same versioned backend contract.</w:t>
      </w:r>
    </w:p>
    <w:p>
      <w:pPr>
        <w:pStyle w:val="Heading2"/>
      </w:pPr>
      <w:r>
        <w:t>Success criteria</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1800"/>
        <w:gridCol w:w="7560"/>
      </w:tblGrid>
      <w:tr>
        <w:trPr>
          <w:cantSplit/>
          <w:tblHeader w:val="true"/>
        </w:trPr>
        <w:tc>
          <w:tcPr>
            <w:tcW w:type="dxa" w:w="1800"/>
            <w:tcMar>
              <w:top w:w="80" w:type="dxa"/>
              <w:start w:w="120" w:type="dxa"/>
              <w:bottom w:w="80" w:type="dxa"/>
              <w:end w:w="120" w:type="dxa"/>
            </w:tcMar>
            <w:shd w:fill="F4E8EA"/>
            <w:vAlign w:val="center"/>
          </w:tcPr>
          <w:p>
            <w:pPr>
              <w:spacing w:after="0"/>
            </w:pPr>
            <w:r>
              <w:rPr>
                <w:rFonts w:ascii="Calibri" w:hAnsi="Calibri"/>
                <w:b/>
                <w:color w:val="70000E"/>
                <w:sz w:val="18"/>
              </w:rPr>
              <w:t>Area</w:t>
            </w:r>
          </w:p>
        </w:tc>
        <w:tc>
          <w:tcPr>
            <w:tcW w:type="dxa" w:w="7560"/>
            <w:tcMar>
              <w:top w:w="80" w:type="dxa"/>
              <w:start w:w="120" w:type="dxa"/>
              <w:bottom w:w="80" w:type="dxa"/>
              <w:end w:w="120" w:type="dxa"/>
            </w:tcMar>
            <w:shd w:fill="F4E8EA"/>
            <w:vAlign w:val="center"/>
          </w:tcPr>
          <w:p>
            <w:pPr>
              <w:spacing w:after="0"/>
            </w:pPr>
            <w:r>
              <w:rPr>
                <w:rFonts w:ascii="Calibri" w:hAnsi="Calibri"/>
                <w:b/>
                <w:color w:val="70000E"/>
                <w:sz w:val="18"/>
              </w:rPr>
              <w:t>Release criterion</w:t>
            </w:r>
          </w:p>
        </w:tc>
      </w:tr>
      <w:tr>
        <w:trPr>
          <w:cantSplit/>
        </w:trPr>
        <w:tc>
          <w:tcPr>
            <w:tcW w:type="dxa" w:w="1800"/>
            <w:vAlign w:val="center"/>
          </w:tcPr>
          <w:p>
            <w:pPr>
              <w:spacing w:after="0" w:line="259" w:lineRule="auto"/>
            </w:pPr>
            <w:r>
              <w:rPr>
                <w:rFonts w:ascii="Calibri" w:hAnsi="Calibri"/>
                <w:color w:val="2C2929"/>
                <w:sz w:val="18"/>
              </w:rPr>
              <w:t>Product</w:t>
            </w:r>
          </w:p>
        </w:tc>
        <w:tc>
          <w:tcPr>
            <w:tcW w:type="dxa" w:w="7560"/>
            <w:vAlign w:val="center"/>
          </w:tcPr>
          <w:p>
            <w:pPr>
              <w:spacing w:after="0" w:line="259" w:lineRule="auto"/>
            </w:pPr>
            <w:r>
              <w:rPr>
                <w:rFonts w:ascii="Calibri" w:hAnsi="Calibri"/>
                <w:color w:val="2C2929"/>
                <w:sz w:val="18"/>
              </w:rPr>
              <w:t>Core task, team, chat, bill, and AI-plan journeys work without mock data.</w:t>
            </w:r>
          </w:p>
        </w:tc>
      </w:tr>
      <w:tr>
        <w:trPr>
          <w:cantSplit/>
        </w:trPr>
        <w:tc>
          <w:tcPr>
            <w:tcW w:type="dxa" w:w="1800"/>
            <w:vAlign w:val="center"/>
          </w:tcPr>
          <w:p>
            <w:pPr>
              <w:spacing w:after="0" w:line="259" w:lineRule="auto"/>
            </w:pPr>
            <w:r>
              <w:rPr>
                <w:rFonts w:ascii="Calibri" w:hAnsi="Calibri"/>
                <w:color w:val="2C2929"/>
                <w:sz w:val="18"/>
              </w:rPr>
              <w:t>Security</w:t>
            </w:r>
          </w:p>
        </w:tc>
        <w:tc>
          <w:tcPr>
            <w:tcW w:type="dxa" w:w="7560"/>
            <w:vAlign w:val="center"/>
          </w:tcPr>
          <w:p>
            <w:pPr>
              <w:spacing w:after="0" w:line="259" w:lineRule="auto"/>
            </w:pPr>
            <w:r>
              <w:rPr>
                <w:rFonts w:ascii="Calibri" w:hAnsi="Calibri"/>
                <w:color w:val="2C2929"/>
                <w:sz w:val="18"/>
              </w:rPr>
              <w:t>Authorization is enforced server-side for every protected resource and realtime room.</w:t>
            </w:r>
          </w:p>
        </w:tc>
      </w:tr>
      <w:tr>
        <w:trPr>
          <w:cantSplit/>
        </w:trPr>
        <w:tc>
          <w:tcPr>
            <w:tcW w:type="dxa" w:w="1800"/>
            <w:vAlign w:val="center"/>
          </w:tcPr>
          <w:p>
            <w:pPr>
              <w:spacing w:after="0" w:line="259" w:lineRule="auto"/>
            </w:pPr>
            <w:r>
              <w:rPr>
                <w:rFonts w:ascii="Calibri" w:hAnsi="Calibri"/>
                <w:color w:val="2C2929"/>
                <w:sz w:val="18"/>
              </w:rPr>
              <w:t>Quality</w:t>
            </w:r>
          </w:p>
        </w:tc>
        <w:tc>
          <w:tcPr>
            <w:tcW w:type="dxa" w:w="7560"/>
            <w:vAlign w:val="center"/>
          </w:tcPr>
          <w:p>
            <w:pPr>
              <w:spacing w:after="0" w:line="259" w:lineRule="auto"/>
            </w:pPr>
            <w:r>
              <w:rPr>
                <w:rFonts w:ascii="Calibri" w:hAnsi="Calibri"/>
                <w:color w:val="2C2929"/>
                <w:sz w:val="18"/>
              </w:rPr>
              <w:t>Automated unit, integration, and end-to-end suites gate production releases.</w:t>
            </w:r>
          </w:p>
        </w:tc>
      </w:tr>
      <w:tr>
        <w:trPr>
          <w:cantSplit/>
        </w:trPr>
        <w:tc>
          <w:tcPr>
            <w:tcW w:type="dxa" w:w="1800"/>
            <w:vAlign w:val="center"/>
          </w:tcPr>
          <w:p>
            <w:pPr>
              <w:spacing w:after="0" w:line="259" w:lineRule="auto"/>
            </w:pPr>
            <w:r>
              <w:rPr>
                <w:rFonts w:ascii="Calibri" w:hAnsi="Calibri"/>
                <w:color w:val="2C2929"/>
                <w:sz w:val="18"/>
              </w:rPr>
              <w:t>Operations</w:t>
            </w:r>
          </w:p>
        </w:tc>
        <w:tc>
          <w:tcPr>
            <w:tcW w:type="dxa" w:w="7560"/>
            <w:vAlign w:val="center"/>
          </w:tcPr>
          <w:p>
            <w:pPr>
              <w:spacing w:after="0" w:line="259" w:lineRule="auto"/>
            </w:pPr>
            <w:r>
              <w:rPr>
                <w:rFonts w:ascii="Calibri" w:hAnsi="Calibri"/>
                <w:color w:val="2C2929"/>
                <w:sz w:val="18"/>
              </w:rPr>
              <w:t>Health, logs, metrics, alerts, backups, and rollback procedures are documented and tested.</w:t>
            </w:r>
          </w:p>
        </w:tc>
      </w:tr>
      <w:tr>
        <w:trPr>
          <w:cantSplit/>
        </w:trPr>
        <w:tc>
          <w:tcPr>
            <w:tcW w:type="dxa" w:w="1800"/>
            <w:vAlign w:val="center"/>
          </w:tcPr>
          <w:p>
            <w:pPr>
              <w:spacing w:after="0" w:line="259" w:lineRule="auto"/>
            </w:pPr>
            <w:r>
              <w:rPr>
                <w:rFonts w:ascii="Calibri" w:hAnsi="Calibri"/>
                <w:color w:val="2C2929"/>
                <w:sz w:val="18"/>
              </w:rPr>
              <w:t>Experience</w:t>
            </w:r>
          </w:p>
        </w:tc>
        <w:tc>
          <w:tcPr>
            <w:tcW w:type="dxa" w:w="7560"/>
            <w:vAlign w:val="center"/>
          </w:tcPr>
          <w:p>
            <w:pPr>
              <w:spacing w:after="0" w:line="259" w:lineRule="auto"/>
            </w:pPr>
            <w:r>
              <w:rPr>
                <w:rFonts w:ascii="Calibri" w:hAnsi="Calibri"/>
                <w:color w:val="2C2929"/>
                <w:sz w:val="18"/>
              </w:rPr>
              <w:t>Responsive web and mobile flows meet accessibility and performance budgets.</w:t>
            </w:r>
          </w:p>
        </w:tc>
      </w:tr>
    </w:tbl>
    <w:p>
      <w:pPr>
        <w:keepNext w:val="0"/>
        <w:spacing w:before="0" w:after="40"/>
      </w:pPr>
      <w:r>
        <w:rPr>
          <w:rFonts w:ascii="Calibri" w:hAnsi="Calibri"/>
          <w:b w:val="0"/>
          <w:i w:val="0"/>
          <w:color w:val="2C2929"/>
        </w:rPr>
      </w:r>
    </w:p>
    <w:p>
      <w:pPr>
        <w:pStyle w:val="Heading1"/>
      </w:pPr>
      <w:r>
        <w:t>2. Repository baseline and gap assessment</w:t>
      </w:r>
    </w:p>
    <w:p>
      <w:pPr>
        <w:keepNext w:val="0"/>
        <w:spacing w:before="0" w:after="120"/>
      </w:pPr>
      <w:r>
        <w:rPr>
          <w:rFonts w:ascii="Calibri" w:hAnsi="Calibri"/>
          <w:b w:val="0"/>
          <w:i w:val="0"/>
          <w:color w:val="2C2929"/>
        </w:rPr>
        <w:t>The following baseline reflects the files inspected in the local workspace on 27 September 2026.</w:t>
      </w:r>
    </w:p>
    <w:p>
      <w:pPr>
        <w:pStyle w:val="Heading2"/>
      </w:pPr>
      <w:r>
        <w:t>Current implementation</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1250"/>
        <w:gridCol w:w="4750"/>
        <w:gridCol w:w="3360"/>
      </w:tblGrid>
      <w:tr>
        <w:trPr>
          <w:cantSplit/>
          <w:tblHeader w:val="true"/>
        </w:trPr>
        <w:tc>
          <w:tcPr>
            <w:tcW w:type="dxa" w:w="1250"/>
            <w:tcMar>
              <w:top w:w="80" w:type="dxa"/>
              <w:start w:w="120" w:type="dxa"/>
              <w:bottom w:w="80" w:type="dxa"/>
              <w:end w:w="120" w:type="dxa"/>
            </w:tcMar>
            <w:shd w:fill="F4E8EA"/>
            <w:vAlign w:val="center"/>
          </w:tcPr>
          <w:p>
            <w:pPr>
              <w:spacing w:after="0"/>
            </w:pPr>
            <w:r>
              <w:rPr>
                <w:rFonts w:ascii="Calibri" w:hAnsi="Calibri"/>
                <w:b/>
                <w:color w:val="70000E"/>
                <w:sz w:val="17"/>
              </w:rPr>
              <w:t>Layer</w:t>
            </w:r>
          </w:p>
        </w:tc>
        <w:tc>
          <w:tcPr>
            <w:tcW w:type="dxa" w:w="4750"/>
            <w:tcMar>
              <w:top w:w="80" w:type="dxa"/>
              <w:start w:w="120" w:type="dxa"/>
              <w:bottom w:w="80" w:type="dxa"/>
              <w:end w:w="120" w:type="dxa"/>
            </w:tcMar>
            <w:shd w:fill="F4E8EA"/>
            <w:vAlign w:val="center"/>
          </w:tcPr>
          <w:p>
            <w:pPr>
              <w:spacing w:after="0"/>
            </w:pPr>
            <w:r>
              <w:rPr>
                <w:rFonts w:ascii="Calibri" w:hAnsi="Calibri"/>
                <w:b/>
                <w:color w:val="70000E"/>
                <w:sz w:val="17"/>
              </w:rPr>
              <w:t>Present today</w:t>
            </w:r>
          </w:p>
        </w:tc>
        <w:tc>
          <w:tcPr>
            <w:tcW w:type="dxa" w:w="3360"/>
            <w:tcMar>
              <w:top w:w="80" w:type="dxa"/>
              <w:start w:w="120" w:type="dxa"/>
              <w:bottom w:w="80" w:type="dxa"/>
              <w:end w:w="120" w:type="dxa"/>
            </w:tcMar>
            <w:shd w:fill="F4E8EA"/>
            <w:vAlign w:val="center"/>
          </w:tcPr>
          <w:p>
            <w:pPr>
              <w:spacing w:after="0"/>
            </w:pPr>
            <w:r>
              <w:rPr>
                <w:rFonts w:ascii="Calibri" w:hAnsi="Calibri"/>
                <w:b/>
                <w:color w:val="70000E"/>
                <w:sz w:val="17"/>
              </w:rPr>
              <w:t>Implementation status</w:t>
            </w:r>
          </w:p>
        </w:tc>
      </w:tr>
      <w:tr>
        <w:trPr>
          <w:cantSplit/>
        </w:trPr>
        <w:tc>
          <w:tcPr>
            <w:tcW w:type="dxa" w:w="1250"/>
            <w:vAlign w:val="center"/>
          </w:tcPr>
          <w:p>
            <w:pPr>
              <w:spacing w:after="0" w:line="259" w:lineRule="auto"/>
            </w:pPr>
            <w:r>
              <w:rPr>
                <w:rFonts w:ascii="Calibri" w:hAnsi="Calibri"/>
                <w:color w:val="2C2929"/>
                <w:sz w:val="17"/>
              </w:rPr>
              <w:t>Web client</w:t>
            </w:r>
          </w:p>
        </w:tc>
        <w:tc>
          <w:tcPr>
            <w:tcW w:type="dxa" w:w="4750"/>
            <w:vAlign w:val="center"/>
          </w:tcPr>
          <w:p>
            <w:pPr>
              <w:spacing w:after="0" w:line="259" w:lineRule="auto"/>
            </w:pPr>
            <w:r>
              <w:rPr>
                <w:rFonts w:ascii="Calibri" w:hAnsi="Calibri"/>
                <w:color w:val="2C2929"/>
                <w:sz w:val="17"/>
              </w:rPr>
              <w:t>React 19, Vite 7, React Router, MUI, Axios, Lucide; landing, login, onboarding, dashboard, tasks, AI planner, chat, and bills screens.</w:t>
            </w:r>
          </w:p>
        </w:tc>
        <w:tc>
          <w:tcPr>
            <w:tcW w:type="dxa" w:w="3360"/>
            <w:vAlign w:val="center"/>
          </w:tcPr>
          <w:p>
            <w:pPr>
              <w:spacing w:after="0" w:line="259" w:lineRule="auto"/>
            </w:pPr>
            <w:r>
              <w:rPr>
                <w:rFonts w:ascii="Calibri" w:hAnsi="Calibri"/>
                <w:color w:val="2C2929"/>
                <w:sz w:val="17"/>
              </w:rPr>
              <w:t>Functional prototype; most feature data and actions are local/mock.</w:t>
            </w:r>
          </w:p>
        </w:tc>
      </w:tr>
      <w:tr>
        <w:trPr>
          <w:cantSplit/>
        </w:trPr>
        <w:tc>
          <w:tcPr>
            <w:tcW w:type="dxa" w:w="1250"/>
            <w:vAlign w:val="center"/>
          </w:tcPr>
          <w:p>
            <w:pPr>
              <w:spacing w:after="0" w:line="259" w:lineRule="auto"/>
            </w:pPr>
            <w:r>
              <w:rPr>
                <w:rFonts w:ascii="Calibri" w:hAnsi="Calibri"/>
                <w:color w:val="2C2929"/>
                <w:sz w:val="17"/>
              </w:rPr>
              <w:t>API</w:t>
            </w:r>
          </w:p>
        </w:tc>
        <w:tc>
          <w:tcPr>
            <w:tcW w:type="dxa" w:w="4750"/>
            <w:vAlign w:val="center"/>
          </w:tcPr>
          <w:p>
            <w:pPr>
              <w:spacing w:after="0" w:line="259" w:lineRule="auto"/>
            </w:pPr>
            <w:r>
              <w:rPr>
                <w:rFonts w:ascii="Calibri" w:hAnsi="Calibri"/>
                <w:color w:val="2C2929"/>
                <w:sz w:val="17"/>
              </w:rPr>
              <w:t>Express 5 server, CORS, JSON parsing, health endpoint, JWT middleware, MongoDB connection.</w:t>
            </w:r>
          </w:p>
        </w:tc>
        <w:tc>
          <w:tcPr>
            <w:tcW w:type="dxa" w:w="3360"/>
            <w:vAlign w:val="center"/>
          </w:tcPr>
          <w:p>
            <w:pPr>
              <w:spacing w:after="0" w:line="259" w:lineRule="auto"/>
            </w:pPr>
            <w:r>
              <w:rPr>
                <w:rFonts w:ascii="Calibri" w:hAnsi="Calibri"/>
                <w:color w:val="2C2929"/>
                <w:sz w:val="17"/>
              </w:rPr>
              <w:t>Runnable foundation.</w:t>
            </w:r>
          </w:p>
        </w:tc>
      </w:tr>
      <w:tr>
        <w:trPr>
          <w:cantSplit/>
        </w:trPr>
        <w:tc>
          <w:tcPr>
            <w:tcW w:type="dxa" w:w="1250"/>
            <w:vAlign w:val="center"/>
          </w:tcPr>
          <w:p>
            <w:pPr>
              <w:spacing w:after="0" w:line="259" w:lineRule="auto"/>
            </w:pPr>
            <w:r>
              <w:rPr>
                <w:rFonts w:ascii="Calibri" w:hAnsi="Calibri"/>
                <w:color w:val="2C2929"/>
                <w:sz w:val="17"/>
              </w:rPr>
              <w:t>Authentication</w:t>
            </w:r>
          </w:p>
        </w:tc>
        <w:tc>
          <w:tcPr>
            <w:tcW w:type="dxa" w:w="4750"/>
            <w:vAlign w:val="center"/>
          </w:tcPr>
          <w:p>
            <w:pPr>
              <w:spacing w:after="0" w:line="259" w:lineRule="auto"/>
            </w:pPr>
            <w:r>
              <w:rPr>
                <w:rFonts w:ascii="Calibri" w:hAnsi="Calibri"/>
                <w:color w:val="2C2929"/>
                <w:sz w:val="17"/>
              </w:rPr>
              <w:t>Register, login, current-user endpoint; bcrypt password hash and seven-day JWT.</w:t>
            </w:r>
          </w:p>
        </w:tc>
        <w:tc>
          <w:tcPr>
            <w:tcW w:type="dxa" w:w="3360"/>
            <w:vAlign w:val="center"/>
          </w:tcPr>
          <w:p>
            <w:pPr>
              <w:spacing w:after="0" w:line="259" w:lineRule="auto"/>
            </w:pPr>
            <w:r>
              <w:rPr>
                <w:rFonts w:ascii="Calibri" w:hAnsi="Calibri"/>
                <w:color w:val="2C2929"/>
                <w:sz w:val="17"/>
              </w:rPr>
              <w:t>Basic implementation; production session lifecycle is incomplete.</w:t>
            </w:r>
          </w:p>
        </w:tc>
      </w:tr>
      <w:tr>
        <w:trPr>
          <w:cantSplit/>
        </w:trPr>
        <w:tc>
          <w:tcPr>
            <w:tcW w:type="dxa" w:w="1250"/>
            <w:vAlign w:val="center"/>
          </w:tcPr>
          <w:p>
            <w:pPr>
              <w:spacing w:after="0" w:line="259" w:lineRule="auto"/>
            </w:pPr>
            <w:r>
              <w:rPr>
                <w:rFonts w:ascii="Calibri" w:hAnsi="Calibri"/>
                <w:color w:val="2C2929"/>
                <w:sz w:val="17"/>
              </w:rPr>
              <w:t>Tasks</w:t>
            </w:r>
          </w:p>
        </w:tc>
        <w:tc>
          <w:tcPr>
            <w:tcW w:type="dxa" w:w="4750"/>
            <w:vAlign w:val="center"/>
          </w:tcPr>
          <w:p>
            <w:pPr>
              <w:spacing w:after="0" w:line="259" w:lineRule="auto"/>
            </w:pPr>
            <w:r>
              <w:rPr>
                <w:rFonts w:ascii="Calibri" w:hAnsi="Calibri"/>
                <w:color w:val="2C2929"/>
                <w:sz w:val="17"/>
              </w:rPr>
              <w:t>Authenticated list/create/update/delete with paging and status/type filtering.</w:t>
            </w:r>
          </w:p>
        </w:tc>
        <w:tc>
          <w:tcPr>
            <w:tcW w:type="dxa" w:w="3360"/>
            <w:vAlign w:val="center"/>
          </w:tcPr>
          <w:p>
            <w:pPr>
              <w:spacing w:after="0" w:line="259" w:lineRule="auto"/>
            </w:pPr>
            <w:r>
              <w:rPr>
                <w:rFonts w:ascii="Calibri" w:hAnsi="Calibri"/>
                <w:color w:val="2C2929"/>
                <w:sz w:val="17"/>
              </w:rPr>
              <w:t>API exists; frontend is not wired.</w:t>
            </w:r>
          </w:p>
        </w:tc>
      </w:tr>
      <w:tr>
        <w:trPr>
          <w:cantSplit/>
        </w:trPr>
        <w:tc>
          <w:tcPr>
            <w:tcW w:type="dxa" w:w="1250"/>
            <w:vAlign w:val="center"/>
          </w:tcPr>
          <w:p>
            <w:pPr>
              <w:spacing w:after="0" w:line="259" w:lineRule="auto"/>
            </w:pPr>
            <w:r>
              <w:rPr>
                <w:rFonts w:ascii="Calibri" w:hAnsi="Calibri"/>
                <w:color w:val="2C2929"/>
                <w:sz w:val="17"/>
              </w:rPr>
              <w:t>Bills</w:t>
            </w:r>
          </w:p>
        </w:tc>
        <w:tc>
          <w:tcPr>
            <w:tcW w:type="dxa" w:w="4750"/>
            <w:vAlign w:val="center"/>
          </w:tcPr>
          <w:p>
            <w:pPr>
              <w:spacing w:after="0" w:line="259" w:lineRule="auto"/>
            </w:pPr>
            <w:r>
              <w:rPr>
                <w:rFonts w:ascii="Calibri" w:hAnsi="Calibri"/>
                <w:color w:val="2C2929"/>
                <w:sz w:val="17"/>
              </w:rPr>
              <w:t>Authenticated list/create/update/delete; HTTPS payment URL validation.</w:t>
            </w:r>
          </w:p>
        </w:tc>
        <w:tc>
          <w:tcPr>
            <w:tcW w:type="dxa" w:w="3360"/>
            <w:vAlign w:val="center"/>
          </w:tcPr>
          <w:p>
            <w:pPr>
              <w:spacing w:after="0" w:line="259" w:lineRule="auto"/>
            </w:pPr>
            <w:r>
              <w:rPr>
                <w:rFonts w:ascii="Calibri" w:hAnsi="Calibri"/>
                <w:color w:val="2C2929"/>
                <w:sz w:val="17"/>
              </w:rPr>
              <w:t>API exists; frontend is not wired.</w:t>
            </w:r>
          </w:p>
        </w:tc>
      </w:tr>
      <w:tr>
        <w:trPr>
          <w:cantSplit/>
        </w:trPr>
        <w:tc>
          <w:tcPr>
            <w:tcW w:type="dxa" w:w="1250"/>
            <w:vAlign w:val="center"/>
          </w:tcPr>
          <w:p>
            <w:pPr>
              <w:spacing w:after="0" w:line="259" w:lineRule="auto"/>
            </w:pPr>
            <w:r>
              <w:rPr>
                <w:rFonts w:ascii="Calibri" w:hAnsi="Calibri"/>
                <w:color w:val="2C2929"/>
                <w:sz w:val="17"/>
              </w:rPr>
              <w:t>Realtime chat</w:t>
            </w:r>
          </w:p>
        </w:tc>
        <w:tc>
          <w:tcPr>
            <w:tcW w:type="dxa" w:w="4750"/>
            <w:vAlign w:val="center"/>
          </w:tcPr>
          <w:p>
            <w:pPr>
              <w:spacing w:after="0" w:line="259" w:lineRule="auto"/>
            </w:pPr>
            <w:r>
              <w:rPr>
                <w:rFonts w:ascii="Calibri" w:hAnsi="Calibri"/>
                <w:color w:val="2C2929"/>
                <w:sz w:val="17"/>
              </w:rPr>
              <w:t>Socket.IO connection with join and send events; Message model exists.</w:t>
            </w:r>
          </w:p>
        </w:tc>
        <w:tc>
          <w:tcPr>
            <w:tcW w:type="dxa" w:w="3360"/>
            <w:vAlign w:val="center"/>
          </w:tcPr>
          <w:p>
            <w:pPr>
              <w:spacing w:after="0" w:line="259" w:lineRule="auto"/>
            </w:pPr>
            <w:r>
              <w:rPr>
                <w:rFonts w:ascii="Calibri" w:hAnsi="Calibri"/>
                <w:color w:val="2C2929"/>
                <w:sz w:val="17"/>
              </w:rPr>
              <w:t>Transport skeleton only; persistence and room authorization are missing.</w:t>
            </w:r>
          </w:p>
        </w:tc>
      </w:tr>
      <w:tr>
        <w:trPr>
          <w:cantSplit/>
        </w:trPr>
        <w:tc>
          <w:tcPr>
            <w:tcW w:type="dxa" w:w="1250"/>
            <w:vAlign w:val="center"/>
          </w:tcPr>
          <w:p>
            <w:pPr>
              <w:spacing w:after="0" w:line="259" w:lineRule="auto"/>
            </w:pPr>
            <w:r>
              <w:rPr>
                <w:rFonts w:ascii="Calibri" w:hAnsi="Calibri"/>
                <w:color w:val="2C2929"/>
                <w:sz w:val="17"/>
              </w:rPr>
              <w:t>Teams</w:t>
            </w:r>
          </w:p>
        </w:tc>
        <w:tc>
          <w:tcPr>
            <w:tcW w:type="dxa" w:w="4750"/>
            <w:vAlign w:val="center"/>
          </w:tcPr>
          <w:p>
            <w:pPr>
              <w:spacing w:after="0" w:line="259" w:lineRule="auto"/>
            </w:pPr>
            <w:r>
              <w:rPr>
                <w:rFonts w:ascii="Calibri" w:hAnsi="Calibri"/>
                <w:color w:val="2C2929"/>
                <w:sz w:val="17"/>
              </w:rPr>
              <w:t>Team and membership schemas with roles and skills.</w:t>
            </w:r>
          </w:p>
        </w:tc>
        <w:tc>
          <w:tcPr>
            <w:tcW w:type="dxa" w:w="3360"/>
            <w:vAlign w:val="center"/>
          </w:tcPr>
          <w:p>
            <w:pPr>
              <w:spacing w:after="0" w:line="259" w:lineRule="auto"/>
            </w:pPr>
            <w:r>
              <w:rPr>
                <w:rFonts w:ascii="Calibri" w:hAnsi="Calibri"/>
                <w:color w:val="2C2929"/>
                <w:sz w:val="17"/>
              </w:rPr>
              <w:t>Data model only; no team routes or invitation lifecycle.</w:t>
            </w:r>
          </w:p>
        </w:tc>
      </w:tr>
      <w:tr>
        <w:trPr>
          <w:cantSplit/>
        </w:trPr>
        <w:tc>
          <w:tcPr>
            <w:tcW w:type="dxa" w:w="1250"/>
            <w:vAlign w:val="center"/>
          </w:tcPr>
          <w:p>
            <w:pPr>
              <w:spacing w:after="0" w:line="259" w:lineRule="auto"/>
            </w:pPr>
            <w:r>
              <w:rPr>
                <w:rFonts w:ascii="Calibri" w:hAnsi="Calibri"/>
                <w:color w:val="2C2929"/>
                <w:sz w:val="17"/>
              </w:rPr>
              <w:t>Mobile</w:t>
            </w:r>
          </w:p>
        </w:tc>
        <w:tc>
          <w:tcPr>
            <w:tcW w:type="dxa" w:w="4750"/>
            <w:vAlign w:val="center"/>
          </w:tcPr>
          <w:p>
            <w:pPr>
              <w:spacing w:after="0" w:line="259" w:lineRule="auto"/>
            </w:pPr>
            <w:r>
              <w:rPr>
                <w:rFonts w:ascii="Calibri" w:hAnsi="Calibri"/>
                <w:color w:val="2C2929"/>
                <w:sz w:val="17"/>
              </w:rPr>
              <w:t>Flutter Material 3 shell and reusable toast system showcase.</w:t>
            </w:r>
          </w:p>
        </w:tc>
        <w:tc>
          <w:tcPr>
            <w:tcW w:type="dxa" w:w="3360"/>
            <w:vAlign w:val="center"/>
          </w:tcPr>
          <w:p>
            <w:pPr>
              <w:spacing w:after="0" w:line="259" w:lineRule="auto"/>
            </w:pPr>
            <w:r>
              <w:rPr>
                <w:rFonts w:ascii="Calibri" w:hAnsi="Calibri"/>
                <w:color w:val="2C2929"/>
                <w:sz w:val="17"/>
              </w:rPr>
              <w:t>Prototype; no product navigation, API client, or auth state.</w:t>
            </w:r>
          </w:p>
        </w:tc>
      </w:tr>
    </w:tbl>
    <w:p>
      <w:pPr>
        <w:keepNext w:val="0"/>
        <w:spacing w:before="0" w:after="40"/>
      </w:pPr>
      <w:r>
        <w:rPr>
          <w:rFonts w:ascii="Calibri" w:hAnsi="Calibri"/>
          <w:b w:val="0"/>
          <w:i w:val="0"/>
          <w:color w:val="2C2929"/>
        </w:rPr>
      </w:r>
    </w:p>
    <w:p>
      <w:pPr>
        <w:pStyle w:val="Heading2"/>
      </w:pPr>
      <w:r>
        <w:t>Priority gaps</w:t>
      </w:r>
    </w:p>
    <w:p>
      <w:pPr>
        <w:pStyle w:val="ListBullet"/>
        <w:keepLines/>
      </w:pPr>
      <w:r>
        <w:t>The React pages use mock data and local component state rather than the Express API.</w:t>
      </w:r>
    </w:p>
    <w:p>
      <w:pPr>
        <w:pStyle w:val="ListBullet"/>
        <w:keepLines/>
      </w:pPr>
      <w:r>
        <w:t>Authentication lacks refresh-token rotation, logout/revocation, email verification, password reset, and route guards.</w:t>
      </w:r>
    </w:p>
    <w:p>
      <w:pPr>
        <w:pStyle w:val="ListBullet"/>
        <w:keepLines/>
      </w:pPr>
      <w:r>
        <w:t>Team membership, invitations, conversations, message persistence, notifications, calendar, and settings APIs are absent.</w:t>
      </w:r>
    </w:p>
    <w:p>
      <w:pPr>
        <w:pStyle w:val="ListBullet"/>
        <w:keepLines/>
      </w:pPr>
      <w:r>
        <w:t>AI planning is a UI simulation; there is no upload, extraction, model call, schema validation, review draft, or task-creation transaction.</w:t>
      </w:r>
    </w:p>
    <w:p>
      <w:pPr>
        <w:pStyle w:val="ListBullet"/>
        <w:keepLines/>
      </w:pPr>
      <w:r>
        <w:t>There is no shared request/response validation, API versioning, rate limiting, audit trail, automated test suite, CI/CD pipeline, or production observability.</w:t>
      </w:r>
    </w:p>
    <w:p>
      <w:pPr>
        <w:pStyle w:val="ListBullet"/>
        <w:keepLines/>
      </w:pPr>
      <w:r>
        <w:t>The Flutter app is not yet a KayaTo client; it currently demonstrates notification/toast behavior only.</w:t>
      </w:r>
    </w:p>
    <w:p>
      <w:pPr>
        <w:pStyle w:val="Heading2"/>
      </w:pPr>
      <w:r>
        <w:t>Scope boundaries</w:t>
      </w:r>
    </w:p>
    <w:p>
      <w:pPr>
        <w:spacing w:before="0" w:after="120"/>
      </w:pPr>
      <w:r>
        <w:rPr>
          <w:rFonts w:ascii="Calibri" w:hAnsi="Calibri"/>
          <w:b/>
          <w:color w:val="70000E"/>
        </w:rPr>
        <w:t xml:space="preserve">In scope: </w:t>
      </w:r>
      <w:r>
        <w:rPr>
          <w:rFonts w:ascii="Calibri" w:hAnsi="Calibri"/>
          <w:color w:val="2C2929"/>
        </w:rPr>
        <w:t>task and team collaboration, authenticated chat, AI document-to-plan generation, bill reminders with safe external payment redirection, notifications, calendar aggregation, and shared web/mobile APIs.</w:t>
      </w:r>
    </w:p>
    <w:p>
      <w:pPr>
        <w:spacing w:before="0" w:after="120"/>
      </w:pPr>
      <w:r>
        <w:rPr>
          <w:rFonts w:ascii="Calibri" w:hAnsi="Calibri"/>
          <w:b/>
          <w:color w:val="70000E"/>
        </w:rPr>
        <w:t xml:space="preserve">Out of scope for the first production release: </w:t>
      </w:r>
      <w:r>
        <w:rPr>
          <w:rFonts w:ascii="Calibri" w:hAnsi="Calibri"/>
          <w:color w:val="2C2929"/>
        </w:rPr>
        <w:t>processing card or bank credentials, autonomous AI task assignment without confirmation, payroll, accounting, and arbitrary third-party biller integrations.</w:t>
      </w:r>
    </w:p>
    <w:p>
      <w:pPr>
        <w:pStyle w:val="Heading1"/>
      </w:pPr>
      <w:r>
        <w:t>3. Target architecture and system boundaries</w:t>
      </w:r>
    </w:p>
    <w:p>
      <w:pPr>
        <w:spacing w:after="80"/>
        <w:jc w:val="center"/>
      </w:pPr>
      <w:r>
        <w:drawing>
          <wp:inline xmlns:a="http://schemas.openxmlformats.org/drawingml/2006/main" xmlns:pic="http://schemas.openxmlformats.org/drawingml/2006/picture">
            <wp:extent cx="5897880" cy="2988259"/>
            <wp:docPr id="1" name="Picture 1" descr="KayaTo architecture diagram showing web and mobile clients, API gateway, application services, workers, data layer, and external services." title="KayaTo production architecture"/>
            <wp:cNvGraphicFramePr>
              <a:graphicFrameLocks noChangeAspect="1"/>
            </wp:cNvGraphicFramePr>
            <a:graphic>
              <a:graphicData uri="http://schemas.openxmlformats.org/drawingml/2006/picture">
                <pic:pic>
                  <pic:nvPicPr>
                    <pic:cNvPr id="0" name="kayato_architecture.png"/>
                    <pic:cNvPicPr/>
                  </pic:nvPicPr>
                  <pic:blipFill>
                    <a:blip r:embed="rId11"/>
                    <a:stretch>
                      <a:fillRect/>
                    </a:stretch>
                  </pic:blipFill>
                  <pic:spPr>
                    <a:xfrm>
                      <a:off x="0" y="0"/>
                      <a:ext cx="5897880" cy="2988259"/>
                    </a:xfrm>
                    <a:prstGeom prst="rect"/>
                  </pic:spPr>
                </pic:pic>
              </a:graphicData>
            </a:graphic>
          </wp:inline>
        </w:drawing>
      </w:r>
    </w:p>
    <w:p>
      <w:pPr>
        <w:keepNext w:val="0"/>
        <w:spacing w:before="0" w:after="200"/>
        <w:jc w:val="center"/>
      </w:pPr>
      <w:r>
        <w:rPr>
          <w:rFonts w:ascii="Calibri" w:hAnsi="Calibri"/>
          <w:b w:val="0"/>
          <w:i/>
          <w:color w:val="666163"/>
          <w:sz w:val="18"/>
        </w:rPr>
        <w:t>Figure 1. Recommended KayaTo production architecture.</w:t>
      </w:r>
    </w:p>
    <w:p>
      <w:pPr>
        <w:pStyle w:val="Heading2"/>
      </w:pPr>
      <w:r>
        <w:t>Component responsibilities</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1480"/>
        <w:gridCol w:w="4920"/>
        <w:gridCol w:w="2960"/>
      </w:tblGrid>
      <w:tr>
        <w:trPr>
          <w:cantSplit/>
          <w:tblHeader w:val="true"/>
        </w:trPr>
        <w:tc>
          <w:tcPr>
            <w:tcW w:type="dxa" w:w="1480"/>
            <w:tcMar>
              <w:top w:w="80" w:type="dxa"/>
              <w:start w:w="120" w:type="dxa"/>
              <w:bottom w:w="80" w:type="dxa"/>
              <w:end w:w="120" w:type="dxa"/>
            </w:tcMar>
            <w:shd w:fill="F4E8EA"/>
            <w:vAlign w:val="center"/>
          </w:tcPr>
          <w:p>
            <w:pPr>
              <w:spacing w:after="0"/>
            </w:pPr>
            <w:r>
              <w:rPr>
                <w:rFonts w:ascii="Calibri" w:hAnsi="Calibri"/>
                <w:b/>
                <w:color w:val="70000E"/>
                <w:sz w:val="17"/>
              </w:rPr>
              <w:t>Component</w:t>
            </w:r>
          </w:p>
        </w:tc>
        <w:tc>
          <w:tcPr>
            <w:tcW w:type="dxa" w:w="4920"/>
            <w:tcMar>
              <w:top w:w="80" w:type="dxa"/>
              <w:start w:w="120" w:type="dxa"/>
              <w:bottom w:w="80" w:type="dxa"/>
              <w:end w:w="120" w:type="dxa"/>
            </w:tcMar>
            <w:shd w:fill="F4E8EA"/>
            <w:vAlign w:val="center"/>
          </w:tcPr>
          <w:p>
            <w:pPr>
              <w:spacing w:after="0"/>
            </w:pPr>
            <w:r>
              <w:rPr>
                <w:rFonts w:ascii="Calibri" w:hAnsi="Calibri"/>
                <w:b/>
                <w:color w:val="70000E"/>
                <w:sz w:val="17"/>
              </w:rPr>
              <w:t>Responsibility</w:t>
            </w:r>
          </w:p>
        </w:tc>
        <w:tc>
          <w:tcPr>
            <w:tcW w:type="dxa" w:w="2960"/>
            <w:tcMar>
              <w:top w:w="80" w:type="dxa"/>
              <w:start w:w="120" w:type="dxa"/>
              <w:bottom w:w="80" w:type="dxa"/>
              <w:end w:w="120" w:type="dxa"/>
            </w:tcMar>
            <w:shd w:fill="F4E8EA"/>
            <w:vAlign w:val="center"/>
          </w:tcPr>
          <w:p>
            <w:pPr>
              <w:spacing w:after="0"/>
            </w:pPr>
            <w:r>
              <w:rPr>
                <w:rFonts w:ascii="Calibri" w:hAnsi="Calibri"/>
                <w:b/>
                <w:color w:val="70000E"/>
                <w:sz w:val="17"/>
              </w:rPr>
              <w:t>Key rule</w:t>
            </w:r>
          </w:p>
        </w:tc>
      </w:tr>
      <w:tr>
        <w:trPr>
          <w:cantSplit/>
        </w:trPr>
        <w:tc>
          <w:tcPr>
            <w:tcW w:type="dxa" w:w="1480"/>
            <w:vAlign w:val="center"/>
          </w:tcPr>
          <w:p>
            <w:pPr>
              <w:spacing w:after="0" w:line="259" w:lineRule="auto"/>
            </w:pPr>
            <w:r>
              <w:rPr>
                <w:rFonts w:ascii="Calibri" w:hAnsi="Calibri"/>
                <w:color w:val="2C2929"/>
                <w:sz w:val="17"/>
              </w:rPr>
              <w:t>React web</w:t>
            </w:r>
          </w:p>
        </w:tc>
        <w:tc>
          <w:tcPr>
            <w:tcW w:type="dxa" w:w="4920"/>
            <w:vAlign w:val="center"/>
          </w:tcPr>
          <w:p>
            <w:pPr>
              <w:spacing w:after="0" w:line="259" w:lineRule="auto"/>
            </w:pPr>
            <w:r>
              <w:rPr>
                <w:rFonts w:ascii="Calibri" w:hAnsi="Calibri"/>
                <w:color w:val="2C2929"/>
                <w:sz w:val="17"/>
              </w:rPr>
              <w:t>Browser UX, routing, accessible interaction, query cache, optimistic updates.</w:t>
            </w:r>
          </w:p>
        </w:tc>
        <w:tc>
          <w:tcPr>
            <w:tcW w:type="dxa" w:w="2960"/>
            <w:vAlign w:val="center"/>
          </w:tcPr>
          <w:p>
            <w:pPr>
              <w:spacing w:after="0" w:line="259" w:lineRule="auto"/>
            </w:pPr>
            <w:r>
              <w:rPr>
                <w:rFonts w:ascii="Calibri" w:hAnsi="Calibri"/>
                <w:color w:val="2C2929"/>
                <w:sz w:val="17"/>
              </w:rPr>
              <w:t>Never enforce ownership only in the browser.</w:t>
            </w:r>
          </w:p>
        </w:tc>
      </w:tr>
      <w:tr>
        <w:trPr>
          <w:cantSplit/>
        </w:trPr>
        <w:tc>
          <w:tcPr>
            <w:tcW w:type="dxa" w:w="1480"/>
            <w:vAlign w:val="center"/>
          </w:tcPr>
          <w:p>
            <w:pPr>
              <w:spacing w:after="0" w:line="259" w:lineRule="auto"/>
            </w:pPr>
            <w:r>
              <w:rPr>
                <w:rFonts w:ascii="Calibri" w:hAnsi="Calibri"/>
                <w:color w:val="2C2929"/>
                <w:sz w:val="17"/>
              </w:rPr>
              <w:t>Flutter mobile</w:t>
            </w:r>
          </w:p>
        </w:tc>
        <w:tc>
          <w:tcPr>
            <w:tcW w:type="dxa" w:w="4920"/>
            <w:vAlign w:val="center"/>
          </w:tcPr>
          <w:p>
            <w:pPr>
              <w:spacing w:after="0" w:line="259" w:lineRule="auto"/>
            </w:pPr>
            <w:r>
              <w:rPr>
                <w:rFonts w:ascii="Calibri" w:hAnsi="Calibri"/>
                <w:color w:val="2C2929"/>
                <w:sz w:val="17"/>
              </w:rPr>
              <w:t>Native task, chat, bill, notification, and offline-aware experiences.</w:t>
            </w:r>
          </w:p>
        </w:tc>
        <w:tc>
          <w:tcPr>
            <w:tcW w:type="dxa" w:w="2960"/>
            <w:vAlign w:val="center"/>
          </w:tcPr>
          <w:p>
            <w:pPr>
              <w:spacing w:after="0" w:line="259" w:lineRule="auto"/>
            </w:pPr>
            <w:r>
              <w:rPr>
                <w:rFonts w:ascii="Calibri" w:hAnsi="Calibri"/>
                <w:color w:val="2C2929"/>
                <w:sz w:val="17"/>
              </w:rPr>
              <w:t>Consume the same versioned API contract.</w:t>
            </w:r>
          </w:p>
        </w:tc>
      </w:tr>
      <w:tr>
        <w:trPr>
          <w:cantSplit/>
        </w:trPr>
        <w:tc>
          <w:tcPr>
            <w:tcW w:type="dxa" w:w="1480"/>
            <w:vAlign w:val="center"/>
          </w:tcPr>
          <w:p>
            <w:pPr>
              <w:spacing w:after="0" w:line="259" w:lineRule="auto"/>
            </w:pPr>
            <w:r>
              <w:rPr>
                <w:rFonts w:ascii="Calibri" w:hAnsi="Calibri"/>
                <w:color w:val="2C2929"/>
                <w:sz w:val="17"/>
              </w:rPr>
              <w:t>Express API</w:t>
            </w:r>
          </w:p>
        </w:tc>
        <w:tc>
          <w:tcPr>
            <w:tcW w:type="dxa" w:w="4920"/>
            <w:vAlign w:val="center"/>
          </w:tcPr>
          <w:p>
            <w:pPr>
              <w:spacing w:after="0" w:line="259" w:lineRule="auto"/>
            </w:pPr>
            <w:r>
              <w:rPr>
                <w:rFonts w:ascii="Calibri" w:hAnsi="Calibri"/>
                <w:color w:val="2C2929"/>
                <w:sz w:val="17"/>
              </w:rPr>
              <w:t>Authentication, authorization, validation, domain orchestration, REST and Socket.IO entry points.</w:t>
            </w:r>
          </w:p>
        </w:tc>
        <w:tc>
          <w:tcPr>
            <w:tcW w:type="dxa" w:w="2960"/>
            <w:vAlign w:val="center"/>
          </w:tcPr>
          <w:p>
            <w:pPr>
              <w:spacing w:after="0" w:line="259" w:lineRule="auto"/>
            </w:pPr>
            <w:r>
              <w:rPr>
                <w:rFonts w:ascii="Calibri" w:hAnsi="Calibri"/>
                <w:color w:val="2C2929"/>
                <w:sz w:val="17"/>
              </w:rPr>
              <w:t>Keep route handlers thin and testable.</w:t>
            </w:r>
          </w:p>
        </w:tc>
      </w:tr>
      <w:tr>
        <w:trPr>
          <w:cantSplit/>
        </w:trPr>
        <w:tc>
          <w:tcPr>
            <w:tcW w:type="dxa" w:w="1480"/>
            <w:vAlign w:val="center"/>
          </w:tcPr>
          <w:p>
            <w:pPr>
              <w:spacing w:after="0" w:line="259" w:lineRule="auto"/>
            </w:pPr>
            <w:r>
              <w:rPr>
                <w:rFonts w:ascii="Calibri" w:hAnsi="Calibri"/>
                <w:color w:val="2C2929"/>
                <w:sz w:val="17"/>
              </w:rPr>
              <w:t>MongoDB</w:t>
            </w:r>
          </w:p>
        </w:tc>
        <w:tc>
          <w:tcPr>
            <w:tcW w:type="dxa" w:w="4920"/>
            <w:vAlign w:val="center"/>
          </w:tcPr>
          <w:p>
            <w:pPr>
              <w:spacing w:after="0" w:line="259" w:lineRule="auto"/>
            </w:pPr>
            <w:r>
              <w:rPr>
                <w:rFonts w:ascii="Calibri" w:hAnsi="Calibri"/>
                <w:color w:val="2C2929"/>
                <w:sz w:val="17"/>
              </w:rPr>
              <w:t>Primary durable store for users, teams, tasks, conversations, messages, bills, and audit records.</w:t>
            </w:r>
          </w:p>
        </w:tc>
        <w:tc>
          <w:tcPr>
            <w:tcW w:type="dxa" w:w="2960"/>
            <w:vAlign w:val="center"/>
          </w:tcPr>
          <w:p>
            <w:pPr>
              <w:spacing w:after="0" w:line="259" w:lineRule="auto"/>
            </w:pPr>
            <w:r>
              <w:rPr>
                <w:rFonts w:ascii="Calibri" w:hAnsi="Calibri"/>
                <w:color w:val="2C2929"/>
                <w:sz w:val="17"/>
              </w:rPr>
              <w:t>Indexes reflect access and retention patterns.</w:t>
            </w:r>
          </w:p>
        </w:tc>
      </w:tr>
      <w:tr>
        <w:trPr>
          <w:cantSplit/>
        </w:trPr>
        <w:tc>
          <w:tcPr>
            <w:tcW w:type="dxa" w:w="1480"/>
            <w:vAlign w:val="center"/>
          </w:tcPr>
          <w:p>
            <w:pPr>
              <w:spacing w:after="0" w:line="259" w:lineRule="auto"/>
            </w:pPr>
            <w:r>
              <w:rPr>
                <w:rFonts w:ascii="Calibri" w:hAnsi="Calibri"/>
                <w:color w:val="2C2929"/>
                <w:sz w:val="17"/>
              </w:rPr>
              <w:t>Redis and workers</w:t>
            </w:r>
          </w:p>
        </w:tc>
        <w:tc>
          <w:tcPr>
            <w:tcW w:type="dxa" w:w="4920"/>
            <w:vAlign w:val="center"/>
          </w:tcPr>
          <w:p>
            <w:pPr>
              <w:spacing w:after="0" w:line="259" w:lineRule="auto"/>
            </w:pPr>
            <w:r>
              <w:rPr>
                <w:rFonts w:ascii="Calibri" w:hAnsi="Calibri"/>
                <w:color w:val="2C2929"/>
                <w:sz w:val="17"/>
              </w:rPr>
              <w:t>Queues, idempotency, rate-limit counters, reminder schedules, and realtime fan-out when scaled.</w:t>
            </w:r>
          </w:p>
        </w:tc>
        <w:tc>
          <w:tcPr>
            <w:tcW w:type="dxa" w:w="2960"/>
            <w:vAlign w:val="center"/>
          </w:tcPr>
          <w:p>
            <w:pPr>
              <w:spacing w:after="0" w:line="259" w:lineRule="auto"/>
            </w:pPr>
            <w:r>
              <w:rPr>
                <w:rFonts w:ascii="Calibri" w:hAnsi="Calibri"/>
                <w:color w:val="2C2929"/>
                <w:sz w:val="17"/>
              </w:rPr>
              <w:t>Jobs must be retry-safe.</w:t>
            </w:r>
          </w:p>
        </w:tc>
      </w:tr>
      <w:tr>
        <w:trPr>
          <w:cantSplit/>
        </w:trPr>
        <w:tc>
          <w:tcPr>
            <w:tcW w:type="dxa" w:w="1480"/>
            <w:vAlign w:val="center"/>
          </w:tcPr>
          <w:p>
            <w:pPr>
              <w:spacing w:after="0" w:line="259" w:lineRule="auto"/>
            </w:pPr>
            <w:r>
              <w:rPr>
                <w:rFonts w:ascii="Calibri" w:hAnsi="Calibri"/>
                <w:color w:val="2C2929"/>
                <w:sz w:val="17"/>
              </w:rPr>
              <w:t>Object storage</w:t>
            </w:r>
          </w:p>
        </w:tc>
        <w:tc>
          <w:tcPr>
            <w:tcW w:type="dxa" w:w="4920"/>
            <w:vAlign w:val="center"/>
          </w:tcPr>
          <w:p>
            <w:pPr>
              <w:spacing w:after="0" w:line="259" w:lineRule="auto"/>
            </w:pPr>
            <w:r>
              <w:rPr>
                <w:rFonts w:ascii="Calibri" w:hAnsi="Calibri"/>
                <w:color w:val="2C2929"/>
                <w:sz w:val="17"/>
              </w:rPr>
              <w:t>Source documents, message attachments, and bill receipts.</w:t>
            </w:r>
          </w:p>
        </w:tc>
        <w:tc>
          <w:tcPr>
            <w:tcW w:type="dxa" w:w="2960"/>
            <w:vAlign w:val="center"/>
          </w:tcPr>
          <w:p>
            <w:pPr>
              <w:spacing w:after="0" w:line="259" w:lineRule="auto"/>
            </w:pPr>
            <w:r>
              <w:rPr>
                <w:rFonts w:ascii="Calibri" w:hAnsi="Calibri"/>
                <w:color w:val="2C2929"/>
                <w:sz w:val="17"/>
              </w:rPr>
              <w:t>Private by default; access through short-lived signed URLs.</w:t>
            </w:r>
          </w:p>
        </w:tc>
      </w:tr>
      <w:tr>
        <w:trPr>
          <w:cantSplit/>
        </w:trPr>
        <w:tc>
          <w:tcPr>
            <w:tcW w:type="dxa" w:w="1480"/>
            <w:vAlign w:val="center"/>
          </w:tcPr>
          <w:p>
            <w:pPr>
              <w:spacing w:after="0" w:line="259" w:lineRule="auto"/>
            </w:pPr>
            <w:r>
              <w:rPr>
                <w:rFonts w:ascii="Calibri" w:hAnsi="Calibri"/>
                <w:color w:val="2C2929"/>
                <w:sz w:val="17"/>
              </w:rPr>
              <w:t>AI adapter</w:t>
            </w:r>
          </w:p>
        </w:tc>
        <w:tc>
          <w:tcPr>
            <w:tcW w:type="dxa" w:w="4920"/>
            <w:vAlign w:val="center"/>
          </w:tcPr>
          <w:p>
            <w:pPr>
              <w:spacing w:after="0" w:line="259" w:lineRule="auto"/>
            </w:pPr>
            <w:r>
              <w:rPr>
                <w:rFonts w:ascii="Calibri" w:hAnsi="Calibri"/>
                <w:color w:val="2C2929"/>
                <w:sz w:val="17"/>
              </w:rPr>
              <w:t>Provider-neutral extraction-to-structured-plan pipeline.</w:t>
            </w:r>
          </w:p>
        </w:tc>
        <w:tc>
          <w:tcPr>
            <w:tcW w:type="dxa" w:w="2960"/>
            <w:vAlign w:val="center"/>
          </w:tcPr>
          <w:p>
            <w:pPr>
              <w:spacing w:after="0" w:line="259" w:lineRule="auto"/>
            </w:pPr>
            <w:r>
              <w:rPr>
                <w:rFonts w:ascii="Calibri" w:hAnsi="Calibri"/>
                <w:color w:val="2C2929"/>
                <w:sz w:val="17"/>
              </w:rPr>
              <w:t>Validate model output before persistence.</w:t>
            </w:r>
          </w:p>
        </w:tc>
      </w:tr>
    </w:tbl>
    <w:p>
      <w:pPr>
        <w:keepNext w:val="0"/>
        <w:spacing w:before="0" w:after="40"/>
      </w:pPr>
      <w:r>
        <w:rPr>
          <w:rFonts w:ascii="Calibri" w:hAnsi="Calibri"/>
          <w:b w:val="0"/>
          <w:i w:val="0"/>
          <w:color w:val="2C2929"/>
        </w:rPr>
      </w:r>
    </w:p>
    <w:p>
      <w:pPr>
        <w:pStyle w:val="Heading2"/>
      </w:pPr>
      <w:r>
        <w:t>Backend module layout</w:t>
      </w:r>
    </w:p>
    <w:p>
      <w:pPr>
        <w:keepNext w:val="0"/>
        <w:spacing w:before="0" w:after="120"/>
      </w:pPr>
      <w:r>
        <w:rPr>
          <w:rFonts w:ascii="Calibri" w:hAnsi="Calibri"/>
          <w:b w:val="0"/>
          <w:i w:val="0"/>
          <w:color w:val="2C2929"/>
        </w:rPr>
        <w:t>A modular monolith is appropriate for the first production release. It keeps transactions, deployment, and debugging simple while preserving clear service boundaries that can be extracted later if scale requires it.</w:t>
      </w:r>
    </w:p>
    <w:p>
      <w:pPr>
        <w:pStyle w:val="CodeBlock"/>
        <w:keepNext w:val="0"/>
        <w:spacing w:before="0" w:after="120"/>
      </w:pPr>
      <w:r>
        <w:rPr>
          <w:rFonts w:ascii="Calibri" w:hAnsi="Calibri"/>
          <w:b w:val="0"/>
          <w:i w:val="0"/>
          <w:color w:val="2C2929"/>
        </w:rPr>
        <w:t>server/src/</w:t>
        <w:br/>
        <w:t xml:space="preserve">  config/          environment, database, logging</w:t>
        <w:br/>
        <w:t xml:space="preserve">  middleware/      auth, RBAC, validation, rate limits, errors</w:t>
        <w:br/>
        <w:t xml:space="preserve">  modules/</w:t>
        <w:br/>
        <w:t xml:space="preserve">    auth/ users/ teams/ tasks/ conversations/ bills/</w:t>
        <w:br/>
        <w:t xml:space="preserve">    ai-plans/ notifications/ files/ audit/</w:t>
        <w:br/>
        <w:t xml:space="preserve">  realtime/        authenticated Socket.IO handlers</w:t>
        <w:br/>
        <w:t xml:space="preserve">  jobs/            queue producers and worker processors</w:t>
        <w:br/>
        <w:t xml:space="preserve">  shared/          errors, pagination, schemas, utilities</w:t>
        <w:br/>
        <w:t xml:space="preserve">  app.js           Express composition</w:t>
        <w:br/>
        <w:t xml:space="preserve">  server.js        process startup and graceful shutdown</w:t>
      </w:r>
    </w:p>
    <w:p>
      <w:pPr>
        <w:pStyle w:val="Heading1"/>
      </w:pPr>
      <w:r>
        <w:t>4. Domain model and persistence design</w:t>
      </w:r>
    </w:p>
    <w:p>
      <w:pPr>
        <w:keepNext w:val="0"/>
        <w:spacing w:before="0" w:after="120"/>
      </w:pPr>
      <w:r>
        <w:rPr>
          <w:rFonts w:ascii="Calibri" w:hAnsi="Calibri"/>
          <w:b w:val="0"/>
          <w:i w:val="0"/>
          <w:color w:val="2C2929"/>
        </w:rPr>
        <w:t>Existing Mongoose models should be retained where practical, then tightened with indexes, status transition rules, timestamps, soft-deletion policy where needed, and service-level authorization.</w:t>
      </w:r>
    </w:p>
    <w:p>
      <w:pPr>
        <w:pStyle w:val="Heading2"/>
      </w:pPr>
      <w:r>
        <w:t>Core collections</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1500"/>
        <w:gridCol w:w="3180"/>
        <w:gridCol w:w="4680"/>
      </w:tblGrid>
      <w:tr>
        <w:trPr>
          <w:cantSplit/>
          <w:tblHeader w:val="true"/>
        </w:trPr>
        <w:tc>
          <w:tcPr>
            <w:tcW w:type="dxa" w:w="1500"/>
            <w:tcMar>
              <w:top w:w="80" w:type="dxa"/>
              <w:start w:w="120" w:type="dxa"/>
              <w:bottom w:w="80" w:type="dxa"/>
              <w:end w:w="120" w:type="dxa"/>
            </w:tcMar>
            <w:shd w:fill="F4E8EA"/>
            <w:vAlign w:val="center"/>
          </w:tcPr>
          <w:p>
            <w:pPr>
              <w:spacing w:after="0"/>
            </w:pPr>
            <w:r>
              <w:rPr>
                <w:rFonts w:ascii="Calibri" w:hAnsi="Calibri"/>
                <w:b/>
                <w:color w:val="70000E"/>
                <w:sz w:val="17"/>
              </w:rPr>
              <w:t>Collection</w:t>
            </w:r>
          </w:p>
        </w:tc>
        <w:tc>
          <w:tcPr>
            <w:tcW w:type="dxa" w:w="3180"/>
            <w:tcMar>
              <w:top w:w="80" w:type="dxa"/>
              <w:start w:w="120" w:type="dxa"/>
              <w:bottom w:w="80" w:type="dxa"/>
              <w:end w:w="120" w:type="dxa"/>
            </w:tcMar>
            <w:shd w:fill="F4E8EA"/>
            <w:vAlign w:val="center"/>
          </w:tcPr>
          <w:p>
            <w:pPr>
              <w:spacing w:after="0"/>
            </w:pPr>
            <w:r>
              <w:rPr>
                <w:rFonts w:ascii="Calibri" w:hAnsi="Calibri"/>
                <w:b/>
                <w:color w:val="70000E"/>
                <w:sz w:val="17"/>
              </w:rPr>
              <w:t>Purpose</w:t>
            </w:r>
          </w:p>
        </w:tc>
        <w:tc>
          <w:tcPr>
            <w:tcW w:type="dxa" w:w="4680"/>
            <w:tcMar>
              <w:top w:w="80" w:type="dxa"/>
              <w:start w:w="120" w:type="dxa"/>
              <w:bottom w:w="80" w:type="dxa"/>
              <w:end w:w="120" w:type="dxa"/>
            </w:tcMar>
            <w:shd w:fill="F4E8EA"/>
            <w:vAlign w:val="center"/>
          </w:tcPr>
          <w:p>
            <w:pPr>
              <w:spacing w:after="0"/>
            </w:pPr>
            <w:r>
              <w:rPr>
                <w:rFonts w:ascii="Calibri" w:hAnsi="Calibri"/>
                <w:b/>
                <w:color w:val="70000E"/>
                <w:sz w:val="17"/>
              </w:rPr>
              <w:t>Important fields / indexes</w:t>
            </w:r>
          </w:p>
        </w:tc>
      </w:tr>
      <w:tr>
        <w:trPr>
          <w:cantSplit/>
        </w:trPr>
        <w:tc>
          <w:tcPr>
            <w:tcW w:type="dxa" w:w="1500"/>
            <w:vAlign w:val="center"/>
          </w:tcPr>
          <w:p>
            <w:pPr>
              <w:spacing w:after="0" w:line="259" w:lineRule="auto"/>
            </w:pPr>
            <w:r>
              <w:rPr>
                <w:rFonts w:ascii="Calibri" w:hAnsi="Calibri"/>
                <w:color w:val="2C2929"/>
                <w:sz w:val="17"/>
              </w:rPr>
              <w:t>users</w:t>
            </w:r>
          </w:p>
        </w:tc>
        <w:tc>
          <w:tcPr>
            <w:tcW w:type="dxa" w:w="3180"/>
            <w:vAlign w:val="center"/>
          </w:tcPr>
          <w:p>
            <w:pPr>
              <w:spacing w:after="0" w:line="259" w:lineRule="auto"/>
            </w:pPr>
            <w:r>
              <w:rPr>
                <w:rFonts w:ascii="Calibri" w:hAnsi="Calibri"/>
                <w:color w:val="2C2929"/>
                <w:sz w:val="17"/>
              </w:rPr>
              <w:t>Identity and personal preferences.</w:t>
            </w:r>
          </w:p>
        </w:tc>
        <w:tc>
          <w:tcPr>
            <w:tcW w:type="dxa" w:w="4680"/>
            <w:vAlign w:val="center"/>
          </w:tcPr>
          <w:p>
            <w:pPr>
              <w:spacing w:after="0" w:line="259" w:lineRule="auto"/>
            </w:pPr>
            <w:r>
              <w:rPr>
                <w:rFonts w:ascii="Calibri" w:hAnsi="Calibri"/>
                <w:color w:val="2C2929"/>
                <w:sz w:val="17"/>
              </w:rPr>
              <w:t>email unique; timezone; currency; onboardingCompleted; authProviders.</w:t>
            </w:r>
          </w:p>
        </w:tc>
      </w:tr>
      <w:tr>
        <w:trPr>
          <w:cantSplit/>
        </w:trPr>
        <w:tc>
          <w:tcPr>
            <w:tcW w:type="dxa" w:w="1500"/>
            <w:vAlign w:val="center"/>
          </w:tcPr>
          <w:p>
            <w:pPr>
              <w:spacing w:after="0" w:line="259" w:lineRule="auto"/>
            </w:pPr>
            <w:r>
              <w:rPr>
                <w:rFonts w:ascii="Calibri" w:hAnsi="Calibri"/>
                <w:color w:val="2C2929"/>
                <w:sz w:val="17"/>
              </w:rPr>
              <w:t>refresh_sessions</w:t>
            </w:r>
          </w:p>
        </w:tc>
        <w:tc>
          <w:tcPr>
            <w:tcW w:type="dxa" w:w="3180"/>
            <w:vAlign w:val="center"/>
          </w:tcPr>
          <w:p>
            <w:pPr>
              <w:spacing w:after="0" w:line="259" w:lineRule="auto"/>
            </w:pPr>
            <w:r>
              <w:rPr>
                <w:rFonts w:ascii="Calibri" w:hAnsi="Calibri"/>
                <w:color w:val="2C2929"/>
                <w:sz w:val="17"/>
              </w:rPr>
              <w:t>Revocable, rotated login sessions.</w:t>
            </w:r>
          </w:p>
        </w:tc>
        <w:tc>
          <w:tcPr>
            <w:tcW w:type="dxa" w:w="4680"/>
            <w:vAlign w:val="center"/>
          </w:tcPr>
          <w:p>
            <w:pPr>
              <w:spacing w:after="0" w:line="259" w:lineRule="auto"/>
            </w:pPr>
            <w:r>
              <w:rPr>
                <w:rFonts w:ascii="Calibri" w:hAnsi="Calibri"/>
                <w:color w:val="2C2929"/>
                <w:sz w:val="17"/>
              </w:rPr>
              <w:t>user, tokenHash, expiresAt TTL, device metadata, revokedAt.</w:t>
            </w:r>
          </w:p>
        </w:tc>
      </w:tr>
      <w:tr>
        <w:trPr>
          <w:cantSplit/>
        </w:trPr>
        <w:tc>
          <w:tcPr>
            <w:tcW w:type="dxa" w:w="1500"/>
            <w:vAlign w:val="center"/>
          </w:tcPr>
          <w:p>
            <w:pPr>
              <w:spacing w:after="0" w:line="259" w:lineRule="auto"/>
            </w:pPr>
            <w:r>
              <w:rPr>
                <w:rFonts w:ascii="Calibri" w:hAnsi="Calibri"/>
                <w:color w:val="2C2929"/>
                <w:sz w:val="17"/>
              </w:rPr>
              <w:t>teams</w:t>
            </w:r>
          </w:p>
        </w:tc>
        <w:tc>
          <w:tcPr>
            <w:tcW w:type="dxa" w:w="3180"/>
            <w:vAlign w:val="center"/>
          </w:tcPr>
          <w:p>
            <w:pPr>
              <w:spacing w:after="0" w:line="259" w:lineRule="auto"/>
            </w:pPr>
            <w:r>
              <w:rPr>
                <w:rFonts w:ascii="Calibri" w:hAnsi="Calibri"/>
                <w:color w:val="2C2929"/>
                <w:sz w:val="17"/>
              </w:rPr>
              <w:t>Workspace ownership and role membership.</w:t>
            </w:r>
          </w:p>
        </w:tc>
        <w:tc>
          <w:tcPr>
            <w:tcW w:type="dxa" w:w="4680"/>
            <w:vAlign w:val="center"/>
          </w:tcPr>
          <w:p>
            <w:pPr>
              <w:spacing w:after="0" w:line="259" w:lineRule="auto"/>
            </w:pPr>
            <w:r>
              <w:rPr>
                <w:rFonts w:ascii="Calibri" w:hAnsi="Calibri"/>
                <w:color w:val="2C2929"/>
                <w:sz w:val="17"/>
              </w:rPr>
              <w:t>owner; members.user; members.role; invitation references.</w:t>
            </w:r>
          </w:p>
        </w:tc>
      </w:tr>
      <w:tr>
        <w:trPr>
          <w:cantSplit/>
        </w:trPr>
        <w:tc>
          <w:tcPr>
            <w:tcW w:type="dxa" w:w="1500"/>
            <w:vAlign w:val="center"/>
          </w:tcPr>
          <w:p>
            <w:pPr>
              <w:spacing w:after="0" w:line="259" w:lineRule="auto"/>
            </w:pPr>
            <w:r>
              <w:rPr>
                <w:rFonts w:ascii="Calibri" w:hAnsi="Calibri"/>
                <w:color w:val="2C2929"/>
                <w:sz w:val="17"/>
              </w:rPr>
              <w:t>tasks</w:t>
            </w:r>
          </w:p>
        </w:tc>
        <w:tc>
          <w:tcPr>
            <w:tcW w:type="dxa" w:w="3180"/>
            <w:vAlign w:val="center"/>
          </w:tcPr>
          <w:p>
            <w:pPr>
              <w:spacing w:after="0" w:line="259" w:lineRule="auto"/>
            </w:pPr>
            <w:r>
              <w:rPr>
                <w:rFonts w:ascii="Calibri" w:hAnsi="Calibri"/>
                <w:color w:val="2C2929"/>
                <w:sz w:val="17"/>
              </w:rPr>
              <w:t>Personal and team work items.</w:t>
            </w:r>
          </w:p>
        </w:tc>
        <w:tc>
          <w:tcPr>
            <w:tcW w:type="dxa" w:w="4680"/>
            <w:vAlign w:val="center"/>
          </w:tcPr>
          <w:p>
            <w:pPr>
              <w:spacing w:after="0" w:line="259" w:lineRule="auto"/>
            </w:pPr>
            <w:r>
              <w:rPr>
                <w:rFonts w:ascii="Calibri" w:hAnsi="Calibri"/>
                <w:color w:val="2C2929"/>
                <w:sz w:val="17"/>
              </w:rPr>
              <w:t>creator, team, assignees, status, priority, dueDate; compound access/status indexes.</w:t>
            </w:r>
          </w:p>
        </w:tc>
      </w:tr>
      <w:tr>
        <w:trPr>
          <w:cantSplit/>
        </w:trPr>
        <w:tc>
          <w:tcPr>
            <w:tcW w:type="dxa" w:w="1500"/>
            <w:vAlign w:val="center"/>
          </w:tcPr>
          <w:p>
            <w:pPr>
              <w:spacing w:after="0" w:line="259" w:lineRule="auto"/>
            </w:pPr>
            <w:r>
              <w:rPr>
                <w:rFonts w:ascii="Calibri" w:hAnsi="Calibri"/>
                <w:color w:val="2C2929"/>
                <w:sz w:val="17"/>
              </w:rPr>
              <w:t>conversations</w:t>
            </w:r>
          </w:p>
        </w:tc>
        <w:tc>
          <w:tcPr>
            <w:tcW w:type="dxa" w:w="3180"/>
            <w:vAlign w:val="center"/>
          </w:tcPr>
          <w:p>
            <w:pPr>
              <w:spacing w:after="0" w:line="259" w:lineRule="auto"/>
            </w:pPr>
            <w:r>
              <w:rPr>
                <w:rFonts w:ascii="Calibri" w:hAnsi="Calibri"/>
                <w:color w:val="2C2929"/>
                <w:sz w:val="17"/>
              </w:rPr>
              <w:t>Direct or channel chat membership.</w:t>
            </w:r>
          </w:p>
        </w:tc>
        <w:tc>
          <w:tcPr>
            <w:tcW w:type="dxa" w:w="4680"/>
            <w:vAlign w:val="center"/>
          </w:tcPr>
          <w:p>
            <w:pPr>
              <w:spacing w:after="0" w:line="259" w:lineRule="auto"/>
            </w:pPr>
            <w:r>
              <w:rPr>
                <w:rFonts w:ascii="Calibri" w:hAnsi="Calibri"/>
                <w:color w:val="2C2929"/>
                <w:sz w:val="17"/>
              </w:rPr>
              <w:t>team, type, members, name, lastMessageAt.</w:t>
            </w:r>
          </w:p>
        </w:tc>
      </w:tr>
      <w:tr>
        <w:trPr>
          <w:cantSplit/>
        </w:trPr>
        <w:tc>
          <w:tcPr>
            <w:tcW w:type="dxa" w:w="1500"/>
            <w:vAlign w:val="center"/>
          </w:tcPr>
          <w:p>
            <w:pPr>
              <w:spacing w:after="0" w:line="259" w:lineRule="auto"/>
            </w:pPr>
            <w:r>
              <w:rPr>
                <w:rFonts w:ascii="Calibri" w:hAnsi="Calibri"/>
                <w:color w:val="2C2929"/>
                <w:sz w:val="17"/>
              </w:rPr>
              <w:t>messages</w:t>
            </w:r>
          </w:p>
        </w:tc>
        <w:tc>
          <w:tcPr>
            <w:tcW w:type="dxa" w:w="3180"/>
            <w:vAlign w:val="center"/>
          </w:tcPr>
          <w:p>
            <w:pPr>
              <w:spacing w:after="0" w:line="259" w:lineRule="auto"/>
            </w:pPr>
            <w:r>
              <w:rPr>
                <w:rFonts w:ascii="Calibri" w:hAnsi="Calibri"/>
                <w:color w:val="2C2929"/>
                <w:sz w:val="17"/>
              </w:rPr>
              <w:t>Persistent user and Kaya messages.</w:t>
            </w:r>
          </w:p>
        </w:tc>
        <w:tc>
          <w:tcPr>
            <w:tcW w:type="dxa" w:w="4680"/>
            <w:vAlign w:val="center"/>
          </w:tcPr>
          <w:p>
            <w:pPr>
              <w:spacing w:after="0" w:line="259" w:lineRule="auto"/>
            </w:pPr>
            <w:r>
              <w:rPr>
                <w:rFonts w:ascii="Calibri" w:hAnsi="Calibri"/>
                <w:color w:val="2C2929"/>
                <w:sz w:val="17"/>
              </w:rPr>
              <w:t>conversation + createdAt; sender; attachments; replyTo; readBy.</w:t>
            </w:r>
          </w:p>
        </w:tc>
      </w:tr>
      <w:tr>
        <w:trPr>
          <w:cantSplit/>
        </w:trPr>
        <w:tc>
          <w:tcPr>
            <w:tcW w:type="dxa" w:w="1500"/>
            <w:vAlign w:val="center"/>
          </w:tcPr>
          <w:p>
            <w:pPr>
              <w:spacing w:after="0" w:line="259" w:lineRule="auto"/>
            </w:pPr>
            <w:r>
              <w:rPr>
                <w:rFonts w:ascii="Calibri" w:hAnsi="Calibri"/>
                <w:color w:val="2C2929"/>
                <w:sz w:val="17"/>
              </w:rPr>
              <w:t>bills</w:t>
            </w:r>
          </w:p>
        </w:tc>
        <w:tc>
          <w:tcPr>
            <w:tcW w:type="dxa" w:w="3180"/>
            <w:vAlign w:val="center"/>
          </w:tcPr>
          <w:p>
            <w:pPr>
              <w:spacing w:after="0" w:line="259" w:lineRule="auto"/>
            </w:pPr>
            <w:r>
              <w:rPr>
                <w:rFonts w:ascii="Calibri" w:hAnsi="Calibri"/>
                <w:color w:val="2C2929"/>
                <w:sz w:val="17"/>
              </w:rPr>
              <w:t>Reminder metadata and payment-status records.</w:t>
            </w:r>
          </w:p>
        </w:tc>
        <w:tc>
          <w:tcPr>
            <w:tcW w:type="dxa" w:w="4680"/>
            <w:vAlign w:val="center"/>
          </w:tcPr>
          <w:p>
            <w:pPr>
              <w:spacing w:after="0" w:line="259" w:lineRule="auto"/>
            </w:pPr>
            <w:r>
              <w:rPr>
                <w:rFonts w:ascii="Calibri" w:hAnsi="Calibri"/>
                <w:color w:val="2C2929"/>
                <w:sz w:val="17"/>
              </w:rPr>
              <w:t>user + dueDate; status; cycle; officialPaymentUrl; paidAt.</w:t>
            </w:r>
          </w:p>
        </w:tc>
      </w:tr>
      <w:tr>
        <w:trPr>
          <w:cantSplit/>
        </w:trPr>
        <w:tc>
          <w:tcPr>
            <w:tcW w:type="dxa" w:w="1500"/>
            <w:vAlign w:val="center"/>
          </w:tcPr>
          <w:p>
            <w:pPr>
              <w:spacing w:after="0" w:line="259" w:lineRule="auto"/>
            </w:pPr>
            <w:r>
              <w:rPr>
                <w:rFonts w:ascii="Calibri" w:hAnsi="Calibri"/>
                <w:color w:val="2C2929"/>
                <w:sz w:val="17"/>
              </w:rPr>
              <w:t>file_assets</w:t>
            </w:r>
          </w:p>
        </w:tc>
        <w:tc>
          <w:tcPr>
            <w:tcW w:type="dxa" w:w="3180"/>
            <w:vAlign w:val="center"/>
          </w:tcPr>
          <w:p>
            <w:pPr>
              <w:spacing w:after="0" w:line="259" w:lineRule="auto"/>
            </w:pPr>
            <w:r>
              <w:rPr>
                <w:rFonts w:ascii="Calibri" w:hAnsi="Calibri"/>
                <w:color w:val="2C2929"/>
                <w:sz w:val="17"/>
              </w:rPr>
              <w:t>Private uploaded-file metadata.</w:t>
            </w:r>
          </w:p>
        </w:tc>
        <w:tc>
          <w:tcPr>
            <w:tcW w:type="dxa" w:w="4680"/>
            <w:vAlign w:val="center"/>
          </w:tcPr>
          <w:p>
            <w:pPr>
              <w:spacing w:after="0" w:line="259" w:lineRule="auto"/>
            </w:pPr>
            <w:r>
              <w:rPr>
                <w:rFonts w:ascii="Calibri" w:hAnsi="Calibri"/>
                <w:color w:val="2C2929"/>
                <w:sz w:val="17"/>
              </w:rPr>
              <w:t>owner/team, storageKey, sha256, mimeType, scanStatus, retentionUntil.</w:t>
            </w:r>
          </w:p>
        </w:tc>
      </w:tr>
      <w:tr>
        <w:trPr>
          <w:cantSplit/>
        </w:trPr>
        <w:tc>
          <w:tcPr>
            <w:tcW w:type="dxa" w:w="1500"/>
            <w:vAlign w:val="center"/>
          </w:tcPr>
          <w:p>
            <w:pPr>
              <w:spacing w:after="0" w:line="259" w:lineRule="auto"/>
            </w:pPr>
            <w:r>
              <w:rPr>
                <w:rFonts w:ascii="Calibri" w:hAnsi="Calibri"/>
                <w:color w:val="2C2929"/>
                <w:sz w:val="17"/>
              </w:rPr>
              <w:t>ai_plans</w:t>
            </w:r>
          </w:p>
        </w:tc>
        <w:tc>
          <w:tcPr>
            <w:tcW w:type="dxa" w:w="3180"/>
            <w:vAlign w:val="center"/>
          </w:tcPr>
          <w:p>
            <w:pPr>
              <w:spacing w:after="0" w:line="259" w:lineRule="auto"/>
            </w:pPr>
            <w:r>
              <w:rPr>
                <w:rFonts w:ascii="Calibri" w:hAnsi="Calibri"/>
                <w:color w:val="2C2929"/>
                <w:sz w:val="17"/>
              </w:rPr>
              <w:t>AI plan drafts and provenance.</w:t>
            </w:r>
          </w:p>
        </w:tc>
        <w:tc>
          <w:tcPr>
            <w:tcW w:type="dxa" w:w="4680"/>
            <w:vAlign w:val="center"/>
          </w:tcPr>
          <w:p>
            <w:pPr>
              <w:spacing w:after="0" w:line="259" w:lineRule="auto"/>
            </w:pPr>
            <w:r>
              <w:rPr>
                <w:rFonts w:ascii="Calibri" w:hAnsi="Calibri"/>
                <w:color w:val="2C2929"/>
                <w:sz w:val="17"/>
              </w:rPr>
              <w:t>sourceFile, requester, inputHash, model metadata, structured draft, status.</w:t>
            </w:r>
          </w:p>
        </w:tc>
      </w:tr>
      <w:tr>
        <w:trPr>
          <w:cantSplit/>
        </w:trPr>
        <w:tc>
          <w:tcPr>
            <w:tcW w:type="dxa" w:w="1500"/>
            <w:vAlign w:val="center"/>
          </w:tcPr>
          <w:p>
            <w:pPr>
              <w:spacing w:after="0" w:line="259" w:lineRule="auto"/>
            </w:pPr>
            <w:r>
              <w:rPr>
                <w:rFonts w:ascii="Calibri" w:hAnsi="Calibri"/>
                <w:color w:val="2C2929"/>
                <w:sz w:val="17"/>
              </w:rPr>
              <w:t>notifications</w:t>
            </w:r>
          </w:p>
        </w:tc>
        <w:tc>
          <w:tcPr>
            <w:tcW w:type="dxa" w:w="3180"/>
            <w:vAlign w:val="center"/>
          </w:tcPr>
          <w:p>
            <w:pPr>
              <w:spacing w:after="0" w:line="259" w:lineRule="auto"/>
            </w:pPr>
            <w:r>
              <w:rPr>
                <w:rFonts w:ascii="Calibri" w:hAnsi="Calibri"/>
                <w:color w:val="2C2929"/>
                <w:sz w:val="17"/>
              </w:rPr>
              <w:t>In-app, email, and push delivery state.</w:t>
            </w:r>
          </w:p>
        </w:tc>
        <w:tc>
          <w:tcPr>
            <w:tcW w:type="dxa" w:w="4680"/>
            <w:vAlign w:val="center"/>
          </w:tcPr>
          <w:p>
            <w:pPr>
              <w:spacing w:after="0" w:line="259" w:lineRule="auto"/>
            </w:pPr>
            <w:r>
              <w:rPr>
                <w:rFonts w:ascii="Calibri" w:hAnsi="Calibri"/>
                <w:color w:val="2C2929"/>
                <w:sz w:val="17"/>
              </w:rPr>
              <w:t>user + readAt; channel; scheduledFor; dedupeKey.</w:t>
            </w:r>
          </w:p>
        </w:tc>
      </w:tr>
      <w:tr>
        <w:trPr>
          <w:cantSplit/>
        </w:trPr>
        <w:tc>
          <w:tcPr>
            <w:tcW w:type="dxa" w:w="1500"/>
            <w:vAlign w:val="center"/>
          </w:tcPr>
          <w:p>
            <w:pPr>
              <w:spacing w:after="0" w:line="259" w:lineRule="auto"/>
            </w:pPr>
            <w:r>
              <w:rPr>
                <w:rFonts w:ascii="Calibri" w:hAnsi="Calibri"/>
                <w:color w:val="2C2929"/>
                <w:sz w:val="17"/>
              </w:rPr>
              <w:t>audit_events</w:t>
            </w:r>
          </w:p>
        </w:tc>
        <w:tc>
          <w:tcPr>
            <w:tcW w:type="dxa" w:w="3180"/>
            <w:vAlign w:val="center"/>
          </w:tcPr>
          <w:p>
            <w:pPr>
              <w:spacing w:after="0" w:line="259" w:lineRule="auto"/>
            </w:pPr>
            <w:r>
              <w:rPr>
                <w:rFonts w:ascii="Calibri" w:hAnsi="Calibri"/>
                <w:color w:val="2C2929"/>
                <w:sz w:val="17"/>
              </w:rPr>
              <w:t>Security and high-value business actions.</w:t>
            </w:r>
          </w:p>
        </w:tc>
        <w:tc>
          <w:tcPr>
            <w:tcW w:type="dxa" w:w="4680"/>
            <w:vAlign w:val="center"/>
          </w:tcPr>
          <w:p>
            <w:pPr>
              <w:spacing w:after="0" w:line="259" w:lineRule="auto"/>
            </w:pPr>
            <w:r>
              <w:rPr>
                <w:rFonts w:ascii="Calibri" w:hAnsi="Calibri"/>
                <w:color w:val="2C2929"/>
                <w:sz w:val="17"/>
              </w:rPr>
              <w:t>actor, action, resourceType/id, requestId, timestamp, metadata.</w:t>
            </w:r>
          </w:p>
        </w:tc>
      </w:tr>
    </w:tbl>
    <w:p>
      <w:pPr>
        <w:keepNext w:val="0"/>
        <w:spacing w:before="0" w:after="40"/>
      </w:pPr>
      <w:r>
        <w:rPr>
          <w:rFonts w:ascii="Calibri" w:hAnsi="Calibri"/>
          <w:b w:val="0"/>
          <w:i w:val="0"/>
          <w:color w:val="2C2929"/>
        </w:rPr>
      </w:r>
    </w:p>
    <w:p>
      <w:pPr>
        <w:pStyle w:val="Heading2"/>
      </w:pPr>
      <w:r>
        <w:t>Task lifecycle</w:t>
      </w:r>
    </w:p>
    <w:p>
      <w:pPr>
        <w:keepNext w:val="0"/>
        <w:spacing w:before="0" w:after="120"/>
      </w:pPr>
      <w:r>
        <w:rPr>
          <w:rFonts w:ascii="Calibri" w:hAnsi="Calibri"/>
          <w:b w:val="0"/>
          <w:i w:val="0"/>
          <w:color w:val="2C2929"/>
        </w:rPr>
        <w:t>Recommended state transitions:</w:t>
      </w:r>
    </w:p>
    <w:p>
      <w:pPr>
        <w:pStyle w:val="CodeBlock"/>
        <w:keepNext w:val="0"/>
        <w:spacing w:before="0" w:after="120"/>
      </w:pPr>
      <w:r>
        <w:rPr>
          <w:rFonts w:ascii="Calibri" w:hAnsi="Calibri"/>
          <w:b w:val="0"/>
          <w:i w:val="0"/>
          <w:color w:val="2C2929"/>
        </w:rPr>
        <w:t>todo -&gt; requested/assigned -&gt; in-progress -&gt; review -&gt; done</w:t>
      </w:r>
    </w:p>
    <w:p>
      <w:pPr>
        <w:pStyle w:val="ListBullet"/>
        <w:keepLines/>
      </w:pPr>
      <w:r>
        <w:t>Personal tasks may move directly from todo to in-progress or done.</w:t>
      </w:r>
    </w:p>
    <w:p>
      <w:pPr>
        <w:pStyle w:val="ListBullet"/>
        <w:keepLines/>
      </w:pPr>
      <w:r>
        <w:t>Team assignments require team membership; request mode requires explicit acceptance before assigned.</w:t>
      </w:r>
    </w:p>
    <w:p>
      <w:pPr>
        <w:pStyle w:val="ListBullet"/>
        <w:keepLines/>
      </w:pPr>
      <w:r>
        <w:t>Only the creator, authorized manager, or designated assignee may perform allowed transitions.</w:t>
      </w:r>
    </w:p>
    <w:p>
      <w:pPr>
        <w:pStyle w:val="ListBullet"/>
        <w:keepLines/>
      </w:pPr>
      <w:r>
        <w:t>Completing a task sets progress to 100; reopening it restores the previous non-final progress or a configured default.</w:t>
      </w:r>
    </w:p>
    <w:p>
      <w:pPr>
        <w:pStyle w:val="ListBullet"/>
        <w:keepLines/>
      </w:pPr>
      <w:r>
        <w:t>Every transition emits a domain event for notifications, activity history, and realtime updates.</w:t>
      </w:r>
    </w:p>
    <w:p>
      <w:pPr>
        <w:pStyle w:val="Heading2"/>
      </w:pPr>
      <w:r>
        <w:t>Data consistency rules</w:t>
      </w:r>
    </w:p>
    <w:p>
      <w:pPr>
        <w:pStyle w:val="ListBullet"/>
        <w:keepLines/>
      </w:pPr>
      <w:r>
        <w:t>Store money as Decimal128 and serialize it through a deliberate decimal-to-string boundary; never use binary floating point for persisted amounts.</w:t>
      </w:r>
    </w:p>
    <w:p>
      <w:pPr>
        <w:pStyle w:val="ListBullet"/>
        <w:keepLines/>
      </w:pPr>
      <w:r>
        <w:t>Store timestamps in UTC and render using the user's IANA timezone (Asia/Manila is the current default).</w:t>
      </w:r>
    </w:p>
    <w:p>
      <w:pPr>
        <w:pStyle w:val="ListBullet"/>
        <w:keepLines/>
      </w:pPr>
      <w:r>
        <w:t>Use cursor pagination for high-volume messages and activity feeds; retain page pagination for moderate task lists if the UI depends on page counts.</w:t>
      </w:r>
    </w:p>
    <w:p>
      <w:pPr>
        <w:pStyle w:val="ListBullet"/>
        <w:keepLines/>
      </w:pPr>
      <w:r>
        <w:t>Use idempotency keys for AI confirmation, bill status updates, invitations, and retryable write operations.</w:t>
      </w:r>
    </w:p>
    <w:p>
      <w:pPr>
        <w:pStyle w:val="ListBullet"/>
        <w:keepLines/>
      </w:pPr>
      <w:r>
        <w:t>Do not hard-delete audit events. Define explicit retention for files, messages, notifications, and inactive accounts.</w:t>
      </w:r>
    </w:p>
    <w:p>
      <w:pPr>
        <w:pStyle w:val="Heading1"/>
      </w:pPr>
      <w:r>
        <w:t>5. Backend services and API contract</w:t>
      </w:r>
    </w:p>
    <w:p>
      <w:pPr>
        <w:pStyle w:val="Heading2"/>
      </w:pPr>
      <w:r>
        <w:t>API conventions</w:t>
      </w:r>
    </w:p>
    <w:p>
      <w:pPr>
        <w:pStyle w:val="ListBullet"/>
        <w:keepLines/>
      </w:pPr>
      <w:r>
        <w:t>Prefix production endpoints with /api/v1; keep /api/health for platform checks.</w:t>
      </w:r>
    </w:p>
    <w:p>
      <w:pPr>
        <w:pStyle w:val="ListBullet"/>
        <w:keepLines/>
      </w:pPr>
      <w:r>
        <w:t>Validate params, query, and body at the edge with shared schemas; reject unknown fields on sensitive writes.</w:t>
      </w:r>
    </w:p>
    <w:p>
      <w:pPr>
        <w:pStyle w:val="ListBullet"/>
        <w:keepLines/>
      </w:pPr>
      <w:r>
        <w:t>Return a consistent error envelope: code, message, details, and requestId.</w:t>
      </w:r>
    </w:p>
    <w:p>
      <w:pPr>
        <w:pStyle w:val="ListBullet"/>
        <w:keepLines/>
      </w:pPr>
      <w:r>
        <w:t>Use ISO 8601 timestamps, stable enum values, and explicit decimal serialization.</w:t>
      </w:r>
    </w:p>
    <w:p>
      <w:pPr>
        <w:pStyle w:val="ListBullet"/>
        <w:keepLines/>
      </w:pPr>
      <w:r>
        <w:t>Publish an OpenAPI document and generate typed web/mobile clients from the same contract where practical.</w:t>
      </w:r>
    </w:p>
    <w:p>
      <w:pPr>
        <w:pStyle w:val="Heading2"/>
      </w:pPr>
      <w:r>
        <w:t>Endpoint inventory</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1160"/>
        <w:gridCol w:w="4250"/>
        <w:gridCol w:w="3950"/>
      </w:tblGrid>
      <w:tr>
        <w:trPr>
          <w:cantSplit/>
          <w:tblHeader w:val="true"/>
        </w:trPr>
        <w:tc>
          <w:tcPr>
            <w:tcW w:type="dxa" w:w="1160"/>
            <w:tcMar>
              <w:top w:w="80" w:type="dxa"/>
              <w:start w:w="120" w:type="dxa"/>
              <w:bottom w:w="80" w:type="dxa"/>
              <w:end w:w="120" w:type="dxa"/>
            </w:tcMar>
            <w:shd w:fill="F4E8EA"/>
            <w:vAlign w:val="center"/>
          </w:tcPr>
          <w:p>
            <w:pPr>
              <w:spacing w:after="0"/>
            </w:pPr>
            <w:r>
              <w:rPr>
                <w:rFonts w:ascii="Calibri" w:hAnsi="Calibri"/>
                <w:b/>
                <w:color w:val="70000E"/>
                <w:sz w:val="16"/>
              </w:rPr>
              <w:t>Module</w:t>
            </w:r>
          </w:p>
        </w:tc>
        <w:tc>
          <w:tcPr>
            <w:tcW w:type="dxa" w:w="4250"/>
            <w:tcMar>
              <w:top w:w="80" w:type="dxa"/>
              <w:start w:w="120" w:type="dxa"/>
              <w:bottom w:w="80" w:type="dxa"/>
              <w:end w:w="120" w:type="dxa"/>
            </w:tcMar>
            <w:shd w:fill="F4E8EA"/>
            <w:vAlign w:val="center"/>
          </w:tcPr>
          <w:p>
            <w:pPr>
              <w:spacing w:after="0"/>
            </w:pPr>
            <w:r>
              <w:rPr>
                <w:rFonts w:ascii="Calibri" w:hAnsi="Calibri"/>
                <w:b/>
                <w:color w:val="70000E"/>
                <w:sz w:val="16"/>
              </w:rPr>
              <w:t>Endpoints</w:t>
            </w:r>
          </w:p>
        </w:tc>
        <w:tc>
          <w:tcPr>
            <w:tcW w:type="dxa" w:w="3950"/>
            <w:tcMar>
              <w:top w:w="80" w:type="dxa"/>
              <w:start w:w="120" w:type="dxa"/>
              <w:bottom w:w="80" w:type="dxa"/>
              <w:end w:w="120" w:type="dxa"/>
            </w:tcMar>
            <w:shd w:fill="F4E8EA"/>
            <w:vAlign w:val="center"/>
          </w:tcPr>
          <w:p>
            <w:pPr>
              <w:spacing w:after="0"/>
            </w:pPr>
            <w:r>
              <w:rPr>
                <w:rFonts w:ascii="Calibri" w:hAnsi="Calibri"/>
                <w:b/>
                <w:color w:val="70000E"/>
                <w:sz w:val="16"/>
              </w:rPr>
              <w:t>Status / notes</w:t>
            </w:r>
          </w:p>
        </w:tc>
      </w:tr>
      <w:tr>
        <w:trPr>
          <w:cantSplit/>
        </w:trPr>
        <w:tc>
          <w:tcPr>
            <w:tcW w:type="dxa" w:w="1160"/>
            <w:vAlign w:val="center"/>
          </w:tcPr>
          <w:p>
            <w:pPr>
              <w:spacing w:after="0" w:line="259" w:lineRule="auto"/>
            </w:pPr>
            <w:r>
              <w:rPr>
                <w:rFonts w:ascii="Calibri" w:hAnsi="Calibri"/>
                <w:color w:val="2C2929"/>
                <w:sz w:val="16"/>
              </w:rPr>
              <w:t>Health</w:t>
            </w:r>
          </w:p>
        </w:tc>
        <w:tc>
          <w:tcPr>
            <w:tcW w:type="dxa" w:w="4250"/>
            <w:vAlign w:val="center"/>
          </w:tcPr>
          <w:p>
            <w:pPr>
              <w:spacing w:after="0" w:line="259" w:lineRule="auto"/>
            </w:pPr>
            <w:r>
              <w:rPr>
                <w:rFonts w:ascii="Calibri" w:hAnsi="Calibri"/>
                <w:color w:val="2C2929"/>
                <w:sz w:val="16"/>
              </w:rPr>
              <w:t>GET /api/health</w:t>
            </w:r>
          </w:p>
        </w:tc>
        <w:tc>
          <w:tcPr>
            <w:tcW w:type="dxa" w:w="3950"/>
            <w:vAlign w:val="center"/>
          </w:tcPr>
          <w:p>
            <w:pPr>
              <w:spacing w:after="0" w:line="259" w:lineRule="auto"/>
            </w:pPr>
            <w:r>
              <w:rPr>
                <w:rFonts w:ascii="Calibri" w:hAnsi="Calibri"/>
                <w:color w:val="2C2929"/>
                <w:sz w:val="16"/>
              </w:rPr>
              <w:t>Existing; add readiness checks separately from liveness.</w:t>
            </w:r>
          </w:p>
        </w:tc>
      </w:tr>
      <w:tr>
        <w:trPr>
          <w:cantSplit/>
        </w:trPr>
        <w:tc>
          <w:tcPr>
            <w:tcW w:type="dxa" w:w="1160"/>
            <w:vAlign w:val="center"/>
          </w:tcPr>
          <w:p>
            <w:pPr>
              <w:spacing w:after="0" w:line="259" w:lineRule="auto"/>
            </w:pPr>
            <w:r>
              <w:rPr>
                <w:rFonts w:ascii="Calibri" w:hAnsi="Calibri"/>
                <w:color w:val="2C2929"/>
                <w:sz w:val="16"/>
              </w:rPr>
              <w:t>Auth</w:t>
            </w:r>
          </w:p>
        </w:tc>
        <w:tc>
          <w:tcPr>
            <w:tcW w:type="dxa" w:w="4250"/>
            <w:vAlign w:val="center"/>
          </w:tcPr>
          <w:p>
            <w:pPr>
              <w:spacing w:after="0" w:line="259" w:lineRule="auto"/>
            </w:pPr>
            <w:r>
              <w:rPr>
                <w:rFonts w:ascii="Calibri" w:hAnsi="Calibri"/>
                <w:color w:val="2C2929"/>
                <w:sz w:val="16"/>
              </w:rPr>
              <w:t>POST /auth/register, /login; GET /auth/me</w:t>
            </w:r>
          </w:p>
        </w:tc>
        <w:tc>
          <w:tcPr>
            <w:tcW w:type="dxa" w:w="3950"/>
            <w:vAlign w:val="center"/>
          </w:tcPr>
          <w:p>
            <w:pPr>
              <w:spacing w:after="0" w:line="259" w:lineRule="auto"/>
            </w:pPr>
            <w:r>
              <w:rPr>
                <w:rFonts w:ascii="Calibri" w:hAnsi="Calibri"/>
                <w:color w:val="2C2929"/>
                <w:sz w:val="16"/>
              </w:rPr>
              <w:t>Existing foundation. Add refresh, logout, verify-email, forgot/reset password, and session list/revoke.</w:t>
            </w:r>
          </w:p>
        </w:tc>
      </w:tr>
      <w:tr>
        <w:trPr>
          <w:cantSplit/>
        </w:trPr>
        <w:tc>
          <w:tcPr>
            <w:tcW w:type="dxa" w:w="1160"/>
            <w:vAlign w:val="center"/>
          </w:tcPr>
          <w:p>
            <w:pPr>
              <w:spacing w:after="0" w:line="259" w:lineRule="auto"/>
            </w:pPr>
            <w:r>
              <w:rPr>
                <w:rFonts w:ascii="Calibri" w:hAnsi="Calibri"/>
                <w:color w:val="2C2929"/>
                <w:sz w:val="16"/>
              </w:rPr>
              <w:t>Tasks</w:t>
            </w:r>
          </w:p>
        </w:tc>
        <w:tc>
          <w:tcPr>
            <w:tcW w:type="dxa" w:w="4250"/>
            <w:vAlign w:val="center"/>
          </w:tcPr>
          <w:p>
            <w:pPr>
              <w:spacing w:after="0" w:line="259" w:lineRule="auto"/>
            </w:pPr>
            <w:r>
              <w:rPr>
                <w:rFonts w:ascii="Calibri" w:hAnsi="Calibri"/>
                <w:color w:val="2C2929"/>
                <w:sz w:val="16"/>
              </w:rPr>
              <w:t>GET/POST /tasks; PATCH/DELETE /tasks/:id</w:t>
            </w:r>
          </w:p>
        </w:tc>
        <w:tc>
          <w:tcPr>
            <w:tcW w:type="dxa" w:w="3950"/>
            <w:vAlign w:val="center"/>
          </w:tcPr>
          <w:p>
            <w:pPr>
              <w:spacing w:after="0" w:line="259" w:lineRule="auto"/>
            </w:pPr>
            <w:r>
              <w:rPr>
                <w:rFonts w:ascii="Calibri" w:hAnsi="Calibri"/>
                <w:color w:val="2C2929"/>
                <w:sz w:val="16"/>
              </w:rPr>
              <w:t>Existing foundation. Add single-item GET, transition endpoint, comments, attachments, and team authorization.</w:t>
            </w:r>
          </w:p>
        </w:tc>
      </w:tr>
      <w:tr>
        <w:trPr>
          <w:cantSplit/>
        </w:trPr>
        <w:tc>
          <w:tcPr>
            <w:tcW w:type="dxa" w:w="1160"/>
            <w:vAlign w:val="center"/>
          </w:tcPr>
          <w:p>
            <w:pPr>
              <w:spacing w:after="0" w:line="259" w:lineRule="auto"/>
            </w:pPr>
            <w:r>
              <w:rPr>
                <w:rFonts w:ascii="Calibri" w:hAnsi="Calibri"/>
                <w:color w:val="2C2929"/>
                <w:sz w:val="16"/>
              </w:rPr>
              <w:t>Bills</w:t>
            </w:r>
          </w:p>
        </w:tc>
        <w:tc>
          <w:tcPr>
            <w:tcW w:type="dxa" w:w="4250"/>
            <w:vAlign w:val="center"/>
          </w:tcPr>
          <w:p>
            <w:pPr>
              <w:spacing w:after="0" w:line="259" w:lineRule="auto"/>
            </w:pPr>
            <w:r>
              <w:rPr>
                <w:rFonts w:ascii="Calibri" w:hAnsi="Calibri"/>
                <w:color w:val="2C2929"/>
                <w:sz w:val="16"/>
              </w:rPr>
              <w:t>GET/POST /bills; PATCH/DELETE /bills/:id</w:t>
            </w:r>
          </w:p>
        </w:tc>
        <w:tc>
          <w:tcPr>
            <w:tcW w:type="dxa" w:w="3950"/>
            <w:vAlign w:val="center"/>
          </w:tcPr>
          <w:p>
            <w:pPr>
              <w:spacing w:after="0" w:line="259" w:lineRule="auto"/>
            </w:pPr>
            <w:r>
              <w:rPr>
                <w:rFonts w:ascii="Calibri" w:hAnsi="Calibri"/>
                <w:color w:val="2C2929"/>
                <w:sz w:val="16"/>
              </w:rPr>
              <w:t>Existing foundation. Add mark-paid action, recurrence materialization, reminders, and safe URL registry.</w:t>
            </w:r>
          </w:p>
        </w:tc>
      </w:tr>
      <w:tr>
        <w:trPr>
          <w:cantSplit/>
        </w:trPr>
        <w:tc>
          <w:tcPr>
            <w:tcW w:type="dxa" w:w="1160"/>
            <w:vAlign w:val="center"/>
          </w:tcPr>
          <w:p>
            <w:pPr>
              <w:spacing w:after="0" w:line="259" w:lineRule="auto"/>
            </w:pPr>
            <w:r>
              <w:rPr>
                <w:rFonts w:ascii="Calibri" w:hAnsi="Calibri"/>
                <w:color w:val="2C2929"/>
                <w:sz w:val="16"/>
              </w:rPr>
              <w:t>Teams</w:t>
            </w:r>
          </w:p>
        </w:tc>
        <w:tc>
          <w:tcPr>
            <w:tcW w:type="dxa" w:w="4250"/>
            <w:vAlign w:val="center"/>
          </w:tcPr>
          <w:p>
            <w:pPr>
              <w:spacing w:after="0" w:line="259" w:lineRule="auto"/>
            </w:pPr>
            <w:r>
              <w:rPr>
                <w:rFonts w:ascii="Calibri" w:hAnsi="Calibri"/>
                <w:color w:val="2C2929"/>
                <w:sz w:val="16"/>
              </w:rPr>
              <w:t>GET/POST /teams; GET/PATCH /teams/:id; POST /teams/:id/invitations; PATCH /members/:userId</w:t>
            </w:r>
          </w:p>
        </w:tc>
        <w:tc>
          <w:tcPr>
            <w:tcW w:type="dxa" w:w="3950"/>
            <w:vAlign w:val="center"/>
          </w:tcPr>
          <w:p>
            <w:pPr>
              <w:spacing w:after="0" w:line="259" w:lineRule="auto"/>
            </w:pPr>
            <w:r>
              <w:rPr>
                <w:rFonts w:ascii="Calibri" w:hAnsi="Calibri"/>
                <w:color w:val="2C2929"/>
                <w:sz w:val="16"/>
              </w:rPr>
              <w:t>Required.</w:t>
            </w:r>
          </w:p>
        </w:tc>
      </w:tr>
      <w:tr>
        <w:trPr>
          <w:cantSplit/>
        </w:trPr>
        <w:tc>
          <w:tcPr>
            <w:tcW w:type="dxa" w:w="1160"/>
            <w:vAlign w:val="center"/>
          </w:tcPr>
          <w:p>
            <w:pPr>
              <w:spacing w:after="0" w:line="259" w:lineRule="auto"/>
            </w:pPr>
            <w:r>
              <w:rPr>
                <w:rFonts w:ascii="Calibri" w:hAnsi="Calibri"/>
                <w:color w:val="2C2929"/>
                <w:sz w:val="16"/>
              </w:rPr>
              <w:t>Chat</w:t>
            </w:r>
          </w:p>
        </w:tc>
        <w:tc>
          <w:tcPr>
            <w:tcW w:type="dxa" w:w="4250"/>
            <w:vAlign w:val="center"/>
          </w:tcPr>
          <w:p>
            <w:pPr>
              <w:spacing w:after="0" w:line="259" w:lineRule="auto"/>
            </w:pPr>
            <w:r>
              <w:rPr>
                <w:rFonts w:ascii="Calibri" w:hAnsi="Calibri"/>
                <w:color w:val="2C2929"/>
                <w:sz w:val="16"/>
              </w:rPr>
              <w:t>GET/POST /conversations; GET/POST /conversations/:id/messages; PATCH read state</w:t>
            </w:r>
          </w:p>
        </w:tc>
        <w:tc>
          <w:tcPr>
            <w:tcW w:type="dxa" w:w="3950"/>
            <w:vAlign w:val="center"/>
          </w:tcPr>
          <w:p>
            <w:pPr>
              <w:spacing w:after="0" w:line="259" w:lineRule="auto"/>
            </w:pPr>
            <w:r>
              <w:rPr>
                <w:rFonts w:ascii="Calibri" w:hAnsi="Calibri"/>
                <w:color w:val="2C2929"/>
                <w:sz w:val="16"/>
              </w:rPr>
              <w:t>Required; pair with authenticated Socket.IO events.</w:t>
            </w:r>
          </w:p>
        </w:tc>
      </w:tr>
      <w:tr>
        <w:trPr>
          <w:cantSplit/>
        </w:trPr>
        <w:tc>
          <w:tcPr>
            <w:tcW w:type="dxa" w:w="1160"/>
            <w:vAlign w:val="center"/>
          </w:tcPr>
          <w:p>
            <w:pPr>
              <w:spacing w:after="0" w:line="259" w:lineRule="auto"/>
            </w:pPr>
            <w:r>
              <w:rPr>
                <w:rFonts w:ascii="Calibri" w:hAnsi="Calibri"/>
                <w:color w:val="2C2929"/>
                <w:sz w:val="16"/>
              </w:rPr>
              <w:t>AI plans</w:t>
            </w:r>
          </w:p>
        </w:tc>
        <w:tc>
          <w:tcPr>
            <w:tcW w:type="dxa" w:w="4250"/>
            <w:vAlign w:val="center"/>
          </w:tcPr>
          <w:p>
            <w:pPr>
              <w:spacing w:after="0" w:line="259" w:lineRule="auto"/>
            </w:pPr>
            <w:r>
              <w:rPr>
                <w:rFonts w:ascii="Calibri" w:hAnsi="Calibri"/>
                <w:color w:val="2C2929"/>
                <w:sz w:val="16"/>
              </w:rPr>
              <w:t>POST /files; POST /ai-plans; GET/PATCH /ai-plans/:id; POST /ai-plans/:id/confirm</w:t>
            </w:r>
          </w:p>
        </w:tc>
        <w:tc>
          <w:tcPr>
            <w:tcW w:type="dxa" w:w="3950"/>
            <w:vAlign w:val="center"/>
          </w:tcPr>
          <w:p>
            <w:pPr>
              <w:spacing w:after="0" w:line="259" w:lineRule="auto"/>
            </w:pPr>
            <w:r>
              <w:rPr>
                <w:rFonts w:ascii="Calibri" w:hAnsi="Calibri"/>
                <w:color w:val="2C2929"/>
                <w:sz w:val="16"/>
              </w:rPr>
              <w:t>Required; asynchronous generation and idempotent confirmation.</w:t>
            </w:r>
          </w:p>
        </w:tc>
      </w:tr>
      <w:tr>
        <w:trPr>
          <w:cantSplit/>
        </w:trPr>
        <w:tc>
          <w:tcPr>
            <w:tcW w:type="dxa" w:w="1160"/>
            <w:vAlign w:val="center"/>
          </w:tcPr>
          <w:p>
            <w:pPr>
              <w:spacing w:after="0" w:line="259" w:lineRule="auto"/>
            </w:pPr>
            <w:r>
              <w:rPr>
                <w:rFonts w:ascii="Calibri" w:hAnsi="Calibri"/>
                <w:color w:val="2C2929"/>
                <w:sz w:val="16"/>
              </w:rPr>
              <w:t>Notifications</w:t>
            </w:r>
          </w:p>
        </w:tc>
        <w:tc>
          <w:tcPr>
            <w:tcW w:type="dxa" w:w="4250"/>
            <w:vAlign w:val="center"/>
          </w:tcPr>
          <w:p>
            <w:pPr>
              <w:spacing w:after="0" w:line="259" w:lineRule="auto"/>
            </w:pPr>
            <w:r>
              <w:rPr>
                <w:rFonts w:ascii="Calibri" w:hAnsi="Calibri"/>
                <w:color w:val="2C2929"/>
                <w:sz w:val="16"/>
              </w:rPr>
              <w:t>GET /notifications; PATCH /notifications/:id/read; GET/PATCH /preferences</w:t>
            </w:r>
          </w:p>
        </w:tc>
        <w:tc>
          <w:tcPr>
            <w:tcW w:type="dxa" w:w="3950"/>
            <w:vAlign w:val="center"/>
          </w:tcPr>
          <w:p>
            <w:pPr>
              <w:spacing w:after="0" w:line="259" w:lineRule="auto"/>
            </w:pPr>
            <w:r>
              <w:rPr>
                <w:rFonts w:ascii="Calibri" w:hAnsi="Calibri"/>
                <w:color w:val="2C2929"/>
                <w:sz w:val="16"/>
              </w:rPr>
              <w:t>Required.</w:t>
            </w:r>
          </w:p>
        </w:tc>
      </w:tr>
      <w:tr>
        <w:trPr>
          <w:cantSplit/>
        </w:trPr>
        <w:tc>
          <w:tcPr>
            <w:tcW w:type="dxa" w:w="1160"/>
            <w:vAlign w:val="center"/>
          </w:tcPr>
          <w:p>
            <w:pPr>
              <w:spacing w:after="0" w:line="259" w:lineRule="auto"/>
            </w:pPr>
            <w:r>
              <w:rPr>
                <w:rFonts w:ascii="Calibri" w:hAnsi="Calibri"/>
                <w:color w:val="2C2929"/>
                <w:sz w:val="16"/>
              </w:rPr>
              <w:t>Calendar</w:t>
            </w:r>
          </w:p>
        </w:tc>
        <w:tc>
          <w:tcPr>
            <w:tcW w:type="dxa" w:w="4250"/>
            <w:vAlign w:val="center"/>
          </w:tcPr>
          <w:p>
            <w:pPr>
              <w:spacing w:after="0" w:line="259" w:lineRule="auto"/>
            </w:pPr>
            <w:r>
              <w:rPr>
                <w:rFonts w:ascii="Calibri" w:hAnsi="Calibri"/>
                <w:color w:val="2C2929"/>
                <w:sz w:val="16"/>
              </w:rPr>
              <w:t>GET /calendar?from=&amp;to=</w:t>
            </w:r>
          </w:p>
        </w:tc>
        <w:tc>
          <w:tcPr>
            <w:tcW w:type="dxa" w:w="3950"/>
            <w:vAlign w:val="center"/>
          </w:tcPr>
          <w:p>
            <w:pPr>
              <w:spacing w:after="0" w:line="259" w:lineRule="auto"/>
            </w:pPr>
            <w:r>
              <w:rPr>
                <w:rFonts w:ascii="Calibri" w:hAnsi="Calibri"/>
                <w:color w:val="2C2929"/>
                <w:sz w:val="16"/>
              </w:rPr>
              <w:t>Aggregate tasks, bill due dates, and reminders without duplicating source records.</w:t>
            </w:r>
          </w:p>
        </w:tc>
      </w:tr>
    </w:tbl>
    <w:p>
      <w:pPr>
        <w:keepNext w:val="0"/>
        <w:spacing w:before="0" w:after="40"/>
      </w:pPr>
      <w:r>
        <w:rPr>
          <w:rFonts w:ascii="Calibri" w:hAnsi="Calibri"/>
          <w:b w:val="0"/>
          <w:i w:val="0"/>
          <w:color w:val="2C2929"/>
        </w:rPr>
      </w:r>
    </w:p>
    <w:p>
      <w:pPr>
        <w:pStyle w:val="Heading2"/>
      </w:pPr>
      <w:r>
        <w:t>Service-layer authorization</w:t>
      </w:r>
    </w:p>
    <w:p>
      <w:pPr>
        <w:keepNext w:val="0"/>
        <w:spacing w:before="0" w:after="120"/>
      </w:pPr>
      <w:r>
        <w:rPr>
          <w:rFonts w:ascii="Calibri" w:hAnsi="Calibri"/>
          <w:b w:val="0"/>
          <w:i w:val="0"/>
          <w:color w:val="2C2929"/>
        </w:rPr>
        <w:t>Authorization must use resource-aware policies rather than checking only for a valid token. Route middleware authenticates the actor; service policies decide whether the actor can read or mutate the resource.</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1800"/>
        <w:gridCol w:w="3500"/>
        <w:gridCol w:w="4060"/>
      </w:tblGrid>
      <w:tr>
        <w:trPr>
          <w:cantSplit/>
          <w:tblHeader w:val="true"/>
        </w:trPr>
        <w:tc>
          <w:tcPr>
            <w:tcW w:type="dxa" w:w="1800"/>
            <w:tcMar>
              <w:top w:w="80" w:type="dxa"/>
              <w:start w:w="120" w:type="dxa"/>
              <w:bottom w:w="80" w:type="dxa"/>
              <w:end w:w="120" w:type="dxa"/>
            </w:tcMar>
            <w:shd w:fill="F4E8EA"/>
            <w:vAlign w:val="center"/>
          </w:tcPr>
          <w:p>
            <w:pPr>
              <w:spacing w:after="0"/>
            </w:pPr>
            <w:r>
              <w:rPr>
                <w:rFonts w:ascii="Calibri" w:hAnsi="Calibri"/>
                <w:b/>
                <w:color w:val="70000E"/>
                <w:sz w:val="17"/>
              </w:rPr>
              <w:t>Resource</w:t>
            </w:r>
          </w:p>
        </w:tc>
        <w:tc>
          <w:tcPr>
            <w:tcW w:type="dxa" w:w="3500"/>
            <w:tcMar>
              <w:top w:w="80" w:type="dxa"/>
              <w:start w:w="120" w:type="dxa"/>
              <w:bottom w:w="80" w:type="dxa"/>
              <w:end w:w="120" w:type="dxa"/>
            </w:tcMar>
            <w:shd w:fill="F4E8EA"/>
            <w:vAlign w:val="center"/>
          </w:tcPr>
          <w:p>
            <w:pPr>
              <w:spacing w:after="0"/>
            </w:pPr>
            <w:r>
              <w:rPr>
                <w:rFonts w:ascii="Calibri" w:hAnsi="Calibri"/>
                <w:b/>
                <w:color w:val="70000E"/>
                <w:sz w:val="17"/>
              </w:rPr>
              <w:t>Read</w:t>
            </w:r>
          </w:p>
        </w:tc>
        <w:tc>
          <w:tcPr>
            <w:tcW w:type="dxa" w:w="4060"/>
            <w:tcMar>
              <w:top w:w="80" w:type="dxa"/>
              <w:start w:w="120" w:type="dxa"/>
              <w:bottom w:w="80" w:type="dxa"/>
              <w:end w:w="120" w:type="dxa"/>
            </w:tcMar>
            <w:shd w:fill="F4E8EA"/>
            <w:vAlign w:val="center"/>
          </w:tcPr>
          <w:p>
            <w:pPr>
              <w:spacing w:after="0"/>
            </w:pPr>
            <w:r>
              <w:rPr>
                <w:rFonts w:ascii="Calibri" w:hAnsi="Calibri"/>
                <w:b/>
                <w:color w:val="70000E"/>
                <w:sz w:val="17"/>
              </w:rPr>
              <w:t>Write</w:t>
            </w:r>
          </w:p>
        </w:tc>
      </w:tr>
      <w:tr>
        <w:trPr>
          <w:cantSplit/>
        </w:trPr>
        <w:tc>
          <w:tcPr>
            <w:tcW w:type="dxa" w:w="1800"/>
            <w:vAlign w:val="center"/>
          </w:tcPr>
          <w:p>
            <w:pPr>
              <w:spacing w:after="0" w:line="259" w:lineRule="auto"/>
            </w:pPr>
            <w:r>
              <w:rPr>
                <w:rFonts w:ascii="Calibri" w:hAnsi="Calibri"/>
                <w:color w:val="2C2929"/>
                <w:sz w:val="17"/>
              </w:rPr>
              <w:t>Personal task</w:t>
            </w:r>
          </w:p>
        </w:tc>
        <w:tc>
          <w:tcPr>
            <w:tcW w:type="dxa" w:w="3500"/>
            <w:vAlign w:val="center"/>
          </w:tcPr>
          <w:p>
            <w:pPr>
              <w:spacing w:after="0" w:line="259" w:lineRule="auto"/>
            </w:pPr>
            <w:r>
              <w:rPr>
                <w:rFonts w:ascii="Calibri" w:hAnsi="Calibri"/>
                <w:color w:val="2C2929"/>
                <w:sz w:val="17"/>
              </w:rPr>
              <w:t>Creator or assignee as configured</w:t>
            </w:r>
          </w:p>
        </w:tc>
        <w:tc>
          <w:tcPr>
            <w:tcW w:type="dxa" w:w="4060"/>
            <w:vAlign w:val="center"/>
          </w:tcPr>
          <w:p>
            <w:pPr>
              <w:spacing w:after="0" w:line="259" w:lineRule="auto"/>
            </w:pPr>
            <w:r>
              <w:rPr>
                <w:rFonts w:ascii="Calibri" w:hAnsi="Calibri"/>
                <w:color w:val="2C2929"/>
                <w:sz w:val="17"/>
              </w:rPr>
              <w:t>Creator; assignee only for permitted progress/status fields</w:t>
            </w:r>
          </w:p>
        </w:tc>
      </w:tr>
      <w:tr>
        <w:trPr>
          <w:cantSplit/>
        </w:trPr>
        <w:tc>
          <w:tcPr>
            <w:tcW w:type="dxa" w:w="1800"/>
            <w:vAlign w:val="center"/>
          </w:tcPr>
          <w:p>
            <w:pPr>
              <w:spacing w:after="0" w:line="259" w:lineRule="auto"/>
            </w:pPr>
            <w:r>
              <w:rPr>
                <w:rFonts w:ascii="Calibri" w:hAnsi="Calibri"/>
                <w:color w:val="2C2929"/>
                <w:sz w:val="17"/>
              </w:rPr>
              <w:t>Team task</w:t>
            </w:r>
          </w:p>
        </w:tc>
        <w:tc>
          <w:tcPr>
            <w:tcW w:type="dxa" w:w="3500"/>
            <w:vAlign w:val="center"/>
          </w:tcPr>
          <w:p>
            <w:pPr>
              <w:spacing w:after="0" w:line="259" w:lineRule="auto"/>
            </w:pPr>
            <w:r>
              <w:rPr>
                <w:rFonts w:ascii="Calibri" w:hAnsi="Calibri"/>
                <w:color w:val="2C2929"/>
                <w:sz w:val="17"/>
              </w:rPr>
              <w:t>Active team member with sufficient role</w:t>
            </w:r>
          </w:p>
        </w:tc>
        <w:tc>
          <w:tcPr>
            <w:tcW w:type="dxa" w:w="4060"/>
            <w:vAlign w:val="center"/>
          </w:tcPr>
          <w:p>
            <w:pPr>
              <w:spacing w:after="0" w:line="259" w:lineRule="auto"/>
            </w:pPr>
            <w:r>
              <w:rPr>
                <w:rFonts w:ascii="Calibri" w:hAnsi="Calibri"/>
                <w:color w:val="2C2929"/>
                <w:sz w:val="17"/>
              </w:rPr>
              <w:t>Owner/manager; assignee for permitted transitions</w:t>
            </w:r>
          </w:p>
        </w:tc>
      </w:tr>
      <w:tr>
        <w:trPr>
          <w:cantSplit/>
        </w:trPr>
        <w:tc>
          <w:tcPr>
            <w:tcW w:type="dxa" w:w="1800"/>
            <w:vAlign w:val="center"/>
          </w:tcPr>
          <w:p>
            <w:pPr>
              <w:spacing w:after="0" w:line="259" w:lineRule="auto"/>
            </w:pPr>
            <w:r>
              <w:rPr>
                <w:rFonts w:ascii="Calibri" w:hAnsi="Calibri"/>
                <w:color w:val="2C2929"/>
                <w:sz w:val="17"/>
              </w:rPr>
              <w:t>Conversation</w:t>
            </w:r>
          </w:p>
        </w:tc>
        <w:tc>
          <w:tcPr>
            <w:tcW w:type="dxa" w:w="3500"/>
            <w:vAlign w:val="center"/>
          </w:tcPr>
          <w:p>
            <w:pPr>
              <w:spacing w:after="0" w:line="259" w:lineRule="auto"/>
            </w:pPr>
            <w:r>
              <w:rPr>
                <w:rFonts w:ascii="Calibri" w:hAnsi="Calibri"/>
                <w:color w:val="2C2929"/>
                <w:sz w:val="17"/>
              </w:rPr>
              <w:t>Active conversation member</w:t>
            </w:r>
          </w:p>
        </w:tc>
        <w:tc>
          <w:tcPr>
            <w:tcW w:type="dxa" w:w="4060"/>
            <w:vAlign w:val="center"/>
          </w:tcPr>
          <w:p>
            <w:pPr>
              <w:spacing w:after="0" w:line="259" w:lineRule="auto"/>
            </w:pPr>
            <w:r>
              <w:rPr>
                <w:rFonts w:ascii="Calibri" w:hAnsi="Calibri"/>
                <w:color w:val="2C2929"/>
                <w:sz w:val="17"/>
              </w:rPr>
              <w:t>Active member; channel administration by team role</w:t>
            </w:r>
          </w:p>
        </w:tc>
      </w:tr>
      <w:tr>
        <w:trPr>
          <w:cantSplit/>
        </w:trPr>
        <w:tc>
          <w:tcPr>
            <w:tcW w:type="dxa" w:w="1800"/>
            <w:vAlign w:val="center"/>
          </w:tcPr>
          <w:p>
            <w:pPr>
              <w:spacing w:after="0" w:line="259" w:lineRule="auto"/>
            </w:pPr>
            <w:r>
              <w:rPr>
                <w:rFonts w:ascii="Calibri" w:hAnsi="Calibri"/>
                <w:color w:val="2C2929"/>
                <w:sz w:val="17"/>
              </w:rPr>
              <w:t>Bill</w:t>
            </w:r>
          </w:p>
        </w:tc>
        <w:tc>
          <w:tcPr>
            <w:tcW w:type="dxa" w:w="3500"/>
            <w:vAlign w:val="center"/>
          </w:tcPr>
          <w:p>
            <w:pPr>
              <w:spacing w:after="0" w:line="259" w:lineRule="auto"/>
            </w:pPr>
            <w:r>
              <w:rPr>
                <w:rFonts w:ascii="Calibri" w:hAnsi="Calibri"/>
                <w:color w:val="2C2929"/>
                <w:sz w:val="17"/>
              </w:rPr>
              <w:t>Owning user only</w:t>
            </w:r>
          </w:p>
        </w:tc>
        <w:tc>
          <w:tcPr>
            <w:tcW w:type="dxa" w:w="4060"/>
            <w:vAlign w:val="center"/>
          </w:tcPr>
          <w:p>
            <w:pPr>
              <w:spacing w:after="0" w:line="259" w:lineRule="auto"/>
            </w:pPr>
            <w:r>
              <w:rPr>
                <w:rFonts w:ascii="Calibri" w:hAnsi="Calibri"/>
                <w:color w:val="2C2929"/>
                <w:sz w:val="17"/>
              </w:rPr>
              <w:t>Owning user only</w:t>
            </w:r>
          </w:p>
        </w:tc>
      </w:tr>
      <w:tr>
        <w:trPr>
          <w:cantSplit/>
        </w:trPr>
        <w:tc>
          <w:tcPr>
            <w:tcW w:type="dxa" w:w="1800"/>
            <w:vAlign w:val="center"/>
          </w:tcPr>
          <w:p>
            <w:pPr>
              <w:spacing w:after="0" w:line="259" w:lineRule="auto"/>
            </w:pPr>
            <w:r>
              <w:rPr>
                <w:rFonts w:ascii="Calibri" w:hAnsi="Calibri"/>
                <w:color w:val="2C2929"/>
                <w:sz w:val="17"/>
              </w:rPr>
              <w:t>AI plan</w:t>
            </w:r>
          </w:p>
        </w:tc>
        <w:tc>
          <w:tcPr>
            <w:tcW w:type="dxa" w:w="3500"/>
            <w:vAlign w:val="center"/>
          </w:tcPr>
          <w:p>
            <w:pPr>
              <w:spacing w:after="0" w:line="259" w:lineRule="auto"/>
            </w:pPr>
            <w:r>
              <w:rPr>
                <w:rFonts w:ascii="Calibri" w:hAnsi="Calibri"/>
                <w:color w:val="2C2929"/>
                <w:sz w:val="17"/>
              </w:rPr>
              <w:t>Requester and explicitly authorized team members</w:t>
            </w:r>
          </w:p>
        </w:tc>
        <w:tc>
          <w:tcPr>
            <w:tcW w:type="dxa" w:w="4060"/>
            <w:vAlign w:val="center"/>
          </w:tcPr>
          <w:p>
            <w:pPr>
              <w:spacing w:after="0" w:line="259" w:lineRule="auto"/>
            </w:pPr>
            <w:r>
              <w:rPr>
                <w:rFonts w:ascii="Calibri" w:hAnsi="Calibri"/>
                <w:color w:val="2C2929"/>
                <w:sz w:val="17"/>
              </w:rPr>
              <w:t>Requester until confirmed; confirmation requires task-create permission</w:t>
            </w:r>
          </w:p>
        </w:tc>
      </w:tr>
    </w:tbl>
    <w:p>
      <w:pPr>
        <w:keepNext w:val="0"/>
        <w:spacing w:before="0" w:after="40"/>
      </w:pPr>
      <w:r>
        <w:rPr>
          <w:rFonts w:ascii="Calibri" w:hAnsi="Calibri"/>
          <w:b w:val="0"/>
          <w:i w:val="0"/>
          <w:color w:val="2C2929"/>
        </w:rPr>
      </w:r>
    </w:p>
    <w:p>
      <w:pPr>
        <w:pStyle w:val="Heading2"/>
      </w:pPr>
      <w:r>
        <w:t>Representative response envelope</w:t>
      </w:r>
    </w:p>
    <w:p>
      <w:pPr>
        <w:pStyle w:val="CodeBlock"/>
        <w:keepNext w:val="0"/>
        <w:spacing w:before="0" w:after="120"/>
      </w:pPr>
      <w:r>
        <w:rPr>
          <w:rFonts w:ascii="Calibri" w:hAnsi="Calibri"/>
          <w:b w:val="0"/>
          <w:i w:val="0"/>
          <w:color w:val="2C2929"/>
        </w:rPr>
        <w:t>{</w:t>
        <w:br/>
        <w:t xml:space="preserve">  "data": { "id": "...", "title": "Finalize mobile onboarding" },</w:t>
        <w:br/>
        <w:t xml:space="preserve">  "meta": { "requestId": "req_..." }</w:t>
        <w:br/>
        <w:t>}</w:t>
        <w:br/>
        <w:br/>
        <w:t>{</w:t>
        <w:br/>
        <w:t xml:space="preserve">  "error": {</w:t>
        <w:br/>
        <w:t xml:space="preserve">    "code": "TASK_TRANSITION_INVALID",</w:t>
        <w:br/>
        <w:t xml:space="preserve">    "message": "Task cannot move from done to review.",</w:t>
        <w:br/>
        <w:t xml:space="preserve">    "details": {},</w:t>
        <w:br/>
        <w:t xml:space="preserve">    "requestId": "req_..."</w:t>
        <w:br/>
        <w:t xml:space="preserve">  }</w:t>
        <w:br/>
        <w:t>}</w:t>
      </w:r>
    </w:p>
    <w:p>
      <w:pPr>
        <w:pStyle w:val="Heading1"/>
      </w:pPr>
      <w:r>
        <w:t>6. Web and mobile client implementation</w:t>
      </w:r>
    </w:p>
    <w:p>
      <w:pPr>
        <w:pStyle w:val="Heading2"/>
      </w:pPr>
      <w:r>
        <w:t>React web application</w:t>
      </w:r>
    </w:p>
    <w:p>
      <w:pPr>
        <w:keepNext w:val="0"/>
        <w:spacing w:before="0" w:after="120"/>
      </w:pPr>
      <w:r>
        <w:rPr>
          <w:rFonts w:ascii="Calibri" w:hAnsi="Calibri"/>
          <w:b w:val="0"/>
          <w:i w:val="0"/>
          <w:color w:val="2C2929"/>
        </w:rPr>
        <w:t>Keep the existing route and visual structure, but introduce explicit application layers so pages do not own transport or server-cache logic.</w:t>
      </w:r>
    </w:p>
    <w:p>
      <w:pPr>
        <w:pStyle w:val="CodeBlock"/>
        <w:keepNext w:val="0"/>
        <w:spacing w:before="0" w:after="120"/>
      </w:pPr>
      <w:r>
        <w:rPr>
          <w:rFonts w:ascii="Calibri" w:hAnsi="Calibri"/>
          <w:b w:val="0"/>
          <w:i w:val="0"/>
          <w:color w:val="2C2929"/>
        </w:rPr>
        <w:t>src/</w:t>
        <w:br/>
        <w:t xml:space="preserve">  app/             router, providers, auth bootstrap</w:t>
        <w:br/>
        <w:t xml:space="preserve">  api/             generated/manual API client and interceptors</w:t>
        <w:br/>
        <w:t xml:space="preserve">  features/        auth, tasks, teams, chat, bills, ai-planner</w:t>
        <w:br/>
        <w:t xml:space="preserve">  components/      shared accessible UI</w:t>
        <w:br/>
        <w:t xml:space="preserve">  hooks/            reusable application hooks</w:t>
        <w:br/>
        <w:t xml:space="preserve">  state/            small client-only state; no duplicate server cache</w:t>
        <w:br/>
        <w:t xml:space="preserve">  theme/            tokens and light/dark modes</w:t>
      </w:r>
    </w:p>
    <w:p>
      <w:pPr>
        <w:pStyle w:val="Heading3"/>
      </w:pPr>
      <w:r>
        <w:t>Web integration sequence</w:t>
      </w:r>
    </w:p>
    <w:p>
      <w:pPr>
        <w:pStyle w:val="ListNumber"/>
        <w:keepLines/>
      </w:pPr>
      <w:r>
        <w:t>Add an AuthProvider that restores the current session, protects /app routes, and handles refresh/logout.</w:t>
      </w:r>
    </w:p>
    <w:p>
      <w:pPr>
        <w:pStyle w:val="ListNumber"/>
        <w:keepLines/>
      </w:pPr>
      <w:r>
        <w:t>Create a single Axios instance with base URL, credentials, timeout, request ID, cancellation, and normalized errors.</w:t>
      </w:r>
    </w:p>
    <w:p>
      <w:pPr>
        <w:pStyle w:val="ListNumber"/>
        <w:keepLines/>
      </w:pPr>
      <w:r>
        <w:t>Adopt a server-state library or equivalent cache layer for queries, mutations, invalidation, optimistic updates, and retry policy.</w:t>
      </w:r>
    </w:p>
    <w:p>
      <w:pPr>
        <w:pStyle w:val="ListNumber"/>
        <w:keepLines/>
      </w:pPr>
      <w:r>
        <w:t>Replace mockData usage one feature at a time; retain fixture data only in Storybook/tests.</w:t>
      </w:r>
    </w:p>
    <w:p>
      <w:pPr>
        <w:pStyle w:val="ListNumber"/>
        <w:keepLines/>
      </w:pPr>
      <w:r>
        <w:t>Model loading, empty, offline, error, permission-denied, and stale-data states for every page.</w:t>
      </w:r>
    </w:p>
    <w:p>
      <w:pPr>
        <w:pStyle w:val="ListNumber"/>
        <w:keepLines/>
      </w:pPr>
      <w:r>
        <w:t>Use semantic HTML, keyboard-accessible dialogs/boards, visible focus, reduced-motion support, and automated accessibility checks.</w:t>
      </w:r>
    </w:p>
    <w:p>
      <w:pPr>
        <w:pStyle w:val="Heading2"/>
      </w:pPr>
      <w:r>
        <w:t>Flutter mobile application</w:t>
      </w:r>
    </w:p>
    <w:p>
      <w:pPr>
        <w:keepNext w:val="0"/>
        <w:spacing w:before="0" w:after="120"/>
      </w:pPr>
      <w:r>
        <w:rPr>
          <w:rFonts w:ascii="Calibri" w:hAnsi="Calibri"/>
          <w:b w:val="0"/>
          <w:i w:val="0"/>
          <w:color w:val="2C2929"/>
        </w:rPr>
        <w:t>The current Flutter code should be treated as a reusable theme and toast foundation. Build the application shell around feature modules and a shared API contract.</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1760"/>
        <w:gridCol w:w="7600"/>
      </w:tblGrid>
      <w:tr>
        <w:trPr>
          <w:cantSplit/>
          <w:tblHeader w:val="true"/>
        </w:trPr>
        <w:tc>
          <w:tcPr>
            <w:tcW w:type="dxa" w:w="1760"/>
            <w:tcMar>
              <w:top w:w="80" w:type="dxa"/>
              <w:start w:w="120" w:type="dxa"/>
              <w:bottom w:w="80" w:type="dxa"/>
              <w:end w:w="120" w:type="dxa"/>
            </w:tcMar>
            <w:shd w:fill="F4E8EA"/>
            <w:vAlign w:val="center"/>
          </w:tcPr>
          <w:p>
            <w:pPr>
              <w:spacing w:after="0"/>
            </w:pPr>
            <w:r>
              <w:rPr>
                <w:rFonts w:ascii="Calibri" w:hAnsi="Calibri"/>
                <w:b/>
                <w:color w:val="70000E"/>
                <w:sz w:val="18"/>
              </w:rPr>
              <w:t>Area</w:t>
            </w:r>
          </w:p>
        </w:tc>
        <w:tc>
          <w:tcPr>
            <w:tcW w:type="dxa" w:w="7600"/>
            <w:tcMar>
              <w:top w:w="80" w:type="dxa"/>
              <w:start w:w="120" w:type="dxa"/>
              <w:bottom w:w="80" w:type="dxa"/>
              <w:end w:w="120" w:type="dxa"/>
            </w:tcMar>
            <w:shd w:fill="F4E8EA"/>
            <w:vAlign w:val="center"/>
          </w:tcPr>
          <w:p>
            <w:pPr>
              <w:spacing w:after="0"/>
            </w:pPr>
            <w:r>
              <w:rPr>
                <w:rFonts w:ascii="Calibri" w:hAnsi="Calibri"/>
                <w:b/>
                <w:color w:val="70000E"/>
                <w:sz w:val="18"/>
              </w:rPr>
              <w:t>Recommended implementation</w:t>
            </w:r>
          </w:p>
        </w:tc>
      </w:tr>
      <w:tr>
        <w:trPr>
          <w:cantSplit/>
        </w:trPr>
        <w:tc>
          <w:tcPr>
            <w:tcW w:type="dxa" w:w="1760"/>
            <w:vAlign w:val="center"/>
          </w:tcPr>
          <w:p>
            <w:pPr>
              <w:spacing w:after="0" w:line="259" w:lineRule="auto"/>
            </w:pPr>
            <w:r>
              <w:rPr>
                <w:rFonts w:ascii="Calibri" w:hAnsi="Calibri"/>
                <w:color w:val="2C2929"/>
                <w:sz w:val="18"/>
              </w:rPr>
              <w:t>Navigation</w:t>
            </w:r>
          </w:p>
        </w:tc>
        <w:tc>
          <w:tcPr>
            <w:tcW w:type="dxa" w:w="7600"/>
            <w:vAlign w:val="center"/>
          </w:tcPr>
          <w:p>
            <w:pPr>
              <w:spacing w:after="0" w:line="259" w:lineRule="auto"/>
            </w:pPr>
            <w:r>
              <w:rPr>
                <w:rFonts w:ascii="Calibri" w:hAnsi="Calibri"/>
                <w:color w:val="2C2929"/>
                <w:sz w:val="18"/>
              </w:rPr>
              <w:t>Authenticated shell with Dashboard, Tasks, Chat, Bills, and Profile tabs; guarded onboarding/auth routes.</w:t>
            </w:r>
          </w:p>
        </w:tc>
      </w:tr>
      <w:tr>
        <w:trPr>
          <w:cantSplit/>
        </w:trPr>
        <w:tc>
          <w:tcPr>
            <w:tcW w:type="dxa" w:w="1760"/>
            <w:vAlign w:val="center"/>
          </w:tcPr>
          <w:p>
            <w:pPr>
              <w:spacing w:after="0" w:line="259" w:lineRule="auto"/>
            </w:pPr>
            <w:r>
              <w:rPr>
                <w:rFonts w:ascii="Calibri" w:hAnsi="Calibri"/>
                <w:color w:val="2C2929"/>
                <w:sz w:val="18"/>
              </w:rPr>
              <w:t>State</w:t>
            </w:r>
          </w:p>
        </w:tc>
        <w:tc>
          <w:tcPr>
            <w:tcW w:type="dxa" w:w="7600"/>
            <w:vAlign w:val="center"/>
          </w:tcPr>
          <w:p>
            <w:pPr>
              <w:spacing w:after="0" w:line="259" w:lineRule="auto"/>
            </w:pPr>
            <w:r>
              <w:rPr>
                <w:rFonts w:ascii="Calibri" w:hAnsi="Calibri"/>
                <w:color w:val="2C2929"/>
                <w:sz w:val="18"/>
              </w:rPr>
              <w:t>Predictable feature state with immutable models; separate transient UI state from remote/cache state.</w:t>
            </w:r>
          </w:p>
        </w:tc>
      </w:tr>
      <w:tr>
        <w:trPr>
          <w:cantSplit/>
        </w:trPr>
        <w:tc>
          <w:tcPr>
            <w:tcW w:type="dxa" w:w="1760"/>
            <w:vAlign w:val="center"/>
          </w:tcPr>
          <w:p>
            <w:pPr>
              <w:spacing w:after="0" w:line="259" w:lineRule="auto"/>
            </w:pPr>
            <w:r>
              <w:rPr>
                <w:rFonts w:ascii="Calibri" w:hAnsi="Calibri"/>
                <w:color w:val="2C2929"/>
                <w:sz w:val="18"/>
              </w:rPr>
              <w:t>Networking</w:t>
            </w:r>
          </w:p>
        </w:tc>
        <w:tc>
          <w:tcPr>
            <w:tcW w:type="dxa" w:w="7600"/>
            <w:vAlign w:val="center"/>
          </w:tcPr>
          <w:p>
            <w:pPr>
              <w:spacing w:after="0" w:line="259" w:lineRule="auto"/>
            </w:pPr>
            <w:r>
              <w:rPr>
                <w:rFonts w:ascii="Calibri" w:hAnsi="Calibri"/>
                <w:color w:val="2C2929"/>
                <w:sz w:val="18"/>
              </w:rPr>
              <w:t>Typed client, secure token storage, refresh coordination, request cancellation, retries only for safe/idempotent operations.</w:t>
            </w:r>
          </w:p>
        </w:tc>
      </w:tr>
      <w:tr>
        <w:trPr>
          <w:cantSplit/>
        </w:trPr>
        <w:tc>
          <w:tcPr>
            <w:tcW w:type="dxa" w:w="1760"/>
            <w:vAlign w:val="center"/>
          </w:tcPr>
          <w:p>
            <w:pPr>
              <w:spacing w:after="0" w:line="259" w:lineRule="auto"/>
            </w:pPr>
            <w:r>
              <w:rPr>
                <w:rFonts w:ascii="Calibri" w:hAnsi="Calibri"/>
                <w:color w:val="2C2929"/>
                <w:sz w:val="18"/>
              </w:rPr>
              <w:t>Realtime</w:t>
            </w:r>
          </w:p>
        </w:tc>
        <w:tc>
          <w:tcPr>
            <w:tcW w:type="dxa" w:w="7600"/>
            <w:vAlign w:val="center"/>
          </w:tcPr>
          <w:p>
            <w:pPr>
              <w:spacing w:after="0" w:line="259" w:lineRule="auto"/>
            </w:pPr>
            <w:r>
              <w:rPr>
                <w:rFonts w:ascii="Calibri" w:hAnsi="Calibri"/>
                <w:color w:val="2C2929"/>
                <w:sz w:val="18"/>
              </w:rPr>
              <w:t>Socket lifecycle bound to authenticated session; reconnect with backoff; reconcile with paged message history.</w:t>
            </w:r>
          </w:p>
        </w:tc>
      </w:tr>
      <w:tr>
        <w:trPr>
          <w:cantSplit/>
        </w:trPr>
        <w:tc>
          <w:tcPr>
            <w:tcW w:type="dxa" w:w="1760"/>
            <w:vAlign w:val="center"/>
          </w:tcPr>
          <w:p>
            <w:pPr>
              <w:spacing w:after="0" w:line="259" w:lineRule="auto"/>
            </w:pPr>
            <w:r>
              <w:rPr>
                <w:rFonts w:ascii="Calibri" w:hAnsi="Calibri"/>
                <w:color w:val="2C2929"/>
                <w:sz w:val="18"/>
              </w:rPr>
              <w:t>Offline</w:t>
            </w:r>
          </w:p>
        </w:tc>
        <w:tc>
          <w:tcPr>
            <w:tcW w:type="dxa" w:w="7600"/>
            <w:vAlign w:val="center"/>
          </w:tcPr>
          <w:p>
            <w:pPr>
              <w:spacing w:after="0" w:line="259" w:lineRule="auto"/>
            </w:pPr>
            <w:r>
              <w:rPr>
                <w:rFonts w:ascii="Calibri" w:hAnsi="Calibri"/>
                <w:color w:val="2C2929"/>
                <w:sz w:val="18"/>
              </w:rPr>
              <w:t>Read-through cache for tasks/conversations; queued mutations only where conflicts are understood and surfaced.</w:t>
            </w:r>
          </w:p>
        </w:tc>
      </w:tr>
      <w:tr>
        <w:trPr>
          <w:cantSplit/>
        </w:trPr>
        <w:tc>
          <w:tcPr>
            <w:tcW w:type="dxa" w:w="1760"/>
            <w:vAlign w:val="center"/>
          </w:tcPr>
          <w:p>
            <w:pPr>
              <w:spacing w:after="0" w:line="259" w:lineRule="auto"/>
            </w:pPr>
            <w:r>
              <w:rPr>
                <w:rFonts w:ascii="Calibri" w:hAnsi="Calibri"/>
                <w:color w:val="2C2929"/>
                <w:sz w:val="18"/>
              </w:rPr>
              <w:t>Notifications</w:t>
            </w:r>
          </w:p>
        </w:tc>
        <w:tc>
          <w:tcPr>
            <w:tcW w:type="dxa" w:w="7600"/>
            <w:vAlign w:val="center"/>
          </w:tcPr>
          <w:p>
            <w:pPr>
              <w:spacing w:after="0" w:line="259" w:lineRule="auto"/>
            </w:pPr>
            <w:r>
              <w:rPr>
                <w:rFonts w:ascii="Calibri" w:hAnsi="Calibri"/>
                <w:color w:val="2C2929"/>
                <w:sz w:val="18"/>
              </w:rPr>
              <w:t>Push token registration, deep links, and in-app toast behavior using the existing notification component.</w:t>
            </w:r>
          </w:p>
        </w:tc>
      </w:tr>
    </w:tbl>
    <w:p>
      <w:pPr>
        <w:keepNext w:val="0"/>
        <w:spacing w:before="0" w:after="40"/>
      </w:pPr>
      <w:r>
        <w:rPr>
          <w:rFonts w:ascii="Calibri" w:hAnsi="Calibri"/>
          <w:b w:val="0"/>
          <w:i w:val="0"/>
          <w:color w:val="2C2929"/>
        </w:rPr>
      </w:r>
    </w:p>
    <w:p>
      <w:pPr>
        <w:pStyle w:val="Heading2"/>
      </w:pPr>
      <w:r>
        <w:t>Shared UX contract</w:t>
      </w:r>
    </w:p>
    <w:p>
      <w:pPr>
        <w:pStyle w:val="ListBullet"/>
        <w:keepLines/>
      </w:pPr>
      <w:r>
        <w:t>Use identical status, priority, role, and error-code enums across clients.</w:t>
      </w:r>
    </w:p>
    <w:p>
      <w:pPr>
        <w:pStyle w:val="ListBullet"/>
        <w:keepLines/>
      </w:pPr>
      <w:r>
        <w:t>Display all dates in the user's timezone and all amounts using the user's currency/locale.</w:t>
      </w:r>
    </w:p>
    <w:p>
      <w:pPr>
        <w:pStyle w:val="ListBullet"/>
        <w:keepLines/>
      </w:pPr>
      <w:r>
        <w:t>Require confirmation for destructive actions, AI plan creation, and outbound bill-payment navigation.</w:t>
      </w:r>
    </w:p>
    <w:p>
      <w:pPr>
        <w:pStyle w:val="ListBullet"/>
        <w:keepLines/>
      </w:pPr>
      <w:r>
        <w:t>Show optimistic state only when the operation can be safely rolled back; otherwise show a pending state.</w:t>
      </w:r>
    </w:p>
    <w:p>
      <w:pPr>
        <w:pStyle w:val="ListBullet"/>
        <w:keepLines/>
      </w:pPr>
      <w:r>
        <w:t>Deep links identify a resource, never trust client-provided permissions, and resolve through the API.</w:t>
      </w:r>
    </w:p>
    <w:p>
      <w:pPr>
        <w:pStyle w:val="Heading1"/>
      </w:pPr>
      <w:r>
        <w:t>7. Realtime collaboration and AI planner</w:t>
      </w:r>
    </w:p>
    <w:p>
      <w:pPr>
        <w:pStyle w:val="Heading2"/>
      </w:pPr>
      <w:r>
        <w:t>Authenticated chat flow</w:t>
      </w:r>
    </w:p>
    <w:p>
      <w:pPr>
        <w:pStyle w:val="ListNumber"/>
        <w:keepLines/>
      </w:pPr>
      <w:r>
        <w:t>The client connects with a valid access token; the server resolves the user and rejects unauthenticated sockets.</w:t>
      </w:r>
    </w:p>
    <w:p>
      <w:pPr>
        <w:pStyle w:val="ListNumber"/>
        <w:keepLines/>
      </w:pPr>
      <w:r>
        <w:t>conversation:join verifies membership before adding the socket to a room.</w:t>
      </w:r>
    </w:p>
    <w:p>
      <w:pPr>
        <w:pStyle w:val="ListNumber"/>
        <w:keepLines/>
      </w:pPr>
      <w:r>
        <w:t>message:send validates content and attachment ownership, persists the message, then emits the canonical stored message.</w:t>
      </w:r>
    </w:p>
    <w:p>
      <w:pPr>
        <w:pStyle w:val="ListNumber"/>
        <w:keepLines/>
      </w:pPr>
      <w:r>
        <w:t>message:new includes a server-generated ID, timestamps, sender summary, and correlation/request ID.</w:t>
      </w:r>
    </w:p>
    <w:p>
      <w:pPr>
        <w:pStyle w:val="ListNumber"/>
        <w:keepLines/>
      </w:pPr>
      <w:r>
        <w:t>Read receipts and typing indicators are rate-limited; durable read state is persisted separately from ephemeral typing state.</w:t>
      </w:r>
    </w:p>
    <w:p>
      <w:pPr>
        <w:pStyle w:val="ListNumber"/>
        <w:keepLines/>
      </w:pPr>
      <w:r>
        <w:t>On reconnect, the client fetches messages after its latest known cursor to close event gaps.</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1800"/>
        <w:gridCol w:w="1900"/>
        <w:gridCol w:w="5660"/>
      </w:tblGrid>
      <w:tr>
        <w:trPr>
          <w:cantSplit/>
          <w:tblHeader w:val="true"/>
        </w:trPr>
        <w:tc>
          <w:tcPr>
            <w:tcW w:type="dxa" w:w="1800"/>
            <w:tcMar>
              <w:top w:w="80" w:type="dxa"/>
              <w:start w:w="120" w:type="dxa"/>
              <w:bottom w:w="80" w:type="dxa"/>
              <w:end w:w="120" w:type="dxa"/>
            </w:tcMar>
            <w:shd w:fill="F4E8EA"/>
            <w:vAlign w:val="center"/>
          </w:tcPr>
          <w:p>
            <w:pPr>
              <w:spacing w:after="0"/>
            </w:pPr>
            <w:r>
              <w:rPr>
                <w:rFonts w:ascii="Calibri" w:hAnsi="Calibri"/>
                <w:b/>
                <w:color w:val="70000E"/>
                <w:sz w:val="17"/>
              </w:rPr>
              <w:t>Event</w:t>
            </w:r>
          </w:p>
        </w:tc>
        <w:tc>
          <w:tcPr>
            <w:tcW w:type="dxa" w:w="1900"/>
            <w:tcMar>
              <w:top w:w="80" w:type="dxa"/>
              <w:start w:w="120" w:type="dxa"/>
              <w:bottom w:w="80" w:type="dxa"/>
              <w:end w:w="120" w:type="dxa"/>
            </w:tcMar>
            <w:shd w:fill="F4E8EA"/>
            <w:vAlign w:val="center"/>
          </w:tcPr>
          <w:p>
            <w:pPr>
              <w:spacing w:after="0"/>
            </w:pPr>
            <w:r>
              <w:rPr>
                <w:rFonts w:ascii="Calibri" w:hAnsi="Calibri"/>
                <w:b/>
                <w:color w:val="70000E"/>
                <w:sz w:val="17"/>
              </w:rPr>
              <w:t>Direction</w:t>
            </w:r>
          </w:p>
        </w:tc>
        <w:tc>
          <w:tcPr>
            <w:tcW w:type="dxa" w:w="5660"/>
            <w:tcMar>
              <w:top w:w="80" w:type="dxa"/>
              <w:start w:w="120" w:type="dxa"/>
              <w:bottom w:w="80" w:type="dxa"/>
              <w:end w:w="120" w:type="dxa"/>
            </w:tcMar>
            <w:shd w:fill="F4E8EA"/>
            <w:vAlign w:val="center"/>
          </w:tcPr>
          <w:p>
            <w:pPr>
              <w:spacing w:after="0"/>
            </w:pPr>
            <w:r>
              <w:rPr>
                <w:rFonts w:ascii="Calibri" w:hAnsi="Calibri"/>
                <w:b/>
                <w:color w:val="70000E"/>
                <w:sz w:val="17"/>
              </w:rPr>
              <w:t>Purpose</w:t>
            </w:r>
          </w:p>
        </w:tc>
      </w:tr>
      <w:tr>
        <w:trPr>
          <w:cantSplit/>
        </w:trPr>
        <w:tc>
          <w:tcPr>
            <w:tcW w:type="dxa" w:w="1800"/>
            <w:vAlign w:val="center"/>
          </w:tcPr>
          <w:p>
            <w:pPr>
              <w:spacing w:after="0" w:line="259" w:lineRule="auto"/>
            </w:pPr>
            <w:r>
              <w:rPr>
                <w:rFonts w:ascii="Calibri" w:hAnsi="Calibri"/>
                <w:color w:val="2C2929"/>
                <w:sz w:val="17"/>
              </w:rPr>
              <w:t>conversation:join</w:t>
            </w:r>
          </w:p>
        </w:tc>
        <w:tc>
          <w:tcPr>
            <w:tcW w:type="dxa" w:w="1900"/>
            <w:vAlign w:val="center"/>
          </w:tcPr>
          <w:p>
            <w:pPr>
              <w:spacing w:after="0" w:line="259" w:lineRule="auto"/>
            </w:pPr>
            <w:r>
              <w:rPr>
                <w:rFonts w:ascii="Calibri" w:hAnsi="Calibri"/>
                <w:color w:val="2C2929"/>
                <w:sz w:val="17"/>
              </w:rPr>
              <w:t>Client -&gt; server</w:t>
            </w:r>
          </w:p>
        </w:tc>
        <w:tc>
          <w:tcPr>
            <w:tcW w:type="dxa" w:w="5660"/>
            <w:vAlign w:val="center"/>
          </w:tcPr>
          <w:p>
            <w:pPr>
              <w:spacing w:after="0" w:line="259" w:lineRule="auto"/>
            </w:pPr>
            <w:r>
              <w:rPr>
                <w:rFonts w:ascii="Calibri" w:hAnsi="Calibri"/>
                <w:color w:val="2C2929"/>
                <w:sz w:val="17"/>
              </w:rPr>
              <w:t>Request authorized room membership.</w:t>
            </w:r>
          </w:p>
        </w:tc>
      </w:tr>
      <w:tr>
        <w:trPr>
          <w:cantSplit/>
        </w:trPr>
        <w:tc>
          <w:tcPr>
            <w:tcW w:type="dxa" w:w="1800"/>
            <w:vAlign w:val="center"/>
          </w:tcPr>
          <w:p>
            <w:pPr>
              <w:spacing w:after="0" w:line="259" w:lineRule="auto"/>
            </w:pPr>
            <w:r>
              <w:rPr>
                <w:rFonts w:ascii="Calibri" w:hAnsi="Calibri"/>
                <w:color w:val="2C2929"/>
                <w:sz w:val="17"/>
              </w:rPr>
              <w:t>message:send</w:t>
            </w:r>
          </w:p>
        </w:tc>
        <w:tc>
          <w:tcPr>
            <w:tcW w:type="dxa" w:w="1900"/>
            <w:vAlign w:val="center"/>
          </w:tcPr>
          <w:p>
            <w:pPr>
              <w:spacing w:after="0" w:line="259" w:lineRule="auto"/>
            </w:pPr>
            <w:r>
              <w:rPr>
                <w:rFonts w:ascii="Calibri" w:hAnsi="Calibri"/>
                <w:color w:val="2C2929"/>
                <w:sz w:val="17"/>
              </w:rPr>
              <w:t>Client -&gt; server</w:t>
            </w:r>
          </w:p>
        </w:tc>
        <w:tc>
          <w:tcPr>
            <w:tcW w:type="dxa" w:w="5660"/>
            <w:vAlign w:val="center"/>
          </w:tcPr>
          <w:p>
            <w:pPr>
              <w:spacing w:after="0" w:line="259" w:lineRule="auto"/>
            </w:pPr>
            <w:r>
              <w:rPr>
                <w:rFonts w:ascii="Calibri" w:hAnsi="Calibri"/>
                <w:color w:val="2C2929"/>
                <w:sz w:val="17"/>
              </w:rPr>
              <w:t>Validate and persist a message; acknowledge with canonical record.</w:t>
            </w:r>
          </w:p>
        </w:tc>
      </w:tr>
      <w:tr>
        <w:trPr>
          <w:cantSplit/>
        </w:trPr>
        <w:tc>
          <w:tcPr>
            <w:tcW w:type="dxa" w:w="1800"/>
            <w:vAlign w:val="center"/>
          </w:tcPr>
          <w:p>
            <w:pPr>
              <w:spacing w:after="0" w:line="259" w:lineRule="auto"/>
            </w:pPr>
            <w:r>
              <w:rPr>
                <w:rFonts w:ascii="Calibri" w:hAnsi="Calibri"/>
                <w:color w:val="2C2929"/>
                <w:sz w:val="17"/>
              </w:rPr>
              <w:t>message:new</w:t>
            </w:r>
          </w:p>
        </w:tc>
        <w:tc>
          <w:tcPr>
            <w:tcW w:type="dxa" w:w="1900"/>
            <w:vAlign w:val="center"/>
          </w:tcPr>
          <w:p>
            <w:pPr>
              <w:spacing w:after="0" w:line="259" w:lineRule="auto"/>
            </w:pPr>
            <w:r>
              <w:rPr>
                <w:rFonts w:ascii="Calibri" w:hAnsi="Calibri"/>
                <w:color w:val="2C2929"/>
                <w:sz w:val="17"/>
              </w:rPr>
              <w:t>Server -&gt; room</w:t>
            </w:r>
          </w:p>
        </w:tc>
        <w:tc>
          <w:tcPr>
            <w:tcW w:type="dxa" w:w="5660"/>
            <w:vAlign w:val="center"/>
          </w:tcPr>
          <w:p>
            <w:pPr>
              <w:spacing w:after="0" w:line="259" w:lineRule="auto"/>
            </w:pPr>
            <w:r>
              <w:rPr>
                <w:rFonts w:ascii="Calibri" w:hAnsi="Calibri"/>
                <w:color w:val="2C2929"/>
                <w:sz w:val="17"/>
              </w:rPr>
              <w:t>Deliver persisted message to authorized members.</w:t>
            </w:r>
          </w:p>
        </w:tc>
      </w:tr>
      <w:tr>
        <w:trPr>
          <w:cantSplit/>
        </w:trPr>
        <w:tc>
          <w:tcPr>
            <w:tcW w:type="dxa" w:w="1800"/>
            <w:vAlign w:val="center"/>
          </w:tcPr>
          <w:p>
            <w:pPr>
              <w:spacing w:after="0" w:line="259" w:lineRule="auto"/>
            </w:pPr>
            <w:r>
              <w:rPr>
                <w:rFonts w:ascii="Calibri" w:hAnsi="Calibri"/>
                <w:color w:val="2C2929"/>
                <w:sz w:val="17"/>
              </w:rPr>
              <w:t>message:read</w:t>
            </w:r>
          </w:p>
        </w:tc>
        <w:tc>
          <w:tcPr>
            <w:tcW w:type="dxa" w:w="1900"/>
            <w:vAlign w:val="center"/>
          </w:tcPr>
          <w:p>
            <w:pPr>
              <w:spacing w:after="0" w:line="259" w:lineRule="auto"/>
            </w:pPr>
            <w:r>
              <w:rPr>
                <w:rFonts w:ascii="Calibri" w:hAnsi="Calibri"/>
                <w:color w:val="2C2929"/>
                <w:sz w:val="17"/>
              </w:rPr>
              <w:t>Both</w:t>
            </w:r>
          </w:p>
        </w:tc>
        <w:tc>
          <w:tcPr>
            <w:tcW w:type="dxa" w:w="5660"/>
            <w:vAlign w:val="center"/>
          </w:tcPr>
          <w:p>
            <w:pPr>
              <w:spacing w:after="0" w:line="259" w:lineRule="auto"/>
            </w:pPr>
            <w:r>
              <w:rPr>
                <w:rFonts w:ascii="Calibri" w:hAnsi="Calibri"/>
                <w:color w:val="2C2929"/>
                <w:sz w:val="17"/>
              </w:rPr>
              <w:t>Persist and fan out read position.</w:t>
            </w:r>
          </w:p>
        </w:tc>
      </w:tr>
      <w:tr>
        <w:trPr>
          <w:cantSplit/>
        </w:trPr>
        <w:tc>
          <w:tcPr>
            <w:tcW w:type="dxa" w:w="1800"/>
            <w:vAlign w:val="center"/>
          </w:tcPr>
          <w:p>
            <w:pPr>
              <w:spacing w:after="0" w:line="259" w:lineRule="auto"/>
            </w:pPr>
            <w:r>
              <w:rPr>
                <w:rFonts w:ascii="Calibri" w:hAnsi="Calibri"/>
                <w:color w:val="2C2929"/>
                <w:sz w:val="17"/>
              </w:rPr>
              <w:t>task:updated</w:t>
            </w:r>
          </w:p>
        </w:tc>
        <w:tc>
          <w:tcPr>
            <w:tcW w:type="dxa" w:w="1900"/>
            <w:vAlign w:val="center"/>
          </w:tcPr>
          <w:p>
            <w:pPr>
              <w:spacing w:after="0" w:line="259" w:lineRule="auto"/>
            </w:pPr>
            <w:r>
              <w:rPr>
                <w:rFonts w:ascii="Calibri" w:hAnsi="Calibri"/>
                <w:color w:val="2C2929"/>
                <w:sz w:val="17"/>
              </w:rPr>
              <w:t>Server -&gt; team/user</w:t>
            </w:r>
          </w:p>
        </w:tc>
        <w:tc>
          <w:tcPr>
            <w:tcW w:type="dxa" w:w="5660"/>
            <w:vAlign w:val="center"/>
          </w:tcPr>
          <w:p>
            <w:pPr>
              <w:spacing w:after="0" w:line="259" w:lineRule="auto"/>
            </w:pPr>
            <w:r>
              <w:rPr>
                <w:rFonts w:ascii="Calibri" w:hAnsi="Calibri"/>
                <w:color w:val="2C2929"/>
                <w:sz w:val="17"/>
              </w:rPr>
              <w:t>Synchronize task changes across clients.</w:t>
            </w:r>
          </w:p>
        </w:tc>
      </w:tr>
      <w:tr>
        <w:trPr>
          <w:cantSplit/>
        </w:trPr>
        <w:tc>
          <w:tcPr>
            <w:tcW w:type="dxa" w:w="1800"/>
            <w:vAlign w:val="center"/>
          </w:tcPr>
          <w:p>
            <w:pPr>
              <w:spacing w:after="0" w:line="259" w:lineRule="auto"/>
            </w:pPr>
            <w:r>
              <w:rPr>
                <w:rFonts w:ascii="Calibri" w:hAnsi="Calibri"/>
                <w:color w:val="2C2929"/>
                <w:sz w:val="17"/>
              </w:rPr>
              <w:t>notification:new</w:t>
            </w:r>
          </w:p>
        </w:tc>
        <w:tc>
          <w:tcPr>
            <w:tcW w:type="dxa" w:w="1900"/>
            <w:vAlign w:val="center"/>
          </w:tcPr>
          <w:p>
            <w:pPr>
              <w:spacing w:after="0" w:line="259" w:lineRule="auto"/>
            </w:pPr>
            <w:r>
              <w:rPr>
                <w:rFonts w:ascii="Calibri" w:hAnsi="Calibri"/>
                <w:color w:val="2C2929"/>
                <w:sz w:val="17"/>
              </w:rPr>
              <w:t>Server -&gt; user</w:t>
            </w:r>
          </w:p>
        </w:tc>
        <w:tc>
          <w:tcPr>
            <w:tcW w:type="dxa" w:w="5660"/>
            <w:vAlign w:val="center"/>
          </w:tcPr>
          <w:p>
            <w:pPr>
              <w:spacing w:after="0" w:line="259" w:lineRule="auto"/>
            </w:pPr>
            <w:r>
              <w:rPr>
                <w:rFonts w:ascii="Calibri" w:hAnsi="Calibri"/>
                <w:color w:val="2C2929"/>
                <w:sz w:val="17"/>
              </w:rPr>
              <w:t>Deliver in-app notifications.</w:t>
            </w:r>
          </w:p>
        </w:tc>
      </w:tr>
    </w:tbl>
    <w:p>
      <w:pPr>
        <w:keepNext w:val="0"/>
        <w:spacing w:before="0" w:after="40"/>
      </w:pPr>
      <w:r>
        <w:rPr>
          <w:rFonts w:ascii="Calibri" w:hAnsi="Calibri"/>
          <w:b w:val="0"/>
          <w:i w:val="0"/>
          <w:color w:val="2C2929"/>
        </w:rPr>
      </w:r>
    </w:p>
    <w:p>
      <w:pPr>
        <w:pStyle w:val="Heading2"/>
      </w:pPr>
      <w:r>
        <w:t>AI planner pipeline</w:t>
      </w:r>
    </w:p>
    <w:p>
      <w:pPr>
        <w:pStyle w:val="ListNumber"/>
        <w:keepLines/>
      </w:pPr>
      <w:r>
        <w:t>Upload: validate extension, MIME signature, size, ownership, and checksum; store privately.</w:t>
      </w:r>
    </w:p>
    <w:p>
      <w:pPr>
        <w:pStyle w:val="ListNumber"/>
        <w:keepLines/>
      </w:pPr>
      <w:r>
        <w:t>Scan and extract: virus-scan, extract text in an isolated worker, and reject encrypted or unsupported documents with a clear error.</w:t>
      </w:r>
    </w:p>
    <w:p>
      <w:pPr>
        <w:pStyle w:val="ListNumber"/>
        <w:keepLines/>
      </w:pPr>
      <w:r>
        <w:t>Prepare: normalize text, enforce limits, redact configured sensitive patterns, and record a content hash.</w:t>
      </w:r>
    </w:p>
    <w:p>
      <w:pPr>
        <w:pStyle w:val="ListNumber"/>
        <w:keepLines/>
      </w:pPr>
      <w:r>
        <w:t>Generate: call an AI provider through an adapter that requests a strict structured schema.</w:t>
      </w:r>
    </w:p>
    <w:p>
      <w:pPr>
        <w:pStyle w:val="ListNumber"/>
        <w:keepLines/>
      </w:pPr>
      <w:r>
        <w:t>Validate: schema-check every proposed task, dates, estimates, priorities, and assignee references; discard unknown members.</w:t>
      </w:r>
    </w:p>
    <w:p>
      <w:pPr>
        <w:pStyle w:val="ListNumber"/>
        <w:keepLines/>
      </w:pPr>
      <w:r>
        <w:t>Review: present an editable draft with provenance, warnings, confidence notes, and no assignments applied yet.</w:t>
      </w:r>
    </w:p>
    <w:p>
      <w:pPr>
        <w:pStyle w:val="ListNumber"/>
        <w:keepLines/>
      </w:pPr>
      <w:r>
        <w:t>Confirm: create tasks idempotently, log the action, emit events, and preserve the approved draft for auditability.</w:t>
      </w:r>
    </w:p>
    <w:tbl>
      <w:tblPr>
        <w:tblW w:type="dxa" w:w="9360"/>
        <w:jc w:val="left"/>
        <w:tblLayout w:type="fixed"/>
        <w:tblLook w:firstColumn="1" w:firstRow="1" w:lastColumn="0" w:lastRow="0" w:noHBand="0" w:noVBand="1" w:val="04A0"/>
        <w:tblInd w:w="120" w:type="dxa"/>
        <w:tblBorders>
          <w:top w:val="single" w:sz="8" w:space="0" w:color="70000E"/>
          <w:left w:val="single" w:sz="8" w:space="0" w:color="70000E"/>
          <w:bottom w:val="single" w:sz="8" w:space="0" w:color="70000E"/>
          <w:right w:val="single" w:sz="8" w:space="0" w:color="70000E"/>
          <w:insideH w:val="single" w:sz="8" w:space="0" w:color="70000E"/>
          <w:insideV w:val="single" w:sz="8" w:space="0" w:color="70000E"/>
        </w:tblBorders>
      </w:tblPr>
      <w:tblGrid>
        <w:gridCol w:w="9360"/>
      </w:tblGrid>
      <w:tr>
        <w:trPr>
          <w:tblHeader w:val="true"/>
        </w:trPr>
        <w:tc>
          <w:tcPr>
            <w:tcW w:type="dxa" w:w="9360"/>
            <w:tcMar>
              <w:top w:w="80" w:type="dxa"/>
              <w:start w:w="120" w:type="dxa"/>
              <w:bottom w:w="80" w:type="dxa"/>
              <w:end w:w="120" w:type="dxa"/>
            </w:tcMar>
            <w:shd w:fill="F4E8EA"/>
          </w:tcPr>
          <w:p>
            <w:pPr>
              <w:spacing w:after="0"/>
            </w:pPr>
            <w:r>
              <w:rPr>
                <w:rFonts w:ascii="Calibri" w:hAnsi="Calibri"/>
                <w:b/>
                <w:color w:val="70000E"/>
                <w:sz w:val="21"/>
              </w:rPr>
              <w:t xml:space="preserve">AI control: </w:t>
            </w:r>
            <w:r>
              <w:rPr>
                <w:rFonts w:ascii="Calibri" w:hAnsi="Calibri"/>
                <w:color w:val="2C2929"/>
                <w:sz w:val="21"/>
              </w:rPr>
              <w:t>Kaya may recommend task structure and assignees, but the system must not create, assign, delete, or mark work complete until an authorized user explicitly confirms the operation.</w:t>
            </w:r>
          </w:p>
        </w:tc>
      </w:tr>
    </w:tbl>
    <w:p>
      <w:pPr>
        <w:keepNext w:val="0"/>
        <w:spacing w:before="0" w:after="40"/>
      </w:pPr>
      <w:r>
        <w:rPr>
          <w:rFonts w:ascii="Calibri" w:hAnsi="Calibri"/>
          <w:b w:val="0"/>
          <w:i w:val="0"/>
          <w:color w:val="2C2929"/>
        </w:rPr>
      </w:r>
    </w:p>
    <w:p>
      <w:pPr>
        <w:pStyle w:val="Heading2"/>
      </w:pPr>
      <w:r>
        <w:t>Failure behavior</w:t>
      </w:r>
    </w:p>
    <w:p>
      <w:pPr>
        <w:pStyle w:val="ListBullet"/>
        <w:keepLines/>
      </w:pPr>
      <w:r>
        <w:t>Queue jobs with bounded exponential backoff and a dead-letter state; never retry permanent validation failures.</w:t>
      </w:r>
    </w:p>
    <w:p>
      <w:pPr>
        <w:pStyle w:val="ListBullet"/>
        <w:keepLines/>
      </w:pPr>
      <w:r>
        <w:t>Expose plan status as uploaded, processing, ready, failed, confirmed, or expired.</w:t>
      </w:r>
    </w:p>
    <w:p>
      <w:pPr>
        <w:pStyle w:val="ListBullet"/>
        <w:keepLines/>
      </w:pPr>
      <w:r>
        <w:t>Make confirm idempotent so a client retry cannot create duplicate tasks.</w:t>
      </w:r>
    </w:p>
    <w:p>
      <w:pPr>
        <w:pStyle w:val="ListBullet"/>
        <w:keepLines/>
      </w:pPr>
      <w:r>
        <w:t>Keep the original document and extracted text under an explicit retention policy; allow authorized deletion.</w:t>
      </w:r>
    </w:p>
    <w:p>
      <w:pPr>
        <w:pStyle w:val="ListBullet"/>
        <w:keepLines/>
      </w:pPr>
      <w:r>
        <w:t>Record provider, model identifier, prompt/template version, latency, token usage, and validation result without logging source content by default.</w:t>
      </w:r>
    </w:p>
    <w:p>
      <w:pPr>
        <w:pStyle w:val="Heading1"/>
      </w:pPr>
      <w:r>
        <w:t>8. Security, privacy, and resilience</w:t>
      </w:r>
    </w:p>
    <w:p>
      <w:pPr>
        <w:pStyle w:val="Heading2"/>
      </w:pPr>
      <w:r>
        <w:t>Authentication and session design</w:t>
      </w:r>
    </w:p>
    <w:p>
      <w:pPr>
        <w:pStyle w:val="ListBullet"/>
        <w:keepLines/>
      </w:pPr>
      <w:r>
        <w:t>Use short-lived access tokens and rotated refresh tokens stored as hashes server-side.</w:t>
      </w:r>
    </w:p>
    <w:p>
      <w:pPr>
        <w:pStyle w:val="ListBullet"/>
        <w:keepLines/>
      </w:pPr>
      <w:r>
        <w:t>For web, prefer a Secure, HttpOnly, SameSite refresh cookie and keep access tokens in memory; implement CSRF protection where cookies authorize writes.</w:t>
      </w:r>
    </w:p>
    <w:p>
      <w:pPr>
        <w:pStyle w:val="ListBullet"/>
        <w:keepLines/>
      </w:pPr>
      <w:r>
        <w:t>For mobile, store refresh credentials only in platform secure storage and bind sessions to device metadata where appropriate.</w:t>
      </w:r>
    </w:p>
    <w:p>
      <w:pPr>
        <w:pStyle w:val="ListBullet"/>
        <w:keepLines/>
      </w:pPr>
      <w:r>
        <w:t>Provide logout, logout-all, active-session review, password reset, email verification, and token revocation after credential changes.</w:t>
      </w:r>
    </w:p>
    <w:p>
      <w:pPr>
        <w:pStyle w:val="ListBullet"/>
        <w:keepLines/>
      </w:pPr>
      <w:r>
        <w:t>Apply login throttling, generic credential errors, password-strength checks, and breached-password screening if available.</w:t>
      </w:r>
    </w:p>
    <w:p>
      <w:pPr>
        <w:pStyle w:val="Heading2"/>
      </w:pPr>
      <w:r>
        <w:t>Threat controls</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2350"/>
        <w:gridCol w:w="7010"/>
      </w:tblGrid>
      <w:tr>
        <w:trPr>
          <w:cantSplit/>
          <w:tblHeader w:val="true"/>
        </w:trPr>
        <w:tc>
          <w:tcPr>
            <w:tcW w:type="dxa" w:w="2350"/>
            <w:tcMar>
              <w:top w:w="80" w:type="dxa"/>
              <w:start w:w="120" w:type="dxa"/>
              <w:bottom w:w="80" w:type="dxa"/>
              <w:end w:w="120" w:type="dxa"/>
            </w:tcMar>
            <w:shd w:fill="F4E8EA"/>
            <w:vAlign w:val="center"/>
          </w:tcPr>
          <w:p>
            <w:pPr>
              <w:spacing w:after="0"/>
            </w:pPr>
            <w:r>
              <w:rPr>
                <w:rFonts w:ascii="Calibri" w:hAnsi="Calibri"/>
                <w:b/>
                <w:color w:val="70000E"/>
                <w:sz w:val="17"/>
              </w:rPr>
              <w:t>Risk</w:t>
            </w:r>
          </w:p>
        </w:tc>
        <w:tc>
          <w:tcPr>
            <w:tcW w:type="dxa" w:w="7010"/>
            <w:tcMar>
              <w:top w:w="80" w:type="dxa"/>
              <w:start w:w="120" w:type="dxa"/>
              <w:bottom w:w="80" w:type="dxa"/>
              <w:end w:w="120" w:type="dxa"/>
            </w:tcMar>
            <w:shd w:fill="F4E8EA"/>
            <w:vAlign w:val="center"/>
          </w:tcPr>
          <w:p>
            <w:pPr>
              <w:spacing w:after="0"/>
            </w:pPr>
            <w:r>
              <w:rPr>
                <w:rFonts w:ascii="Calibri" w:hAnsi="Calibri"/>
                <w:b/>
                <w:color w:val="70000E"/>
                <w:sz w:val="17"/>
              </w:rPr>
              <w:t>Required control</w:t>
            </w:r>
          </w:p>
        </w:tc>
      </w:tr>
      <w:tr>
        <w:trPr>
          <w:cantSplit/>
        </w:trPr>
        <w:tc>
          <w:tcPr>
            <w:tcW w:type="dxa" w:w="2350"/>
            <w:vAlign w:val="center"/>
          </w:tcPr>
          <w:p>
            <w:pPr>
              <w:spacing w:after="0" w:line="259" w:lineRule="auto"/>
            </w:pPr>
            <w:r>
              <w:rPr>
                <w:rFonts w:ascii="Calibri" w:hAnsi="Calibri"/>
                <w:color w:val="2C2929"/>
                <w:sz w:val="17"/>
              </w:rPr>
              <w:t>Broken object authorization</w:t>
            </w:r>
          </w:p>
        </w:tc>
        <w:tc>
          <w:tcPr>
            <w:tcW w:type="dxa" w:w="7010"/>
            <w:vAlign w:val="center"/>
          </w:tcPr>
          <w:p>
            <w:pPr>
              <w:spacing w:after="0" w:line="259" w:lineRule="auto"/>
            </w:pPr>
            <w:r>
              <w:rPr>
                <w:rFonts w:ascii="Calibri" w:hAnsi="Calibri"/>
                <w:color w:val="2C2929"/>
                <w:sz w:val="17"/>
              </w:rPr>
              <w:t>Policy checks on every resource and socket room; never trust IDs or roles supplied by the client.</w:t>
            </w:r>
          </w:p>
        </w:tc>
      </w:tr>
      <w:tr>
        <w:trPr>
          <w:cantSplit/>
        </w:trPr>
        <w:tc>
          <w:tcPr>
            <w:tcW w:type="dxa" w:w="2350"/>
            <w:vAlign w:val="center"/>
          </w:tcPr>
          <w:p>
            <w:pPr>
              <w:spacing w:after="0" w:line="259" w:lineRule="auto"/>
            </w:pPr>
            <w:r>
              <w:rPr>
                <w:rFonts w:ascii="Calibri" w:hAnsi="Calibri"/>
                <w:color w:val="2C2929"/>
                <w:sz w:val="17"/>
              </w:rPr>
              <w:t>Injection / malformed input</w:t>
            </w:r>
          </w:p>
        </w:tc>
        <w:tc>
          <w:tcPr>
            <w:tcW w:type="dxa" w:w="7010"/>
            <w:vAlign w:val="center"/>
          </w:tcPr>
          <w:p>
            <w:pPr>
              <w:spacing w:after="0" w:line="259" w:lineRule="auto"/>
            </w:pPr>
            <w:r>
              <w:rPr>
                <w:rFonts w:ascii="Calibri" w:hAnsi="Calibri"/>
                <w:color w:val="2C2929"/>
                <w:sz w:val="17"/>
              </w:rPr>
              <w:t>Schema validation, Mongoose strict mode, safe query construction, output encoding, and controlled filters/sorts.</w:t>
            </w:r>
          </w:p>
        </w:tc>
      </w:tr>
      <w:tr>
        <w:trPr>
          <w:cantSplit/>
        </w:trPr>
        <w:tc>
          <w:tcPr>
            <w:tcW w:type="dxa" w:w="2350"/>
            <w:vAlign w:val="center"/>
          </w:tcPr>
          <w:p>
            <w:pPr>
              <w:spacing w:after="0" w:line="259" w:lineRule="auto"/>
            </w:pPr>
            <w:r>
              <w:rPr>
                <w:rFonts w:ascii="Calibri" w:hAnsi="Calibri"/>
                <w:color w:val="2C2929"/>
                <w:sz w:val="17"/>
              </w:rPr>
              <w:t>File attacks</w:t>
            </w:r>
          </w:p>
        </w:tc>
        <w:tc>
          <w:tcPr>
            <w:tcW w:type="dxa" w:w="7010"/>
            <w:vAlign w:val="center"/>
          </w:tcPr>
          <w:p>
            <w:pPr>
              <w:spacing w:after="0" w:line="259" w:lineRule="auto"/>
            </w:pPr>
            <w:r>
              <w:rPr>
                <w:rFonts w:ascii="Calibri" w:hAnsi="Calibri"/>
                <w:color w:val="2C2929"/>
                <w:sz w:val="17"/>
              </w:rPr>
              <w:t>MIME sniffing, allowlists, size limits, malware scan, isolated extraction, private storage, and signed downloads.</w:t>
            </w:r>
          </w:p>
        </w:tc>
      </w:tr>
      <w:tr>
        <w:trPr>
          <w:cantSplit/>
        </w:trPr>
        <w:tc>
          <w:tcPr>
            <w:tcW w:type="dxa" w:w="2350"/>
            <w:vAlign w:val="center"/>
          </w:tcPr>
          <w:p>
            <w:pPr>
              <w:spacing w:after="0" w:line="259" w:lineRule="auto"/>
            </w:pPr>
            <w:r>
              <w:rPr>
                <w:rFonts w:ascii="Calibri" w:hAnsi="Calibri"/>
                <w:color w:val="2C2929"/>
                <w:sz w:val="17"/>
              </w:rPr>
              <w:t>Account/session theft</w:t>
            </w:r>
          </w:p>
        </w:tc>
        <w:tc>
          <w:tcPr>
            <w:tcW w:type="dxa" w:w="7010"/>
            <w:vAlign w:val="center"/>
          </w:tcPr>
          <w:p>
            <w:pPr>
              <w:spacing w:after="0" w:line="259" w:lineRule="auto"/>
            </w:pPr>
            <w:r>
              <w:rPr>
                <w:rFonts w:ascii="Calibri" w:hAnsi="Calibri"/>
                <w:color w:val="2C2929"/>
                <w:sz w:val="17"/>
              </w:rPr>
              <w:t>TLS, secure cookie/storage, refresh rotation, revocation, device/session visibility, and anomaly alerts.</w:t>
            </w:r>
          </w:p>
        </w:tc>
      </w:tr>
      <w:tr>
        <w:trPr>
          <w:cantSplit/>
        </w:trPr>
        <w:tc>
          <w:tcPr>
            <w:tcW w:type="dxa" w:w="2350"/>
            <w:vAlign w:val="center"/>
          </w:tcPr>
          <w:p>
            <w:pPr>
              <w:spacing w:after="0" w:line="259" w:lineRule="auto"/>
            </w:pPr>
            <w:r>
              <w:rPr>
                <w:rFonts w:ascii="Calibri" w:hAnsi="Calibri"/>
                <w:color w:val="2C2929"/>
                <w:sz w:val="17"/>
              </w:rPr>
              <w:t>Abuse and cost spikes</w:t>
            </w:r>
          </w:p>
        </w:tc>
        <w:tc>
          <w:tcPr>
            <w:tcW w:type="dxa" w:w="7010"/>
            <w:vAlign w:val="center"/>
          </w:tcPr>
          <w:p>
            <w:pPr>
              <w:spacing w:after="0" w:line="259" w:lineRule="auto"/>
            </w:pPr>
            <w:r>
              <w:rPr>
                <w:rFonts w:ascii="Calibri" w:hAnsi="Calibri"/>
                <w:color w:val="2C2929"/>
                <w:sz w:val="17"/>
              </w:rPr>
              <w:t>Per-IP/user limits, AI quotas, upload quotas, queue concurrency limits, and budget alarms.</w:t>
            </w:r>
          </w:p>
        </w:tc>
      </w:tr>
      <w:tr>
        <w:trPr>
          <w:cantSplit/>
        </w:trPr>
        <w:tc>
          <w:tcPr>
            <w:tcW w:type="dxa" w:w="2350"/>
            <w:vAlign w:val="center"/>
          </w:tcPr>
          <w:p>
            <w:pPr>
              <w:spacing w:after="0" w:line="259" w:lineRule="auto"/>
            </w:pPr>
            <w:r>
              <w:rPr>
                <w:rFonts w:ascii="Calibri" w:hAnsi="Calibri"/>
                <w:color w:val="2C2929"/>
                <w:sz w:val="17"/>
              </w:rPr>
              <w:t>Sensitive logging</w:t>
            </w:r>
          </w:p>
        </w:tc>
        <w:tc>
          <w:tcPr>
            <w:tcW w:type="dxa" w:w="7010"/>
            <w:vAlign w:val="center"/>
          </w:tcPr>
          <w:p>
            <w:pPr>
              <w:spacing w:after="0" w:line="259" w:lineRule="auto"/>
            </w:pPr>
            <w:r>
              <w:rPr>
                <w:rFonts w:ascii="Calibri" w:hAnsi="Calibri"/>
                <w:color w:val="2C2929"/>
                <w:sz w:val="17"/>
              </w:rPr>
              <w:t>Structured redaction; exclude passwords, tokens, document contents, and payment-related personal data.</w:t>
            </w:r>
          </w:p>
        </w:tc>
      </w:tr>
      <w:tr>
        <w:trPr>
          <w:cantSplit/>
        </w:trPr>
        <w:tc>
          <w:tcPr>
            <w:tcW w:type="dxa" w:w="2350"/>
            <w:vAlign w:val="center"/>
          </w:tcPr>
          <w:p>
            <w:pPr>
              <w:spacing w:after="0" w:line="259" w:lineRule="auto"/>
            </w:pPr>
            <w:r>
              <w:rPr>
                <w:rFonts w:ascii="Calibri" w:hAnsi="Calibri"/>
                <w:color w:val="2C2929"/>
                <w:sz w:val="17"/>
              </w:rPr>
              <w:t>Unsafe bill redirect</w:t>
            </w:r>
          </w:p>
        </w:tc>
        <w:tc>
          <w:tcPr>
            <w:tcW w:type="dxa" w:w="7010"/>
            <w:vAlign w:val="center"/>
          </w:tcPr>
          <w:p>
            <w:pPr>
              <w:spacing w:after="0" w:line="259" w:lineRule="auto"/>
            </w:pPr>
            <w:r>
              <w:rPr>
                <w:rFonts w:ascii="Calibri" w:hAnsi="Calibri"/>
                <w:color w:val="2C2929"/>
                <w:sz w:val="17"/>
              </w:rPr>
              <w:t>Curated/verified HTTPS domains, clear outbound warning, hostname display, and no credential collection by KayaTo.</w:t>
            </w:r>
          </w:p>
        </w:tc>
      </w:tr>
      <w:tr>
        <w:trPr>
          <w:cantSplit/>
        </w:trPr>
        <w:tc>
          <w:tcPr>
            <w:tcW w:type="dxa" w:w="2350"/>
            <w:vAlign w:val="center"/>
          </w:tcPr>
          <w:p>
            <w:pPr>
              <w:spacing w:after="0" w:line="259" w:lineRule="auto"/>
            </w:pPr>
            <w:r>
              <w:rPr>
                <w:rFonts w:ascii="Calibri" w:hAnsi="Calibri"/>
                <w:color w:val="2C2929"/>
                <w:sz w:val="17"/>
              </w:rPr>
              <w:t>Supply-chain risk</w:t>
            </w:r>
          </w:p>
        </w:tc>
        <w:tc>
          <w:tcPr>
            <w:tcW w:type="dxa" w:w="7010"/>
            <w:vAlign w:val="center"/>
          </w:tcPr>
          <w:p>
            <w:pPr>
              <w:spacing w:after="0" w:line="259" w:lineRule="auto"/>
            </w:pPr>
            <w:r>
              <w:rPr>
                <w:rFonts w:ascii="Calibri" w:hAnsi="Calibri"/>
                <w:color w:val="2C2929"/>
                <w:sz w:val="17"/>
              </w:rPr>
              <w:t>Lockfiles, dependency scanning, minimal runtime images, provenance, and prompt patching with tested upgrades.</w:t>
            </w:r>
          </w:p>
        </w:tc>
      </w:tr>
    </w:tbl>
    <w:p>
      <w:pPr>
        <w:keepNext w:val="0"/>
        <w:spacing w:before="0" w:after="40"/>
      </w:pPr>
      <w:r>
        <w:rPr>
          <w:rFonts w:ascii="Calibri" w:hAnsi="Calibri"/>
          <w:b w:val="0"/>
          <w:i w:val="0"/>
          <w:color w:val="2C2929"/>
        </w:rPr>
      </w:r>
    </w:p>
    <w:p>
      <w:pPr>
        <w:pStyle w:val="Heading2"/>
      </w:pPr>
      <w:r>
        <w:t>Privacy requirements</w:t>
      </w:r>
    </w:p>
    <w:p>
      <w:pPr>
        <w:pStyle w:val="ListBullet"/>
        <w:keepLines/>
      </w:pPr>
      <w:r>
        <w:t>Publish a data inventory and purpose for each field; collect only what a feature requires.</w:t>
      </w:r>
    </w:p>
    <w:p>
      <w:pPr>
        <w:pStyle w:val="ListBullet"/>
        <w:keepLines/>
      </w:pPr>
      <w:r>
        <w:t>Define retention and deletion for accounts, uploaded files, extracted text, AI plans, chat messages, receipts, and audit logs.</w:t>
      </w:r>
    </w:p>
    <w:p>
      <w:pPr>
        <w:pStyle w:val="ListBullet"/>
        <w:keepLines/>
      </w:pPr>
      <w:r>
        <w:t>Provide export and deletion workflows with team-owned data rules clearly separated from personal data.</w:t>
      </w:r>
    </w:p>
    <w:p>
      <w:pPr>
        <w:pStyle w:val="ListBullet"/>
        <w:keepLines/>
      </w:pPr>
      <w:r>
        <w:t>Encrypt data in transit and at rest; restrict production access with least privilege and audited administrative actions.</w:t>
      </w:r>
    </w:p>
    <w:p>
      <w:pPr>
        <w:pStyle w:val="ListBullet"/>
        <w:keepLines/>
      </w:pPr>
      <w:r>
        <w:t>Do not use customer content for model training unless the user has explicitly opted in under a clear policy.</w:t>
      </w:r>
    </w:p>
    <w:p>
      <w:pPr>
        <w:pStyle w:val="Heading2"/>
      </w:pPr>
      <w:r>
        <w:t>Reliability patterns</w:t>
      </w:r>
    </w:p>
    <w:p>
      <w:pPr>
        <w:pStyle w:val="ListBullet"/>
        <w:keepLines/>
      </w:pPr>
      <w:r>
        <w:t>Graceful shutdown stops new traffic, drains requests, closes Socket.IO, and then closes database/queue connections.</w:t>
      </w:r>
    </w:p>
    <w:p>
      <w:pPr>
        <w:pStyle w:val="ListBullet"/>
        <w:keepLines/>
      </w:pPr>
      <w:r>
        <w:t>Readiness fails when mandatory dependencies are unavailable; liveness verifies only that the process can respond.</w:t>
      </w:r>
    </w:p>
    <w:p>
      <w:pPr>
        <w:pStyle w:val="ListBullet"/>
        <w:keepLines/>
      </w:pPr>
      <w:r>
        <w:t>Use retries only for transient failures, with jitter and idempotency; add circuit breakers around unstable external services.</w:t>
      </w:r>
    </w:p>
    <w:p>
      <w:pPr>
        <w:pStyle w:val="ListBullet"/>
        <w:keepLines/>
      </w:pPr>
      <w:r>
        <w:t>Back up MongoDB and object storage, test restoration, and document recovery time and recovery point objectives.</w:t>
      </w:r>
    </w:p>
    <w:p>
      <w:pPr>
        <w:pStyle w:val="Heading1"/>
      </w:pPr>
      <w:r>
        <w:t>9. Delivery, testing, observability, and operations</w:t>
      </w:r>
    </w:p>
    <w:p>
      <w:pPr>
        <w:pStyle w:val="Heading2"/>
      </w:pPr>
      <w:r>
        <w:t>Environment model</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1500"/>
        <w:gridCol w:w="4440"/>
        <w:gridCol w:w="3420"/>
      </w:tblGrid>
      <w:tr>
        <w:trPr>
          <w:cantSplit/>
          <w:tblHeader w:val="true"/>
        </w:trPr>
        <w:tc>
          <w:tcPr>
            <w:tcW w:type="dxa" w:w="1500"/>
            <w:tcMar>
              <w:top w:w="80" w:type="dxa"/>
              <w:start w:w="120" w:type="dxa"/>
              <w:bottom w:w="80" w:type="dxa"/>
              <w:end w:w="120" w:type="dxa"/>
            </w:tcMar>
            <w:shd w:fill="F4E8EA"/>
            <w:vAlign w:val="center"/>
          </w:tcPr>
          <w:p>
            <w:pPr>
              <w:spacing w:after="0"/>
            </w:pPr>
            <w:r>
              <w:rPr>
                <w:rFonts w:ascii="Calibri" w:hAnsi="Calibri"/>
                <w:b/>
                <w:color w:val="70000E"/>
                <w:sz w:val="18"/>
              </w:rPr>
              <w:t>Environment</w:t>
            </w:r>
          </w:p>
        </w:tc>
        <w:tc>
          <w:tcPr>
            <w:tcW w:type="dxa" w:w="4440"/>
            <w:tcMar>
              <w:top w:w="80" w:type="dxa"/>
              <w:start w:w="120" w:type="dxa"/>
              <w:bottom w:w="80" w:type="dxa"/>
              <w:end w:w="120" w:type="dxa"/>
            </w:tcMar>
            <w:shd w:fill="F4E8EA"/>
            <w:vAlign w:val="center"/>
          </w:tcPr>
          <w:p>
            <w:pPr>
              <w:spacing w:after="0"/>
            </w:pPr>
            <w:r>
              <w:rPr>
                <w:rFonts w:ascii="Calibri" w:hAnsi="Calibri"/>
                <w:b/>
                <w:color w:val="70000E"/>
                <w:sz w:val="18"/>
              </w:rPr>
              <w:t>Purpose</w:t>
            </w:r>
          </w:p>
        </w:tc>
        <w:tc>
          <w:tcPr>
            <w:tcW w:type="dxa" w:w="3420"/>
            <w:tcMar>
              <w:top w:w="80" w:type="dxa"/>
              <w:start w:w="120" w:type="dxa"/>
              <w:bottom w:w="80" w:type="dxa"/>
              <w:end w:w="120" w:type="dxa"/>
            </w:tcMar>
            <w:shd w:fill="F4E8EA"/>
            <w:vAlign w:val="center"/>
          </w:tcPr>
          <w:p>
            <w:pPr>
              <w:spacing w:after="0"/>
            </w:pPr>
            <w:r>
              <w:rPr>
                <w:rFonts w:ascii="Calibri" w:hAnsi="Calibri"/>
                <w:b/>
                <w:color w:val="70000E"/>
                <w:sz w:val="18"/>
              </w:rPr>
              <w:t>Data policy</w:t>
            </w:r>
          </w:p>
        </w:tc>
      </w:tr>
      <w:tr>
        <w:trPr>
          <w:cantSplit/>
        </w:trPr>
        <w:tc>
          <w:tcPr>
            <w:tcW w:type="dxa" w:w="1500"/>
            <w:vAlign w:val="center"/>
          </w:tcPr>
          <w:p>
            <w:pPr>
              <w:spacing w:after="0" w:line="259" w:lineRule="auto"/>
            </w:pPr>
            <w:r>
              <w:rPr>
                <w:rFonts w:ascii="Calibri" w:hAnsi="Calibri"/>
                <w:color w:val="2C2929"/>
                <w:sz w:val="18"/>
              </w:rPr>
              <w:t>Local</w:t>
            </w:r>
          </w:p>
        </w:tc>
        <w:tc>
          <w:tcPr>
            <w:tcW w:type="dxa" w:w="4440"/>
            <w:vAlign w:val="center"/>
          </w:tcPr>
          <w:p>
            <w:pPr>
              <w:spacing w:after="0" w:line="259" w:lineRule="auto"/>
            </w:pPr>
            <w:r>
              <w:rPr>
                <w:rFonts w:ascii="Calibri" w:hAnsi="Calibri"/>
                <w:color w:val="2C2929"/>
                <w:sz w:val="18"/>
              </w:rPr>
              <w:t>Developer workflow with seeded fixtures and local/ephemeral dependencies.</w:t>
            </w:r>
          </w:p>
        </w:tc>
        <w:tc>
          <w:tcPr>
            <w:tcW w:type="dxa" w:w="3420"/>
            <w:vAlign w:val="center"/>
          </w:tcPr>
          <w:p>
            <w:pPr>
              <w:spacing w:after="0" w:line="259" w:lineRule="auto"/>
            </w:pPr>
            <w:r>
              <w:rPr>
                <w:rFonts w:ascii="Calibri" w:hAnsi="Calibri"/>
                <w:color w:val="2C2929"/>
                <w:sz w:val="18"/>
              </w:rPr>
              <w:t>Synthetic data only.</w:t>
            </w:r>
          </w:p>
        </w:tc>
      </w:tr>
      <w:tr>
        <w:trPr>
          <w:cantSplit/>
        </w:trPr>
        <w:tc>
          <w:tcPr>
            <w:tcW w:type="dxa" w:w="1500"/>
            <w:vAlign w:val="center"/>
          </w:tcPr>
          <w:p>
            <w:pPr>
              <w:spacing w:after="0" w:line="259" w:lineRule="auto"/>
            </w:pPr>
            <w:r>
              <w:rPr>
                <w:rFonts w:ascii="Calibri" w:hAnsi="Calibri"/>
                <w:color w:val="2C2929"/>
                <w:sz w:val="18"/>
              </w:rPr>
              <w:t>CI</w:t>
            </w:r>
          </w:p>
        </w:tc>
        <w:tc>
          <w:tcPr>
            <w:tcW w:type="dxa" w:w="4440"/>
            <w:vAlign w:val="center"/>
          </w:tcPr>
          <w:p>
            <w:pPr>
              <w:spacing w:after="0" w:line="259" w:lineRule="auto"/>
            </w:pPr>
            <w:r>
              <w:rPr>
                <w:rFonts w:ascii="Calibri" w:hAnsi="Calibri"/>
                <w:color w:val="2C2929"/>
                <w:sz w:val="18"/>
              </w:rPr>
              <w:t>Automated lint, tests, build, migrations/index checks, and security scanning.</w:t>
            </w:r>
          </w:p>
        </w:tc>
        <w:tc>
          <w:tcPr>
            <w:tcW w:type="dxa" w:w="3420"/>
            <w:vAlign w:val="center"/>
          </w:tcPr>
          <w:p>
            <w:pPr>
              <w:spacing w:after="0" w:line="259" w:lineRule="auto"/>
            </w:pPr>
            <w:r>
              <w:rPr>
                <w:rFonts w:ascii="Calibri" w:hAnsi="Calibri"/>
                <w:color w:val="2C2929"/>
                <w:sz w:val="18"/>
              </w:rPr>
              <w:t>Ephemeral test data.</w:t>
            </w:r>
          </w:p>
        </w:tc>
      </w:tr>
      <w:tr>
        <w:trPr>
          <w:cantSplit/>
        </w:trPr>
        <w:tc>
          <w:tcPr>
            <w:tcW w:type="dxa" w:w="1500"/>
            <w:vAlign w:val="center"/>
          </w:tcPr>
          <w:p>
            <w:pPr>
              <w:spacing w:after="0" w:line="259" w:lineRule="auto"/>
            </w:pPr>
            <w:r>
              <w:rPr>
                <w:rFonts w:ascii="Calibri" w:hAnsi="Calibri"/>
                <w:color w:val="2C2929"/>
                <w:sz w:val="18"/>
              </w:rPr>
              <w:t>Staging</w:t>
            </w:r>
          </w:p>
        </w:tc>
        <w:tc>
          <w:tcPr>
            <w:tcW w:type="dxa" w:w="4440"/>
            <w:vAlign w:val="center"/>
          </w:tcPr>
          <w:p>
            <w:pPr>
              <w:spacing w:after="0" w:line="259" w:lineRule="auto"/>
            </w:pPr>
            <w:r>
              <w:rPr>
                <w:rFonts w:ascii="Calibri" w:hAnsi="Calibri"/>
                <w:color w:val="2C2929"/>
                <w:sz w:val="18"/>
              </w:rPr>
              <w:t>Production-like integration, UAT, load tests, and release rehearsal.</w:t>
            </w:r>
          </w:p>
        </w:tc>
        <w:tc>
          <w:tcPr>
            <w:tcW w:type="dxa" w:w="3420"/>
            <w:vAlign w:val="center"/>
          </w:tcPr>
          <w:p>
            <w:pPr>
              <w:spacing w:after="0" w:line="259" w:lineRule="auto"/>
            </w:pPr>
            <w:r>
              <w:rPr>
                <w:rFonts w:ascii="Calibri" w:hAnsi="Calibri"/>
                <w:color w:val="2C2929"/>
                <w:sz w:val="18"/>
              </w:rPr>
              <w:t>Synthetic or explicitly sanitized data.</w:t>
            </w:r>
          </w:p>
        </w:tc>
      </w:tr>
      <w:tr>
        <w:trPr>
          <w:cantSplit/>
        </w:trPr>
        <w:tc>
          <w:tcPr>
            <w:tcW w:type="dxa" w:w="1500"/>
            <w:vAlign w:val="center"/>
          </w:tcPr>
          <w:p>
            <w:pPr>
              <w:spacing w:after="0" w:line="259" w:lineRule="auto"/>
            </w:pPr>
            <w:r>
              <w:rPr>
                <w:rFonts w:ascii="Calibri" w:hAnsi="Calibri"/>
                <w:color w:val="2C2929"/>
                <w:sz w:val="18"/>
              </w:rPr>
              <w:t>Production</w:t>
            </w:r>
          </w:p>
        </w:tc>
        <w:tc>
          <w:tcPr>
            <w:tcW w:type="dxa" w:w="4440"/>
            <w:vAlign w:val="center"/>
          </w:tcPr>
          <w:p>
            <w:pPr>
              <w:spacing w:after="0" w:line="259" w:lineRule="auto"/>
            </w:pPr>
            <w:r>
              <w:rPr>
                <w:rFonts w:ascii="Calibri" w:hAnsi="Calibri"/>
                <w:color w:val="2C2929"/>
                <w:sz w:val="18"/>
              </w:rPr>
              <w:t>Customer traffic with monitored, least-privilege infrastructure.</w:t>
            </w:r>
          </w:p>
        </w:tc>
        <w:tc>
          <w:tcPr>
            <w:tcW w:type="dxa" w:w="3420"/>
            <w:vAlign w:val="center"/>
          </w:tcPr>
          <w:p>
            <w:pPr>
              <w:spacing w:after="0" w:line="259" w:lineRule="auto"/>
            </w:pPr>
            <w:r>
              <w:rPr>
                <w:rFonts w:ascii="Calibri" w:hAnsi="Calibri"/>
                <w:color w:val="2C2929"/>
                <w:sz w:val="18"/>
              </w:rPr>
              <w:t>Real data under documented retention and access policies.</w:t>
            </w:r>
          </w:p>
        </w:tc>
      </w:tr>
    </w:tbl>
    <w:p>
      <w:pPr>
        <w:keepNext w:val="0"/>
        <w:spacing w:before="0" w:after="40"/>
      </w:pPr>
      <w:r>
        <w:rPr>
          <w:rFonts w:ascii="Calibri" w:hAnsi="Calibri"/>
          <w:b w:val="0"/>
          <w:i w:val="0"/>
          <w:color w:val="2C2929"/>
        </w:rPr>
      </w:r>
    </w:p>
    <w:p>
      <w:pPr>
        <w:pStyle w:val="Heading2"/>
      </w:pPr>
      <w:r>
        <w:t>CI/CD pipeline</w:t>
      </w:r>
    </w:p>
    <w:p>
      <w:pPr>
        <w:pStyle w:val="ListNumber"/>
        <w:keepLines/>
      </w:pPr>
      <w:r>
        <w:t>Install from lockfiles and verify formatting, linting, type/static checks, and unit tests.</w:t>
      </w:r>
    </w:p>
    <w:p>
      <w:pPr>
        <w:pStyle w:val="ListNumber"/>
        <w:keepLines/>
      </w:pPr>
      <w:r>
        <w:t>Run API integration tests against an isolated MongoDB instance and contract tests against the OpenAPI schema.</w:t>
      </w:r>
    </w:p>
    <w:p>
      <w:pPr>
        <w:pStyle w:val="ListNumber"/>
        <w:keepLines/>
      </w:pPr>
      <w:r>
        <w:t>Build web, API container, Android, and iOS artifacts; generate a software bill of materials and scan dependencies/images.</w:t>
      </w:r>
    </w:p>
    <w:p>
      <w:pPr>
        <w:pStyle w:val="ListNumber"/>
        <w:keepLines/>
      </w:pPr>
      <w:r>
        <w:t>Deploy automatically to staging, run smoke and end-to-end tests, then promote the immutable artifact with an approval gate.</w:t>
      </w:r>
    </w:p>
    <w:p>
      <w:pPr>
        <w:pStyle w:val="ListNumber"/>
        <w:keepLines/>
      </w:pPr>
      <w:r>
        <w:t>Run post-deploy health checks and support immediate rollback to the previous known-good version.</w:t>
      </w:r>
    </w:p>
    <w:p>
      <w:pPr>
        <w:pStyle w:val="Heading2"/>
      </w:pPr>
      <w:r>
        <w:t>Test strategy</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1600"/>
        <w:gridCol w:w="7760"/>
      </w:tblGrid>
      <w:tr>
        <w:trPr>
          <w:cantSplit/>
          <w:tblHeader w:val="true"/>
        </w:trPr>
        <w:tc>
          <w:tcPr>
            <w:tcW w:type="dxa" w:w="1600"/>
            <w:tcMar>
              <w:top w:w="80" w:type="dxa"/>
              <w:start w:w="120" w:type="dxa"/>
              <w:bottom w:w="80" w:type="dxa"/>
              <w:end w:w="120" w:type="dxa"/>
            </w:tcMar>
            <w:shd w:fill="F4E8EA"/>
            <w:vAlign w:val="center"/>
          </w:tcPr>
          <w:p>
            <w:pPr>
              <w:spacing w:after="0"/>
            </w:pPr>
            <w:r>
              <w:rPr>
                <w:rFonts w:ascii="Calibri" w:hAnsi="Calibri"/>
                <w:b/>
                <w:color w:val="70000E"/>
                <w:sz w:val="17"/>
              </w:rPr>
              <w:t>Level</w:t>
            </w:r>
          </w:p>
        </w:tc>
        <w:tc>
          <w:tcPr>
            <w:tcW w:type="dxa" w:w="7760"/>
            <w:tcMar>
              <w:top w:w="80" w:type="dxa"/>
              <w:start w:w="120" w:type="dxa"/>
              <w:bottom w:w="80" w:type="dxa"/>
              <w:end w:w="120" w:type="dxa"/>
            </w:tcMar>
            <w:shd w:fill="F4E8EA"/>
            <w:vAlign w:val="center"/>
          </w:tcPr>
          <w:p>
            <w:pPr>
              <w:spacing w:after="0"/>
            </w:pPr>
            <w:r>
              <w:rPr>
                <w:rFonts w:ascii="Calibri" w:hAnsi="Calibri"/>
                <w:b/>
                <w:color w:val="70000E"/>
                <w:sz w:val="17"/>
              </w:rPr>
              <w:t>Coverage</w:t>
            </w:r>
          </w:p>
        </w:tc>
      </w:tr>
      <w:tr>
        <w:trPr>
          <w:cantSplit/>
        </w:trPr>
        <w:tc>
          <w:tcPr>
            <w:tcW w:type="dxa" w:w="1600"/>
            <w:vAlign w:val="center"/>
          </w:tcPr>
          <w:p>
            <w:pPr>
              <w:spacing w:after="0" w:line="259" w:lineRule="auto"/>
            </w:pPr>
            <w:r>
              <w:rPr>
                <w:rFonts w:ascii="Calibri" w:hAnsi="Calibri"/>
                <w:color w:val="2C2929"/>
                <w:sz w:val="17"/>
              </w:rPr>
              <w:t>Unit</w:t>
            </w:r>
          </w:p>
        </w:tc>
        <w:tc>
          <w:tcPr>
            <w:tcW w:type="dxa" w:w="7760"/>
            <w:vAlign w:val="center"/>
          </w:tcPr>
          <w:p>
            <w:pPr>
              <w:spacing w:after="0" w:line="259" w:lineRule="auto"/>
            </w:pPr>
            <w:r>
              <w:rPr>
                <w:rFonts w:ascii="Calibri" w:hAnsi="Calibri"/>
                <w:color w:val="2C2929"/>
                <w:sz w:val="17"/>
              </w:rPr>
              <w:t>Domain transitions, authorization policies, validators, recurrence calculations, serializers, and AI-output parsing.</w:t>
            </w:r>
          </w:p>
        </w:tc>
      </w:tr>
      <w:tr>
        <w:trPr>
          <w:cantSplit/>
        </w:trPr>
        <w:tc>
          <w:tcPr>
            <w:tcW w:type="dxa" w:w="1600"/>
            <w:vAlign w:val="center"/>
          </w:tcPr>
          <w:p>
            <w:pPr>
              <w:spacing w:after="0" w:line="259" w:lineRule="auto"/>
            </w:pPr>
            <w:r>
              <w:rPr>
                <w:rFonts w:ascii="Calibri" w:hAnsi="Calibri"/>
                <w:color w:val="2C2929"/>
                <w:sz w:val="17"/>
              </w:rPr>
              <w:t>Integration</w:t>
            </w:r>
          </w:p>
        </w:tc>
        <w:tc>
          <w:tcPr>
            <w:tcW w:type="dxa" w:w="7760"/>
            <w:vAlign w:val="center"/>
          </w:tcPr>
          <w:p>
            <w:pPr>
              <w:spacing w:after="0" w:line="259" w:lineRule="auto"/>
            </w:pPr>
            <w:r>
              <w:rPr>
                <w:rFonts w:ascii="Calibri" w:hAnsi="Calibri"/>
                <w:color w:val="2C2929"/>
                <w:sz w:val="17"/>
              </w:rPr>
              <w:t>Routes + MongoDB, session rotation, team membership, Socket.IO authorization, queues, file metadata, and idempotency.</w:t>
            </w:r>
          </w:p>
        </w:tc>
      </w:tr>
      <w:tr>
        <w:trPr>
          <w:cantSplit/>
        </w:trPr>
        <w:tc>
          <w:tcPr>
            <w:tcW w:type="dxa" w:w="1600"/>
            <w:vAlign w:val="center"/>
          </w:tcPr>
          <w:p>
            <w:pPr>
              <w:spacing w:after="0" w:line="259" w:lineRule="auto"/>
            </w:pPr>
            <w:r>
              <w:rPr>
                <w:rFonts w:ascii="Calibri" w:hAnsi="Calibri"/>
                <w:color w:val="2C2929"/>
                <w:sz w:val="17"/>
              </w:rPr>
              <w:t>Contract</w:t>
            </w:r>
          </w:p>
        </w:tc>
        <w:tc>
          <w:tcPr>
            <w:tcW w:type="dxa" w:w="7760"/>
            <w:vAlign w:val="center"/>
          </w:tcPr>
          <w:p>
            <w:pPr>
              <w:spacing w:after="0" w:line="259" w:lineRule="auto"/>
            </w:pPr>
            <w:r>
              <w:rPr>
                <w:rFonts w:ascii="Calibri" w:hAnsi="Calibri"/>
                <w:color w:val="2C2929"/>
                <w:sz w:val="17"/>
              </w:rPr>
              <w:t>OpenAPI request/response compatibility for React and Flutter clients.</w:t>
            </w:r>
          </w:p>
        </w:tc>
      </w:tr>
      <w:tr>
        <w:trPr>
          <w:cantSplit/>
        </w:trPr>
        <w:tc>
          <w:tcPr>
            <w:tcW w:type="dxa" w:w="1600"/>
            <w:vAlign w:val="center"/>
          </w:tcPr>
          <w:p>
            <w:pPr>
              <w:spacing w:after="0" w:line="259" w:lineRule="auto"/>
            </w:pPr>
            <w:r>
              <w:rPr>
                <w:rFonts w:ascii="Calibri" w:hAnsi="Calibri"/>
                <w:color w:val="2C2929"/>
                <w:sz w:val="17"/>
              </w:rPr>
              <w:t>End to end</w:t>
            </w:r>
          </w:p>
        </w:tc>
        <w:tc>
          <w:tcPr>
            <w:tcW w:type="dxa" w:w="7760"/>
            <w:vAlign w:val="center"/>
          </w:tcPr>
          <w:p>
            <w:pPr>
              <w:spacing w:after="0" w:line="259" w:lineRule="auto"/>
            </w:pPr>
            <w:r>
              <w:rPr>
                <w:rFonts w:ascii="Calibri" w:hAnsi="Calibri"/>
                <w:color w:val="2C2929"/>
                <w:sz w:val="17"/>
              </w:rPr>
              <w:t>Register/login, create/assign/complete task, team invitation, chat, AI review/confirm, bill reminder/mark paid.</w:t>
            </w:r>
          </w:p>
        </w:tc>
      </w:tr>
      <w:tr>
        <w:trPr>
          <w:cantSplit/>
        </w:trPr>
        <w:tc>
          <w:tcPr>
            <w:tcW w:type="dxa" w:w="1600"/>
            <w:vAlign w:val="center"/>
          </w:tcPr>
          <w:p>
            <w:pPr>
              <w:spacing w:after="0" w:line="259" w:lineRule="auto"/>
            </w:pPr>
            <w:r>
              <w:rPr>
                <w:rFonts w:ascii="Calibri" w:hAnsi="Calibri"/>
                <w:color w:val="2C2929"/>
                <w:sz w:val="17"/>
              </w:rPr>
              <w:t>Accessibility</w:t>
            </w:r>
          </w:p>
        </w:tc>
        <w:tc>
          <w:tcPr>
            <w:tcW w:type="dxa" w:w="7760"/>
            <w:vAlign w:val="center"/>
          </w:tcPr>
          <w:p>
            <w:pPr>
              <w:spacing w:after="0" w:line="259" w:lineRule="auto"/>
            </w:pPr>
            <w:r>
              <w:rPr>
                <w:rFonts w:ascii="Calibri" w:hAnsi="Calibri"/>
                <w:color w:val="2C2929"/>
                <w:sz w:val="17"/>
              </w:rPr>
              <w:t>Keyboard flows, dialogs, focus order, labels, color contrast, reduced motion, and screen-reader smoke tests.</w:t>
            </w:r>
          </w:p>
        </w:tc>
      </w:tr>
      <w:tr>
        <w:trPr>
          <w:cantSplit/>
        </w:trPr>
        <w:tc>
          <w:tcPr>
            <w:tcW w:type="dxa" w:w="1600"/>
            <w:vAlign w:val="center"/>
          </w:tcPr>
          <w:p>
            <w:pPr>
              <w:spacing w:after="0" w:line="259" w:lineRule="auto"/>
            </w:pPr>
            <w:r>
              <w:rPr>
                <w:rFonts w:ascii="Calibri" w:hAnsi="Calibri"/>
                <w:color w:val="2C2929"/>
                <w:sz w:val="17"/>
              </w:rPr>
              <w:t>Performance</w:t>
            </w:r>
          </w:p>
        </w:tc>
        <w:tc>
          <w:tcPr>
            <w:tcW w:type="dxa" w:w="7760"/>
            <w:vAlign w:val="center"/>
          </w:tcPr>
          <w:p>
            <w:pPr>
              <w:spacing w:after="0" w:line="259" w:lineRule="auto"/>
            </w:pPr>
            <w:r>
              <w:rPr>
                <w:rFonts w:ascii="Calibri" w:hAnsi="Calibri"/>
                <w:color w:val="2C2929"/>
                <w:sz w:val="17"/>
              </w:rPr>
              <w:t>Task list paging/filtering, message history, socket fan-out, upload/extraction queue, and dashboard aggregation.</w:t>
            </w:r>
          </w:p>
        </w:tc>
      </w:tr>
      <w:tr>
        <w:trPr>
          <w:cantSplit/>
        </w:trPr>
        <w:tc>
          <w:tcPr>
            <w:tcW w:type="dxa" w:w="1600"/>
            <w:vAlign w:val="center"/>
          </w:tcPr>
          <w:p>
            <w:pPr>
              <w:spacing w:after="0" w:line="259" w:lineRule="auto"/>
            </w:pPr>
            <w:r>
              <w:rPr>
                <w:rFonts w:ascii="Calibri" w:hAnsi="Calibri"/>
                <w:color w:val="2C2929"/>
                <w:sz w:val="17"/>
              </w:rPr>
              <w:t>Security</w:t>
            </w:r>
          </w:p>
        </w:tc>
        <w:tc>
          <w:tcPr>
            <w:tcW w:type="dxa" w:w="7760"/>
            <w:vAlign w:val="center"/>
          </w:tcPr>
          <w:p>
            <w:pPr>
              <w:spacing w:after="0" w:line="259" w:lineRule="auto"/>
            </w:pPr>
            <w:r>
              <w:rPr>
                <w:rFonts w:ascii="Calibri" w:hAnsi="Calibri"/>
                <w:color w:val="2C2929"/>
                <w:sz w:val="17"/>
              </w:rPr>
              <w:t>Authorization matrix, rate limits, dependency scan, secret scan, file-abuse tests, and session-revocation tests.</w:t>
            </w:r>
          </w:p>
        </w:tc>
      </w:tr>
    </w:tbl>
    <w:p>
      <w:pPr>
        <w:keepNext w:val="0"/>
        <w:spacing w:before="0" w:after="40"/>
      </w:pPr>
      <w:r>
        <w:rPr>
          <w:rFonts w:ascii="Calibri" w:hAnsi="Calibri"/>
          <w:b w:val="0"/>
          <w:i w:val="0"/>
          <w:color w:val="2C2929"/>
        </w:rPr>
      </w:r>
    </w:p>
    <w:p>
      <w:pPr>
        <w:pStyle w:val="Heading2"/>
      </w:pPr>
      <w:r>
        <w:t>Observability</w:t>
      </w:r>
    </w:p>
    <w:p>
      <w:pPr>
        <w:pStyle w:val="ListBullet"/>
        <w:keepLines/>
      </w:pPr>
      <w:r>
        <w:t>Structured JSON logs with requestId, actor ID where appropriate, route, status, latency, and error code.</w:t>
      </w:r>
    </w:p>
    <w:p>
      <w:pPr>
        <w:pStyle w:val="ListBullet"/>
        <w:keepLines/>
      </w:pPr>
      <w:r>
        <w:t>Metrics for request rate/errors/latency, database latency, socket connections, queue depth/age, AI latency/cost, notification delivery, and job failures.</w:t>
      </w:r>
    </w:p>
    <w:p>
      <w:pPr>
        <w:pStyle w:val="ListBullet"/>
        <w:keepLines/>
      </w:pPr>
      <w:r>
        <w:t>Distributed tracing or correlation across API, worker, database, object storage, and AI provider calls.</w:t>
      </w:r>
    </w:p>
    <w:p>
      <w:pPr>
        <w:pStyle w:val="ListBullet"/>
        <w:keepLines/>
      </w:pPr>
      <w:r>
        <w:t>Alerts tied to user impact: elevated error rate, authentication failures, queue backlog, reminder lateness, and AI failure/cost thresholds.</w:t>
      </w:r>
    </w:p>
    <w:p>
      <w:pPr>
        <w:pStyle w:val="ListBullet"/>
        <w:keepLines/>
      </w:pPr>
      <w:r>
        <w:t>Dashboards and runbooks for login failure, database degradation, realtime disconnect spikes, stalled AI jobs, and missed reminders.</w:t>
      </w:r>
    </w:p>
    <w:p>
      <w:pPr>
        <w:pStyle w:val="Heading2"/>
      </w:pPr>
      <w:r>
        <w:t>Suggested service objectives</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2500"/>
        <w:gridCol w:w="6860"/>
      </w:tblGrid>
      <w:tr>
        <w:trPr>
          <w:cantSplit/>
          <w:tblHeader w:val="true"/>
        </w:trPr>
        <w:tc>
          <w:tcPr>
            <w:tcW w:type="dxa" w:w="2500"/>
            <w:tcMar>
              <w:top w:w="80" w:type="dxa"/>
              <w:start w:w="120" w:type="dxa"/>
              <w:bottom w:w="80" w:type="dxa"/>
              <w:end w:w="120" w:type="dxa"/>
            </w:tcMar>
            <w:shd w:fill="F4E8EA"/>
            <w:vAlign w:val="center"/>
          </w:tcPr>
          <w:p>
            <w:pPr>
              <w:spacing w:after="0"/>
            </w:pPr>
            <w:r>
              <w:rPr>
                <w:rFonts w:ascii="Calibri" w:hAnsi="Calibri"/>
                <w:b/>
                <w:color w:val="70000E"/>
                <w:sz w:val="18"/>
              </w:rPr>
              <w:t>Capability</w:t>
            </w:r>
          </w:p>
        </w:tc>
        <w:tc>
          <w:tcPr>
            <w:tcW w:type="dxa" w:w="6860"/>
            <w:tcMar>
              <w:top w:w="80" w:type="dxa"/>
              <w:start w:w="120" w:type="dxa"/>
              <w:bottom w:w="80" w:type="dxa"/>
              <w:end w:w="120" w:type="dxa"/>
            </w:tcMar>
            <w:shd w:fill="F4E8EA"/>
            <w:vAlign w:val="center"/>
          </w:tcPr>
          <w:p>
            <w:pPr>
              <w:spacing w:after="0"/>
            </w:pPr>
            <w:r>
              <w:rPr>
                <w:rFonts w:ascii="Calibri" w:hAnsi="Calibri"/>
                <w:b/>
                <w:color w:val="70000E"/>
                <w:sz w:val="18"/>
              </w:rPr>
              <w:t>Initial target</w:t>
            </w:r>
          </w:p>
        </w:tc>
      </w:tr>
      <w:tr>
        <w:trPr>
          <w:cantSplit/>
        </w:trPr>
        <w:tc>
          <w:tcPr>
            <w:tcW w:type="dxa" w:w="2500"/>
            <w:vAlign w:val="center"/>
          </w:tcPr>
          <w:p>
            <w:pPr>
              <w:spacing w:after="0" w:line="259" w:lineRule="auto"/>
            </w:pPr>
            <w:r>
              <w:rPr>
                <w:rFonts w:ascii="Calibri" w:hAnsi="Calibri"/>
                <w:color w:val="2C2929"/>
                <w:sz w:val="18"/>
              </w:rPr>
              <w:t>Authenticated API</w:t>
            </w:r>
          </w:p>
        </w:tc>
        <w:tc>
          <w:tcPr>
            <w:tcW w:type="dxa" w:w="6860"/>
            <w:vAlign w:val="center"/>
          </w:tcPr>
          <w:p>
            <w:pPr>
              <w:spacing w:after="0" w:line="259" w:lineRule="auto"/>
            </w:pPr>
            <w:r>
              <w:rPr>
                <w:rFonts w:ascii="Calibri" w:hAnsi="Calibri"/>
                <w:color w:val="2C2929"/>
                <w:sz w:val="18"/>
              </w:rPr>
              <w:t>99.9% monthly availability; p95 read latency below 400 ms excluding external calls.</w:t>
            </w:r>
          </w:p>
        </w:tc>
      </w:tr>
      <w:tr>
        <w:trPr>
          <w:cantSplit/>
        </w:trPr>
        <w:tc>
          <w:tcPr>
            <w:tcW w:type="dxa" w:w="2500"/>
            <w:vAlign w:val="center"/>
          </w:tcPr>
          <w:p>
            <w:pPr>
              <w:spacing w:after="0" w:line="259" w:lineRule="auto"/>
            </w:pPr>
            <w:r>
              <w:rPr>
                <w:rFonts w:ascii="Calibri" w:hAnsi="Calibri"/>
                <w:color w:val="2C2929"/>
                <w:sz w:val="18"/>
              </w:rPr>
              <w:t>Realtime message delivery</w:t>
            </w:r>
          </w:p>
        </w:tc>
        <w:tc>
          <w:tcPr>
            <w:tcW w:type="dxa" w:w="6860"/>
            <w:vAlign w:val="center"/>
          </w:tcPr>
          <w:p>
            <w:pPr>
              <w:spacing w:after="0" w:line="259" w:lineRule="auto"/>
            </w:pPr>
            <w:r>
              <w:rPr>
                <w:rFonts w:ascii="Calibri" w:hAnsi="Calibri"/>
                <w:color w:val="2C2929"/>
                <w:sz w:val="18"/>
              </w:rPr>
              <w:t>p95 server-to-room emit below 1 second under expected load.</w:t>
            </w:r>
          </w:p>
        </w:tc>
      </w:tr>
      <w:tr>
        <w:trPr>
          <w:cantSplit/>
        </w:trPr>
        <w:tc>
          <w:tcPr>
            <w:tcW w:type="dxa" w:w="2500"/>
            <w:vAlign w:val="center"/>
          </w:tcPr>
          <w:p>
            <w:pPr>
              <w:spacing w:after="0" w:line="259" w:lineRule="auto"/>
            </w:pPr>
            <w:r>
              <w:rPr>
                <w:rFonts w:ascii="Calibri" w:hAnsi="Calibri"/>
                <w:color w:val="2C2929"/>
                <w:sz w:val="18"/>
              </w:rPr>
              <w:t>AI plan generation</w:t>
            </w:r>
          </w:p>
        </w:tc>
        <w:tc>
          <w:tcPr>
            <w:tcW w:type="dxa" w:w="6860"/>
            <w:vAlign w:val="center"/>
          </w:tcPr>
          <w:p>
            <w:pPr>
              <w:spacing w:after="0" w:line="259" w:lineRule="auto"/>
            </w:pPr>
            <w:r>
              <w:rPr>
                <w:rFonts w:ascii="Calibri" w:hAnsi="Calibri"/>
                <w:color w:val="2C2929"/>
                <w:sz w:val="18"/>
              </w:rPr>
              <w:t>95% of supported documents reach ready or an actionable failed state within 2 minutes.</w:t>
            </w:r>
          </w:p>
        </w:tc>
      </w:tr>
      <w:tr>
        <w:trPr>
          <w:cantSplit/>
        </w:trPr>
        <w:tc>
          <w:tcPr>
            <w:tcW w:type="dxa" w:w="2500"/>
            <w:vAlign w:val="center"/>
          </w:tcPr>
          <w:p>
            <w:pPr>
              <w:spacing w:after="0" w:line="259" w:lineRule="auto"/>
            </w:pPr>
            <w:r>
              <w:rPr>
                <w:rFonts w:ascii="Calibri" w:hAnsi="Calibri"/>
                <w:color w:val="2C2929"/>
                <w:sz w:val="18"/>
              </w:rPr>
              <w:t>Bill reminders</w:t>
            </w:r>
          </w:p>
        </w:tc>
        <w:tc>
          <w:tcPr>
            <w:tcW w:type="dxa" w:w="6860"/>
            <w:vAlign w:val="center"/>
          </w:tcPr>
          <w:p>
            <w:pPr>
              <w:spacing w:after="0" w:line="259" w:lineRule="auto"/>
            </w:pPr>
            <w:r>
              <w:rPr>
                <w:rFonts w:ascii="Calibri" w:hAnsi="Calibri"/>
                <w:color w:val="2C2929"/>
                <w:sz w:val="18"/>
              </w:rPr>
              <w:t>99% of scheduled reminders dispatched within 5 minutes of target time.</w:t>
            </w:r>
          </w:p>
        </w:tc>
      </w:tr>
    </w:tbl>
    <w:p>
      <w:pPr>
        <w:keepNext w:val="0"/>
        <w:spacing w:before="0" w:after="40"/>
      </w:pPr>
      <w:r>
        <w:rPr>
          <w:rFonts w:ascii="Calibri" w:hAnsi="Calibri"/>
          <w:b w:val="0"/>
          <w:i w:val="0"/>
          <w:color w:val="2C2929"/>
        </w:rPr>
      </w:r>
    </w:p>
    <w:p>
      <w:pPr>
        <w:pStyle w:val="Heading1"/>
      </w:pPr>
      <w:r>
        <w:t>10. Phased roadmap and definition of done</w:t>
      </w:r>
    </w:p>
    <w:p>
      <w:pPr>
        <w:keepNext w:val="0"/>
        <w:spacing w:before="0" w:after="120"/>
      </w:pPr>
      <w:r>
        <w:rPr>
          <w:rFonts w:ascii="Calibri" w:hAnsi="Calibri"/>
          <w:b w:val="0"/>
          <w:i w:val="0"/>
          <w:color w:val="2C2929"/>
        </w:rPr>
        <w:t>The sequence below prioritizes a working vertical slice before adding high-cost integrations. Durations are planning estimates for a small cross-functional team and should be recalibrated after backlog sizing.</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1200"/>
        <w:gridCol w:w="2200"/>
        <w:gridCol w:w="4520"/>
        <w:gridCol w:w="1440"/>
      </w:tblGrid>
      <w:tr>
        <w:trPr>
          <w:cantSplit/>
          <w:tblHeader w:val="true"/>
        </w:trPr>
        <w:tc>
          <w:tcPr>
            <w:tcW w:type="dxa" w:w="1200"/>
            <w:tcMar>
              <w:top w:w="80" w:type="dxa"/>
              <w:start w:w="120" w:type="dxa"/>
              <w:bottom w:w="80" w:type="dxa"/>
              <w:end w:w="120" w:type="dxa"/>
            </w:tcMar>
            <w:shd w:fill="F4E8EA"/>
            <w:vAlign w:val="center"/>
          </w:tcPr>
          <w:p>
            <w:pPr>
              <w:spacing w:after="0"/>
            </w:pPr>
            <w:r>
              <w:rPr>
                <w:rFonts w:ascii="Calibri" w:hAnsi="Calibri"/>
                <w:b/>
                <w:color w:val="70000E"/>
                <w:sz w:val="16"/>
              </w:rPr>
              <w:t>Phase</w:t>
            </w:r>
          </w:p>
        </w:tc>
        <w:tc>
          <w:tcPr>
            <w:tcW w:type="dxa" w:w="2200"/>
            <w:tcMar>
              <w:top w:w="80" w:type="dxa"/>
              <w:start w:w="120" w:type="dxa"/>
              <w:bottom w:w="80" w:type="dxa"/>
              <w:end w:w="120" w:type="dxa"/>
            </w:tcMar>
            <w:shd w:fill="F4E8EA"/>
            <w:vAlign w:val="center"/>
          </w:tcPr>
          <w:p>
            <w:pPr>
              <w:spacing w:after="0"/>
            </w:pPr>
            <w:r>
              <w:rPr>
                <w:rFonts w:ascii="Calibri" w:hAnsi="Calibri"/>
                <w:b/>
                <w:color w:val="70000E"/>
                <w:sz w:val="16"/>
              </w:rPr>
              <w:t>Outcome</w:t>
            </w:r>
          </w:p>
        </w:tc>
        <w:tc>
          <w:tcPr>
            <w:tcW w:type="dxa" w:w="4520"/>
            <w:tcMar>
              <w:top w:w="80" w:type="dxa"/>
              <w:start w:w="120" w:type="dxa"/>
              <w:bottom w:w="80" w:type="dxa"/>
              <w:end w:w="120" w:type="dxa"/>
            </w:tcMar>
            <w:shd w:fill="F4E8EA"/>
            <w:vAlign w:val="center"/>
          </w:tcPr>
          <w:p>
            <w:pPr>
              <w:spacing w:after="0"/>
            </w:pPr>
            <w:r>
              <w:rPr>
                <w:rFonts w:ascii="Calibri" w:hAnsi="Calibri"/>
                <w:b/>
                <w:color w:val="70000E"/>
                <w:sz w:val="16"/>
              </w:rPr>
              <w:t>Key deliverables</w:t>
            </w:r>
          </w:p>
        </w:tc>
        <w:tc>
          <w:tcPr>
            <w:tcW w:type="dxa" w:w="1440"/>
            <w:tcMar>
              <w:top w:w="80" w:type="dxa"/>
              <w:start w:w="120" w:type="dxa"/>
              <w:bottom w:w="80" w:type="dxa"/>
              <w:end w:w="120" w:type="dxa"/>
            </w:tcMar>
            <w:shd w:fill="F4E8EA"/>
            <w:vAlign w:val="center"/>
          </w:tcPr>
          <w:p>
            <w:pPr>
              <w:spacing w:after="0"/>
            </w:pPr>
            <w:r>
              <w:rPr>
                <w:rFonts w:ascii="Calibri" w:hAnsi="Calibri"/>
                <w:b/>
                <w:color w:val="70000E"/>
                <w:sz w:val="16"/>
              </w:rPr>
              <w:t>Indicative duration</w:t>
            </w:r>
          </w:p>
        </w:tc>
      </w:tr>
      <w:tr>
        <w:trPr>
          <w:cantSplit/>
        </w:trPr>
        <w:tc>
          <w:tcPr>
            <w:tcW w:type="dxa" w:w="1200"/>
            <w:vAlign w:val="center"/>
          </w:tcPr>
          <w:p>
            <w:pPr>
              <w:spacing w:after="0" w:line="259" w:lineRule="auto"/>
            </w:pPr>
            <w:r>
              <w:rPr>
                <w:rFonts w:ascii="Calibri" w:hAnsi="Calibri"/>
                <w:color w:val="2C2929"/>
                <w:sz w:val="16"/>
              </w:rPr>
              <w:t>0. Foundations</w:t>
            </w:r>
          </w:p>
        </w:tc>
        <w:tc>
          <w:tcPr>
            <w:tcW w:type="dxa" w:w="2200"/>
            <w:vAlign w:val="center"/>
          </w:tcPr>
          <w:p>
            <w:pPr>
              <w:spacing w:after="0" w:line="259" w:lineRule="auto"/>
            </w:pPr>
            <w:r>
              <w:rPr>
                <w:rFonts w:ascii="Calibri" w:hAnsi="Calibri"/>
                <w:color w:val="2C2929"/>
                <w:sz w:val="16"/>
              </w:rPr>
              <w:t>Repeatable engineering baseline</w:t>
            </w:r>
          </w:p>
        </w:tc>
        <w:tc>
          <w:tcPr>
            <w:tcW w:type="dxa" w:w="4520"/>
            <w:vAlign w:val="center"/>
          </w:tcPr>
          <w:p>
            <w:pPr>
              <w:spacing w:after="0" w:line="259" w:lineRule="auto"/>
            </w:pPr>
            <w:r>
              <w:rPr>
                <w:rFonts w:ascii="Calibri" w:hAnsi="Calibri"/>
                <w:color w:val="2C2929"/>
                <w:sz w:val="16"/>
              </w:rPr>
              <w:t>Environment validation, app composition, shared errors/validation, logging, OpenAPI, test harness, CI.</w:t>
            </w:r>
          </w:p>
        </w:tc>
        <w:tc>
          <w:tcPr>
            <w:tcW w:type="dxa" w:w="1440"/>
            <w:vAlign w:val="center"/>
          </w:tcPr>
          <w:p>
            <w:pPr>
              <w:spacing w:after="0" w:line="259" w:lineRule="auto"/>
            </w:pPr>
            <w:r>
              <w:rPr>
                <w:rFonts w:ascii="Calibri" w:hAnsi="Calibri"/>
                <w:color w:val="2C2929"/>
                <w:sz w:val="16"/>
              </w:rPr>
              <w:t>1 week</w:t>
            </w:r>
          </w:p>
        </w:tc>
      </w:tr>
      <w:tr>
        <w:trPr>
          <w:cantSplit/>
        </w:trPr>
        <w:tc>
          <w:tcPr>
            <w:tcW w:type="dxa" w:w="1200"/>
            <w:vAlign w:val="center"/>
          </w:tcPr>
          <w:p>
            <w:pPr>
              <w:spacing w:after="0" w:line="259" w:lineRule="auto"/>
            </w:pPr>
            <w:r>
              <w:rPr>
                <w:rFonts w:ascii="Calibri" w:hAnsi="Calibri"/>
                <w:color w:val="2C2929"/>
                <w:sz w:val="16"/>
              </w:rPr>
              <w:t>1. Auth + API wiring</w:t>
            </w:r>
          </w:p>
        </w:tc>
        <w:tc>
          <w:tcPr>
            <w:tcW w:type="dxa" w:w="2200"/>
            <w:vAlign w:val="center"/>
          </w:tcPr>
          <w:p>
            <w:pPr>
              <w:spacing w:after="0" w:line="259" w:lineRule="auto"/>
            </w:pPr>
            <w:r>
              <w:rPr>
                <w:rFonts w:ascii="Calibri" w:hAnsi="Calibri"/>
                <w:color w:val="2C2929"/>
                <w:sz w:val="16"/>
              </w:rPr>
              <w:t>Real authenticated web session</w:t>
            </w:r>
          </w:p>
        </w:tc>
        <w:tc>
          <w:tcPr>
            <w:tcW w:type="dxa" w:w="4520"/>
            <w:vAlign w:val="center"/>
          </w:tcPr>
          <w:p>
            <w:pPr>
              <w:spacing w:after="0" w:line="259" w:lineRule="auto"/>
            </w:pPr>
            <w:r>
              <w:rPr>
                <w:rFonts w:ascii="Calibri" w:hAnsi="Calibri"/>
                <w:color w:val="2C2929"/>
                <w:sz w:val="16"/>
              </w:rPr>
              <w:t>Refresh/logout, route guards, Axios client, current-user bootstrap, task and bill screens connected.</w:t>
            </w:r>
          </w:p>
        </w:tc>
        <w:tc>
          <w:tcPr>
            <w:tcW w:type="dxa" w:w="1440"/>
            <w:vAlign w:val="center"/>
          </w:tcPr>
          <w:p>
            <w:pPr>
              <w:spacing w:after="0" w:line="259" w:lineRule="auto"/>
            </w:pPr>
            <w:r>
              <w:rPr>
                <w:rFonts w:ascii="Calibri" w:hAnsi="Calibri"/>
                <w:color w:val="2C2929"/>
                <w:sz w:val="16"/>
              </w:rPr>
              <w:t>2 weeks</w:t>
            </w:r>
          </w:p>
        </w:tc>
      </w:tr>
      <w:tr>
        <w:trPr>
          <w:cantSplit/>
        </w:trPr>
        <w:tc>
          <w:tcPr>
            <w:tcW w:type="dxa" w:w="1200"/>
            <w:vAlign w:val="center"/>
          </w:tcPr>
          <w:p>
            <w:pPr>
              <w:spacing w:after="0" w:line="259" w:lineRule="auto"/>
            </w:pPr>
            <w:r>
              <w:rPr>
                <w:rFonts w:ascii="Calibri" w:hAnsi="Calibri"/>
                <w:color w:val="2C2929"/>
                <w:sz w:val="16"/>
              </w:rPr>
              <w:t>2. Teams + tasks</w:t>
            </w:r>
          </w:p>
        </w:tc>
        <w:tc>
          <w:tcPr>
            <w:tcW w:type="dxa" w:w="2200"/>
            <w:vAlign w:val="center"/>
          </w:tcPr>
          <w:p>
            <w:pPr>
              <w:spacing w:after="0" w:line="259" w:lineRule="auto"/>
            </w:pPr>
            <w:r>
              <w:rPr>
                <w:rFonts w:ascii="Calibri" w:hAnsi="Calibri"/>
                <w:color w:val="2C2929"/>
                <w:sz w:val="16"/>
              </w:rPr>
              <w:t>Complete collaborative task flow</w:t>
            </w:r>
          </w:p>
        </w:tc>
        <w:tc>
          <w:tcPr>
            <w:tcW w:type="dxa" w:w="4520"/>
            <w:vAlign w:val="center"/>
          </w:tcPr>
          <w:p>
            <w:pPr>
              <w:spacing w:after="0" w:line="259" w:lineRule="auto"/>
            </w:pPr>
            <w:r>
              <w:rPr>
                <w:rFonts w:ascii="Calibri" w:hAnsi="Calibri"/>
                <w:color w:val="2C2929"/>
                <w:sz w:val="16"/>
              </w:rPr>
              <w:t>Teams, invites, RBAC, assignments, transitions, comments, activity, notifications.</w:t>
            </w:r>
          </w:p>
        </w:tc>
        <w:tc>
          <w:tcPr>
            <w:tcW w:type="dxa" w:w="1440"/>
            <w:vAlign w:val="center"/>
          </w:tcPr>
          <w:p>
            <w:pPr>
              <w:spacing w:after="0" w:line="259" w:lineRule="auto"/>
            </w:pPr>
            <w:r>
              <w:rPr>
                <w:rFonts w:ascii="Calibri" w:hAnsi="Calibri"/>
                <w:color w:val="2C2929"/>
                <w:sz w:val="16"/>
              </w:rPr>
              <w:t>2-3 weeks</w:t>
            </w:r>
          </w:p>
        </w:tc>
      </w:tr>
      <w:tr>
        <w:trPr>
          <w:cantSplit/>
        </w:trPr>
        <w:tc>
          <w:tcPr>
            <w:tcW w:type="dxa" w:w="1200"/>
            <w:vAlign w:val="center"/>
          </w:tcPr>
          <w:p>
            <w:pPr>
              <w:spacing w:after="0" w:line="259" w:lineRule="auto"/>
            </w:pPr>
            <w:r>
              <w:rPr>
                <w:rFonts w:ascii="Calibri" w:hAnsi="Calibri"/>
                <w:color w:val="2C2929"/>
                <w:sz w:val="16"/>
              </w:rPr>
              <w:t>3. Chat + realtime</w:t>
            </w:r>
          </w:p>
        </w:tc>
        <w:tc>
          <w:tcPr>
            <w:tcW w:type="dxa" w:w="2200"/>
            <w:vAlign w:val="center"/>
          </w:tcPr>
          <w:p>
            <w:pPr>
              <w:spacing w:after="0" w:line="259" w:lineRule="auto"/>
            </w:pPr>
            <w:r>
              <w:rPr>
                <w:rFonts w:ascii="Calibri" w:hAnsi="Calibri"/>
                <w:color w:val="2C2929"/>
                <w:sz w:val="16"/>
              </w:rPr>
              <w:t>Persistent authorized collaboration</w:t>
            </w:r>
          </w:p>
        </w:tc>
        <w:tc>
          <w:tcPr>
            <w:tcW w:type="dxa" w:w="4520"/>
            <w:vAlign w:val="center"/>
          </w:tcPr>
          <w:p>
            <w:pPr>
              <w:spacing w:after="0" w:line="259" w:lineRule="auto"/>
            </w:pPr>
            <w:r>
              <w:rPr>
                <w:rFonts w:ascii="Calibri" w:hAnsi="Calibri"/>
                <w:color w:val="2C2929"/>
                <w:sz w:val="16"/>
              </w:rPr>
              <w:t>Conversations, messages, Socket.IO auth, reconnect sync, read state, attachments.</w:t>
            </w:r>
          </w:p>
        </w:tc>
        <w:tc>
          <w:tcPr>
            <w:tcW w:type="dxa" w:w="1440"/>
            <w:vAlign w:val="center"/>
          </w:tcPr>
          <w:p>
            <w:pPr>
              <w:spacing w:after="0" w:line="259" w:lineRule="auto"/>
            </w:pPr>
            <w:r>
              <w:rPr>
                <w:rFonts w:ascii="Calibri" w:hAnsi="Calibri"/>
                <w:color w:val="2C2929"/>
                <w:sz w:val="16"/>
              </w:rPr>
              <w:t>2 weeks</w:t>
            </w:r>
          </w:p>
        </w:tc>
      </w:tr>
      <w:tr>
        <w:trPr>
          <w:cantSplit/>
        </w:trPr>
        <w:tc>
          <w:tcPr>
            <w:tcW w:type="dxa" w:w="1200"/>
            <w:vAlign w:val="center"/>
          </w:tcPr>
          <w:p>
            <w:pPr>
              <w:spacing w:after="0" w:line="259" w:lineRule="auto"/>
            </w:pPr>
            <w:r>
              <w:rPr>
                <w:rFonts w:ascii="Calibri" w:hAnsi="Calibri"/>
                <w:color w:val="2C2929"/>
                <w:sz w:val="16"/>
              </w:rPr>
              <w:t>4. AI planner</w:t>
            </w:r>
          </w:p>
        </w:tc>
        <w:tc>
          <w:tcPr>
            <w:tcW w:type="dxa" w:w="2200"/>
            <w:vAlign w:val="center"/>
          </w:tcPr>
          <w:p>
            <w:pPr>
              <w:spacing w:after="0" w:line="259" w:lineRule="auto"/>
            </w:pPr>
            <w:r>
              <w:rPr>
                <w:rFonts w:ascii="Calibri" w:hAnsi="Calibri"/>
                <w:color w:val="2C2929"/>
                <w:sz w:val="16"/>
              </w:rPr>
              <w:t>Document-to-task workflow</w:t>
            </w:r>
          </w:p>
        </w:tc>
        <w:tc>
          <w:tcPr>
            <w:tcW w:type="dxa" w:w="4520"/>
            <w:vAlign w:val="center"/>
          </w:tcPr>
          <w:p>
            <w:pPr>
              <w:spacing w:after="0" w:line="259" w:lineRule="auto"/>
            </w:pPr>
            <w:r>
              <w:rPr>
                <w:rFonts w:ascii="Calibri" w:hAnsi="Calibri"/>
                <w:color w:val="2C2929"/>
                <w:sz w:val="16"/>
              </w:rPr>
              <w:t>Private uploads, scan/extract workers, provider adapter, validated drafts, review, idempotent confirmation.</w:t>
            </w:r>
          </w:p>
        </w:tc>
        <w:tc>
          <w:tcPr>
            <w:tcW w:type="dxa" w:w="1440"/>
            <w:vAlign w:val="center"/>
          </w:tcPr>
          <w:p>
            <w:pPr>
              <w:spacing w:after="0" w:line="259" w:lineRule="auto"/>
            </w:pPr>
            <w:r>
              <w:rPr>
                <w:rFonts w:ascii="Calibri" w:hAnsi="Calibri"/>
                <w:color w:val="2C2929"/>
                <w:sz w:val="16"/>
              </w:rPr>
              <w:t>2-3 weeks</w:t>
            </w:r>
          </w:p>
        </w:tc>
      </w:tr>
      <w:tr>
        <w:trPr>
          <w:cantSplit/>
        </w:trPr>
        <w:tc>
          <w:tcPr>
            <w:tcW w:type="dxa" w:w="1200"/>
            <w:vAlign w:val="center"/>
          </w:tcPr>
          <w:p>
            <w:pPr>
              <w:spacing w:after="0" w:line="259" w:lineRule="auto"/>
            </w:pPr>
            <w:r>
              <w:rPr>
                <w:rFonts w:ascii="Calibri" w:hAnsi="Calibri"/>
                <w:color w:val="2C2929"/>
                <w:sz w:val="16"/>
              </w:rPr>
              <w:t>5. Bills + calendar</w:t>
            </w:r>
          </w:p>
        </w:tc>
        <w:tc>
          <w:tcPr>
            <w:tcW w:type="dxa" w:w="2200"/>
            <w:vAlign w:val="center"/>
          </w:tcPr>
          <w:p>
            <w:pPr>
              <w:spacing w:after="0" w:line="259" w:lineRule="auto"/>
            </w:pPr>
            <w:r>
              <w:rPr>
                <w:rFonts w:ascii="Calibri" w:hAnsi="Calibri"/>
                <w:color w:val="2C2929"/>
                <w:sz w:val="16"/>
              </w:rPr>
              <w:t>Reliable personal reminders</w:t>
            </w:r>
          </w:p>
        </w:tc>
        <w:tc>
          <w:tcPr>
            <w:tcW w:type="dxa" w:w="4520"/>
            <w:vAlign w:val="center"/>
          </w:tcPr>
          <w:p>
            <w:pPr>
              <w:spacing w:after="0" w:line="259" w:lineRule="auto"/>
            </w:pPr>
            <w:r>
              <w:rPr>
                <w:rFonts w:ascii="Calibri" w:hAnsi="Calibri"/>
                <w:color w:val="2C2929"/>
                <w:sz w:val="16"/>
              </w:rPr>
              <w:t>Recurrence, scheduler, preferences, calendar aggregation, safe biller redirects, mark-paid flow.</w:t>
            </w:r>
          </w:p>
        </w:tc>
        <w:tc>
          <w:tcPr>
            <w:tcW w:type="dxa" w:w="1440"/>
            <w:vAlign w:val="center"/>
          </w:tcPr>
          <w:p>
            <w:pPr>
              <w:spacing w:after="0" w:line="259" w:lineRule="auto"/>
            </w:pPr>
            <w:r>
              <w:rPr>
                <w:rFonts w:ascii="Calibri" w:hAnsi="Calibri"/>
                <w:color w:val="2C2929"/>
                <w:sz w:val="16"/>
              </w:rPr>
              <w:t>2 weeks</w:t>
            </w:r>
          </w:p>
        </w:tc>
      </w:tr>
      <w:tr>
        <w:trPr>
          <w:cantSplit/>
        </w:trPr>
        <w:tc>
          <w:tcPr>
            <w:tcW w:type="dxa" w:w="1200"/>
            <w:vAlign w:val="center"/>
          </w:tcPr>
          <w:p>
            <w:pPr>
              <w:spacing w:after="0" w:line="259" w:lineRule="auto"/>
            </w:pPr>
            <w:r>
              <w:rPr>
                <w:rFonts w:ascii="Calibri" w:hAnsi="Calibri"/>
                <w:color w:val="2C2929"/>
                <w:sz w:val="16"/>
              </w:rPr>
              <w:t>6. Mobile + hardening</w:t>
            </w:r>
          </w:p>
        </w:tc>
        <w:tc>
          <w:tcPr>
            <w:tcW w:type="dxa" w:w="2200"/>
            <w:vAlign w:val="center"/>
          </w:tcPr>
          <w:p>
            <w:pPr>
              <w:spacing w:after="0" w:line="259" w:lineRule="auto"/>
            </w:pPr>
            <w:r>
              <w:rPr>
                <w:rFonts w:ascii="Calibri" w:hAnsi="Calibri"/>
                <w:color w:val="2C2929"/>
                <w:sz w:val="16"/>
              </w:rPr>
              <w:t>Production release candidate</w:t>
            </w:r>
          </w:p>
        </w:tc>
        <w:tc>
          <w:tcPr>
            <w:tcW w:type="dxa" w:w="4520"/>
            <w:vAlign w:val="center"/>
          </w:tcPr>
          <w:p>
            <w:pPr>
              <w:spacing w:after="0" w:line="259" w:lineRule="auto"/>
            </w:pPr>
            <w:r>
              <w:rPr>
                <w:rFonts w:ascii="Calibri" w:hAnsi="Calibri"/>
                <w:color w:val="2C2929"/>
                <w:sz w:val="16"/>
              </w:rPr>
              <w:t>Flutter core journeys, push/deep links, accessibility, load/security testing, observability, backup/restore, release rehearsal.</w:t>
            </w:r>
          </w:p>
        </w:tc>
        <w:tc>
          <w:tcPr>
            <w:tcW w:type="dxa" w:w="1440"/>
            <w:vAlign w:val="center"/>
          </w:tcPr>
          <w:p>
            <w:pPr>
              <w:spacing w:after="0" w:line="259" w:lineRule="auto"/>
            </w:pPr>
            <w:r>
              <w:rPr>
                <w:rFonts w:ascii="Calibri" w:hAnsi="Calibri"/>
                <w:color w:val="2C2929"/>
                <w:sz w:val="16"/>
              </w:rPr>
              <w:t>3-4 weeks</w:t>
            </w:r>
          </w:p>
        </w:tc>
      </w:tr>
    </w:tbl>
    <w:p>
      <w:pPr>
        <w:keepNext w:val="0"/>
        <w:spacing w:before="0" w:after="40"/>
      </w:pPr>
      <w:r>
        <w:rPr>
          <w:rFonts w:ascii="Calibri" w:hAnsi="Calibri"/>
          <w:b w:val="0"/>
          <w:i w:val="0"/>
          <w:color w:val="2C2929"/>
        </w:rPr>
      </w:r>
    </w:p>
    <w:p>
      <w:pPr>
        <w:pStyle w:val="Heading2"/>
      </w:pPr>
      <w:r>
        <w:t>Definition of done for each feature</w:t>
      </w:r>
    </w:p>
    <w:p>
      <w:pPr>
        <w:pStyle w:val="ListBullet"/>
        <w:keepLines/>
      </w:pPr>
      <w:r>
        <w:t>User-visible acceptance criteria are met on supported web breakpoints and required mobile platforms.</w:t>
      </w:r>
    </w:p>
    <w:p>
      <w:pPr>
        <w:pStyle w:val="ListBullet"/>
        <w:keepLines/>
      </w:pPr>
      <w:r>
        <w:t>API input/output schema, authorization policy, indexes, audit behavior, and error cases are implemented.</w:t>
      </w:r>
    </w:p>
    <w:p>
      <w:pPr>
        <w:pStyle w:val="ListBullet"/>
        <w:keepLines/>
      </w:pPr>
      <w:r>
        <w:t>Loading, empty, error, offline/reconnect, permission-denied, and destructive-confirmation states are designed and tested.</w:t>
      </w:r>
    </w:p>
    <w:p>
      <w:pPr>
        <w:pStyle w:val="ListBullet"/>
        <w:keepLines/>
      </w:pPr>
      <w:r>
        <w:t>Unit/integration/contract/end-to-end coverage appropriate to risk is passing in CI.</w:t>
      </w:r>
    </w:p>
    <w:p>
      <w:pPr>
        <w:pStyle w:val="ListBullet"/>
        <w:keepLines/>
      </w:pPr>
      <w:r>
        <w:t>Logs, metrics, alerts, dashboards, and an operational runbook exist for the feature's critical path.</w:t>
      </w:r>
    </w:p>
    <w:p>
      <w:pPr>
        <w:pStyle w:val="ListBullet"/>
        <w:keepLines/>
      </w:pPr>
      <w:r>
        <w:t>Accessibility review, security review, privacy/retention review, and product sign-off are complete.</w:t>
      </w:r>
    </w:p>
    <w:p>
      <w:pPr>
        <w:pStyle w:val="ListBullet"/>
        <w:keepLines/>
      </w:pPr>
      <w:r>
        <w:t>Documentation and API contract are updated; rollback behavior is known and tested.</w:t>
      </w:r>
    </w:p>
    <w:p>
      <w:pPr>
        <w:pStyle w:val="Heading2"/>
      </w:pPr>
      <w:r>
        <w:t>Release gates</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1700"/>
        <w:gridCol w:w="7660"/>
      </w:tblGrid>
      <w:tr>
        <w:trPr>
          <w:cantSplit/>
          <w:tblHeader w:val="true"/>
        </w:trPr>
        <w:tc>
          <w:tcPr>
            <w:tcW w:type="dxa" w:w="1700"/>
            <w:tcMar>
              <w:top w:w="80" w:type="dxa"/>
              <w:start w:w="120" w:type="dxa"/>
              <w:bottom w:w="80" w:type="dxa"/>
              <w:end w:w="120" w:type="dxa"/>
            </w:tcMar>
            <w:shd w:fill="F4E8EA"/>
            <w:vAlign w:val="center"/>
          </w:tcPr>
          <w:p>
            <w:pPr>
              <w:spacing w:after="0"/>
            </w:pPr>
            <w:r>
              <w:rPr>
                <w:rFonts w:ascii="Calibri" w:hAnsi="Calibri"/>
                <w:b/>
                <w:color w:val="70000E"/>
                <w:sz w:val="18"/>
              </w:rPr>
              <w:t>Gate</w:t>
            </w:r>
          </w:p>
        </w:tc>
        <w:tc>
          <w:tcPr>
            <w:tcW w:type="dxa" w:w="7660"/>
            <w:tcMar>
              <w:top w:w="80" w:type="dxa"/>
              <w:start w:w="120" w:type="dxa"/>
              <w:bottom w:w="80" w:type="dxa"/>
              <w:end w:w="120" w:type="dxa"/>
            </w:tcMar>
            <w:shd w:fill="F4E8EA"/>
            <w:vAlign w:val="center"/>
          </w:tcPr>
          <w:p>
            <w:pPr>
              <w:spacing w:after="0"/>
            </w:pPr>
            <w:r>
              <w:rPr>
                <w:rFonts w:ascii="Calibri" w:hAnsi="Calibri"/>
                <w:b/>
                <w:color w:val="70000E"/>
                <w:sz w:val="18"/>
              </w:rPr>
              <w:t>Evidence required</w:t>
            </w:r>
          </w:p>
        </w:tc>
      </w:tr>
      <w:tr>
        <w:trPr>
          <w:cantSplit/>
        </w:trPr>
        <w:tc>
          <w:tcPr>
            <w:tcW w:type="dxa" w:w="1700"/>
            <w:vAlign w:val="center"/>
          </w:tcPr>
          <w:p>
            <w:pPr>
              <w:spacing w:after="0" w:line="259" w:lineRule="auto"/>
            </w:pPr>
            <w:r>
              <w:rPr>
                <w:rFonts w:ascii="Calibri" w:hAnsi="Calibri"/>
                <w:color w:val="2C2929"/>
                <w:sz w:val="18"/>
              </w:rPr>
              <w:t>Functional</w:t>
            </w:r>
          </w:p>
        </w:tc>
        <w:tc>
          <w:tcPr>
            <w:tcW w:type="dxa" w:w="7660"/>
            <w:vAlign w:val="center"/>
          </w:tcPr>
          <w:p>
            <w:pPr>
              <w:spacing w:after="0" w:line="259" w:lineRule="auto"/>
            </w:pPr>
            <w:r>
              <w:rPr>
                <w:rFonts w:ascii="Calibri" w:hAnsi="Calibri"/>
                <w:color w:val="2C2929"/>
                <w:sz w:val="18"/>
              </w:rPr>
              <w:t>All critical journeys pass in staging with seeded and failure-case data.</w:t>
            </w:r>
          </w:p>
        </w:tc>
      </w:tr>
      <w:tr>
        <w:trPr>
          <w:cantSplit/>
        </w:trPr>
        <w:tc>
          <w:tcPr>
            <w:tcW w:type="dxa" w:w="1700"/>
            <w:vAlign w:val="center"/>
          </w:tcPr>
          <w:p>
            <w:pPr>
              <w:spacing w:after="0" w:line="259" w:lineRule="auto"/>
            </w:pPr>
            <w:r>
              <w:rPr>
                <w:rFonts w:ascii="Calibri" w:hAnsi="Calibri"/>
                <w:color w:val="2C2929"/>
                <w:sz w:val="18"/>
              </w:rPr>
              <w:t>Security</w:t>
            </w:r>
          </w:p>
        </w:tc>
        <w:tc>
          <w:tcPr>
            <w:tcW w:type="dxa" w:w="7660"/>
            <w:vAlign w:val="center"/>
          </w:tcPr>
          <w:p>
            <w:pPr>
              <w:spacing w:after="0" w:line="259" w:lineRule="auto"/>
            </w:pPr>
            <w:r>
              <w:rPr>
                <w:rFonts w:ascii="Calibri" w:hAnsi="Calibri"/>
                <w:color w:val="2C2929"/>
                <w:sz w:val="18"/>
              </w:rPr>
              <w:t>No open critical/high findings; authorization suite and session/file abuse tests pass.</w:t>
            </w:r>
          </w:p>
        </w:tc>
      </w:tr>
      <w:tr>
        <w:trPr>
          <w:cantSplit/>
        </w:trPr>
        <w:tc>
          <w:tcPr>
            <w:tcW w:type="dxa" w:w="1700"/>
            <w:vAlign w:val="center"/>
          </w:tcPr>
          <w:p>
            <w:pPr>
              <w:spacing w:after="0" w:line="259" w:lineRule="auto"/>
            </w:pPr>
            <w:r>
              <w:rPr>
                <w:rFonts w:ascii="Calibri" w:hAnsi="Calibri"/>
                <w:color w:val="2C2929"/>
                <w:sz w:val="18"/>
              </w:rPr>
              <w:t>Performance</w:t>
            </w:r>
          </w:p>
        </w:tc>
        <w:tc>
          <w:tcPr>
            <w:tcW w:type="dxa" w:w="7660"/>
            <w:vAlign w:val="center"/>
          </w:tcPr>
          <w:p>
            <w:pPr>
              <w:spacing w:after="0" w:line="259" w:lineRule="auto"/>
            </w:pPr>
            <w:r>
              <w:rPr>
                <w:rFonts w:ascii="Calibri" w:hAnsi="Calibri"/>
                <w:color w:val="2C2929"/>
                <w:sz w:val="18"/>
              </w:rPr>
              <w:t>Expected peak load passes with agreed latency/error budgets and queue headroom.</w:t>
            </w:r>
          </w:p>
        </w:tc>
      </w:tr>
      <w:tr>
        <w:trPr>
          <w:cantSplit/>
        </w:trPr>
        <w:tc>
          <w:tcPr>
            <w:tcW w:type="dxa" w:w="1700"/>
            <w:vAlign w:val="center"/>
          </w:tcPr>
          <w:p>
            <w:pPr>
              <w:spacing w:after="0" w:line="259" w:lineRule="auto"/>
            </w:pPr>
            <w:r>
              <w:rPr>
                <w:rFonts w:ascii="Calibri" w:hAnsi="Calibri"/>
                <w:color w:val="2C2929"/>
                <w:sz w:val="18"/>
              </w:rPr>
              <w:t>Recovery</w:t>
            </w:r>
          </w:p>
        </w:tc>
        <w:tc>
          <w:tcPr>
            <w:tcW w:type="dxa" w:w="7660"/>
            <w:vAlign w:val="center"/>
          </w:tcPr>
          <w:p>
            <w:pPr>
              <w:spacing w:after="0" w:line="259" w:lineRule="auto"/>
            </w:pPr>
            <w:r>
              <w:rPr>
                <w:rFonts w:ascii="Calibri" w:hAnsi="Calibri"/>
                <w:color w:val="2C2929"/>
                <w:sz w:val="18"/>
              </w:rPr>
              <w:t>Backup restore and application rollback are successfully rehearsed.</w:t>
            </w:r>
          </w:p>
        </w:tc>
      </w:tr>
      <w:tr>
        <w:trPr>
          <w:cantSplit/>
        </w:trPr>
        <w:tc>
          <w:tcPr>
            <w:tcW w:type="dxa" w:w="1700"/>
            <w:vAlign w:val="center"/>
          </w:tcPr>
          <w:p>
            <w:pPr>
              <w:spacing w:after="0" w:line="259" w:lineRule="auto"/>
            </w:pPr>
            <w:r>
              <w:rPr>
                <w:rFonts w:ascii="Calibri" w:hAnsi="Calibri"/>
                <w:color w:val="2C2929"/>
                <w:sz w:val="18"/>
              </w:rPr>
              <w:t>Operations</w:t>
            </w:r>
          </w:p>
        </w:tc>
        <w:tc>
          <w:tcPr>
            <w:tcW w:type="dxa" w:w="7660"/>
            <w:vAlign w:val="center"/>
          </w:tcPr>
          <w:p>
            <w:pPr>
              <w:spacing w:after="0" w:line="259" w:lineRule="auto"/>
            </w:pPr>
            <w:r>
              <w:rPr>
                <w:rFonts w:ascii="Calibri" w:hAnsi="Calibri"/>
                <w:color w:val="2C2929"/>
                <w:sz w:val="18"/>
              </w:rPr>
              <w:t>On-call owner, dashboards, alerts, escalation path, and runbooks are active.</w:t>
            </w:r>
          </w:p>
        </w:tc>
      </w:tr>
      <w:tr>
        <w:trPr>
          <w:cantSplit/>
        </w:trPr>
        <w:tc>
          <w:tcPr>
            <w:tcW w:type="dxa" w:w="1700"/>
            <w:vAlign w:val="center"/>
          </w:tcPr>
          <w:p>
            <w:pPr>
              <w:spacing w:after="0" w:line="259" w:lineRule="auto"/>
            </w:pPr>
            <w:r>
              <w:rPr>
                <w:rFonts w:ascii="Calibri" w:hAnsi="Calibri"/>
                <w:color w:val="2C2929"/>
                <w:sz w:val="18"/>
              </w:rPr>
              <w:t>Product</w:t>
            </w:r>
          </w:p>
        </w:tc>
        <w:tc>
          <w:tcPr>
            <w:tcW w:type="dxa" w:w="7660"/>
            <w:vAlign w:val="center"/>
          </w:tcPr>
          <w:p>
            <w:pPr>
              <w:spacing w:after="0" w:line="259" w:lineRule="auto"/>
            </w:pPr>
            <w:r>
              <w:rPr>
                <w:rFonts w:ascii="Calibri" w:hAnsi="Calibri"/>
                <w:color w:val="2C2929"/>
                <w:sz w:val="18"/>
              </w:rPr>
              <w:t>Scope, support messaging, privacy notice, and user-facing limitations are approved.</w:t>
            </w:r>
          </w:p>
        </w:tc>
      </w:tr>
    </w:tbl>
    <w:p>
      <w:pPr>
        <w:keepNext w:val="0"/>
        <w:spacing w:before="0" w:after="40"/>
      </w:pPr>
      <w:r>
        <w:rPr>
          <w:rFonts w:ascii="Calibri" w:hAnsi="Calibri"/>
          <w:b w:val="0"/>
          <w:i w:val="0"/>
          <w:color w:val="2C2929"/>
        </w:rPr>
      </w:r>
    </w:p>
    <w:p>
      <w:pPr>
        <w:pStyle w:val="Heading1"/>
      </w:pPr>
      <w:r>
        <w:t>Appendix A. Environment configuration</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3100"/>
        <w:gridCol w:w="6260"/>
      </w:tblGrid>
      <w:tr>
        <w:trPr>
          <w:cantSplit/>
          <w:tblHeader w:val="true"/>
        </w:trPr>
        <w:tc>
          <w:tcPr>
            <w:tcW w:type="dxa" w:w="3100"/>
            <w:tcMar>
              <w:top w:w="80" w:type="dxa"/>
              <w:start w:w="120" w:type="dxa"/>
              <w:bottom w:w="80" w:type="dxa"/>
              <w:end w:w="120" w:type="dxa"/>
            </w:tcMar>
            <w:shd w:fill="F4E8EA"/>
            <w:vAlign w:val="center"/>
          </w:tcPr>
          <w:p>
            <w:pPr>
              <w:spacing w:after="0"/>
            </w:pPr>
            <w:r>
              <w:rPr>
                <w:rFonts w:ascii="Calibri" w:hAnsi="Calibri"/>
                <w:b/>
                <w:color w:val="70000E"/>
                <w:sz w:val="17"/>
              </w:rPr>
              <w:t>Variable / secret</w:t>
            </w:r>
          </w:p>
        </w:tc>
        <w:tc>
          <w:tcPr>
            <w:tcW w:type="dxa" w:w="6260"/>
            <w:tcMar>
              <w:top w:w="80" w:type="dxa"/>
              <w:start w:w="120" w:type="dxa"/>
              <w:bottom w:w="80" w:type="dxa"/>
              <w:end w:w="120" w:type="dxa"/>
            </w:tcMar>
            <w:shd w:fill="F4E8EA"/>
            <w:vAlign w:val="center"/>
          </w:tcPr>
          <w:p>
            <w:pPr>
              <w:spacing w:after="0"/>
            </w:pPr>
            <w:r>
              <w:rPr>
                <w:rFonts w:ascii="Calibri" w:hAnsi="Calibri"/>
                <w:b/>
                <w:color w:val="70000E"/>
                <w:sz w:val="17"/>
              </w:rPr>
              <w:t>Purpose</w:t>
            </w:r>
          </w:p>
        </w:tc>
      </w:tr>
      <w:tr>
        <w:trPr>
          <w:cantSplit/>
        </w:trPr>
        <w:tc>
          <w:tcPr>
            <w:tcW w:type="dxa" w:w="3100"/>
            <w:vAlign w:val="center"/>
          </w:tcPr>
          <w:p>
            <w:pPr>
              <w:spacing w:after="0" w:line="259" w:lineRule="auto"/>
            </w:pPr>
            <w:r>
              <w:rPr>
                <w:rFonts w:ascii="Calibri" w:hAnsi="Calibri"/>
                <w:color w:val="2C2929"/>
                <w:sz w:val="17"/>
              </w:rPr>
              <w:t>NODE_ENV</w:t>
            </w:r>
          </w:p>
        </w:tc>
        <w:tc>
          <w:tcPr>
            <w:tcW w:type="dxa" w:w="6260"/>
            <w:vAlign w:val="center"/>
          </w:tcPr>
          <w:p>
            <w:pPr>
              <w:spacing w:after="0" w:line="259" w:lineRule="auto"/>
            </w:pPr>
            <w:r>
              <w:rPr>
                <w:rFonts w:ascii="Calibri" w:hAnsi="Calibri"/>
                <w:color w:val="2C2929"/>
                <w:sz w:val="17"/>
              </w:rPr>
              <w:t>Runtime mode and safe defaults.</w:t>
            </w:r>
          </w:p>
        </w:tc>
      </w:tr>
      <w:tr>
        <w:trPr>
          <w:cantSplit/>
        </w:trPr>
        <w:tc>
          <w:tcPr>
            <w:tcW w:type="dxa" w:w="3100"/>
            <w:vAlign w:val="center"/>
          </w:tcPr>
          <w:p>
            <w:pPr>
              <w:spacing w:after="0" w:line="259" w:lineRule="auto"/>
            </w:pPr>
            <w:r>
              <w:rPr>
                <w:rFonts w:ascii="Calibri" w:hAnsi="Calibri"/>
                <w:color w:val="2C2929"/>
                <w:sz w:val="17"/>
              </w:rPr>
              <w:t>PORT</w:t>
            </w:r>
          </w:p>
        </w:tc>
        <w:tc>
          <w:tcPr>
            <w:tcW w:type="dxa" w:w="6260"/>
            <w:vAlign w:val="center"/>
          </w:tcPr>
          <w:p>
            <w:pPr>
              <w:spacing w:after="0" w:line="259" w:lineRule="auto"/>
            </w:pPr>
            <w:r>
              <w:rPr>
                <w:rFonts w:ascii="Calibri" w:hAnsi="Calibri"/>
                <w:color w:val="2C2929"/>
                <w:sz w:val="17"/>
              </w:rPr>
              <w:t>API listener port.</w:t>
            </w:r>
          </w:p>
        </w:tc>
      </w:tr>
      <w:tr>
        <w:trPr>
          <w:cantSplit/>
        </w:trPr>
        <w:tc>
          <w:tcPr>
            <w:tcW w:type="dxa" w:w="3100"/>
            <w:vAlign w:val="center"/>
          </w:tcPr>
          <w:p>
            <w:pPr>
              <w:spacing w:after="0" w:line="259" w:lineRule="auto"/>
            </w:pPr>
            <w:r>
              <w:rPr>
                <w:rFonts w:ascii="Calibri" w:hAnsi="Calibri"/>
                <w:color w:val="2C2929"/>
                <w:sz w:val="17"/>
              </w:rPr>
              <w:t>CLIENT_URL</w:t>
            </w:r>
          </w:p>
        </w:tc>
        <w:tc>
          <w:tcPr>
            <w:tcW w:type="dxa" w:w="6260"/>
            <w:vAlign w:val="center"/>
          </w:tcPr>
          <w:p>
            <w:pPr>
              <w:spacing w:after="0" w:line="259" w:lineRule="auto"/>
            </w:pPr>
            <w:r>
              <w:rPr>
                <w:rFonts w:ascii="Calibri" w:hAnsi="Calibri"/>
                <w:color w:val="2C2929"/>
                <w:sz w:val="17"/>
              </w:rPr>
              <w:t>Allowed web origin; use an explicit production allowlist.</w:t>
            </w:r>
          </w:p>
        </w:tc>
      </w:tr>
      <w:tr>
        <w:trPr>
          <w:cantSplit/>
        </w:trPr>
        <w:tc>
          <w:tcPr>
            <w:tcW w:type="dxa" w:w="3100"/>
            <w:vAlign w:val="center"/>
          </w:tcPr>
          <w:p>
            <w:pPr>
              <w:spacing w:after="0" w:line="259" w:lineRule="auto"/>
            </w:pPr>
            <w:r>
              <w:rPr>
                <w:rFonts w:ascii="Calibri" w:hAnsi="Calibri"/>
                <w:color w:val="2C2929"/>
                <w:sz w:val="17"/>
              </w:rPr>
              <w:t>MONGODB_URI</w:t>
            </w:r>
          </w:p>
        </w:tc>
        <w:tc>
          <w:tcPr>
            <w:tcW w:type="dxa" w:w="6260"/>
            <w:vAlign w:val="center"/>
          </w:tcPr>
          <w:p>
            <w:pPr>
              <w:spacing w:after="0" w:line="259" w:lineRule="auto"/>
            </w:pPr>
            <w:r>
              <w:rPr>
                <w:rFonts w:ascii="Calibri" w:hAnsi="Calibri"/>
                <w:color w:val="2C2929"/>
                <w:sz w:val="17"/>
              </w:rPr>
              <w:t>Primary database connection.</w:t>
            </w:r>
          </w:p>
        </w:tc>
      </w:tr>
      <w:tr>
        <w:trPr>
          <w:cantSplit/>
        </w:trPr>
        <w:tc>
          <w:tcPr>
            <w:tcW w:type="dxa" w:w="3100"/>
            <w:vAlign w:val="center"/>
          </w:tcPr>
          <w:p>
            <w:pPr>
              <w:spacing w:after="0" w:line="259" w:lineRule="auto"/>
            </w:pPr>
            <w:r>
              <w:rPr>
                <w:rFonts w:ascii="Calibri" w:hAnsi="Calibri"/>
                <w:color w:val="2C2929"/>
                <w:sz w:val="17"/>
              </w:rPr>
              <w:t>JWT_ACCESS_SECRET / keys</w:t>
            </w:r>
          </w:p>
        </w:tc>
        <w:tc>
          <w:tcPr>
            <w:tcW w:type="dxa" w:w="6260"/>
            <w:vAlign w:val="center"/>
          </w:tcPr>
          <w:p>
            <w:pPr>
              <w:spacing w:after="0" w:line="259" w:lineRule="auto"/>
            </w:pPr>
            <w:r>
              <w:rPr>
                <w:rFonts w:ascii="Calibri" w:hAnsi="Calibri"/>
                <w:color w:val="2C2929"/>
                <w:sz w:val="17"/>
              </w:rPr>
              <w:t>Access-token signing; manage and rotate through a secret manager.</w:t>
            </w:r>
          </w:p>
        </w:tc>
      </w:tr>
      <w:tr>
        <w:trPr>
          <w:cantSplit/>
        </w:trPr>
        <w:tc>
          <w:tcPr>
            <w:tcW w:type="dxa" w:w="3100"/>
            <w:vAlign w:val="center"/>
          </w:tcPr>
          <w:p>
            <w:pPr>
              <w:spacing w:after="0" w:line="259" w:lineRule="auto"/>
            </w:pPr>
            <w:r>
              <w:rPr>
                <w:rFonts w:ascii="Calibri" w:hAnsi="Calibri"/>
                <w:color w:val="2C2929"/>
                <w:sz w:val="17"/>
              </w:rPr>
              <w:t>REFRESH_TOKEN_PEPPER</w:t>
            </w:r>
          </w:p>
        </w:tc>
        <w:tc>
          <w:tcPr>
            <w:tcW w:type="dxa" w:w="6260"/>
            <w:vAlign w:val="center"/>
          </w:tcPr>
          <w:p>
            <w:pPr>
              <w:spacing w:after="0" w:line="259" w:lineRule="auto"/>
            </w:pPr>
            <w:r>
              <w:rPr>
                <w:rFonts w:ascii="Calibri" w:hAnsi="Calibri"/>
                <w:color w:val="2C2929"/>
                <w:sz w:val="17"/>
              </w:rPr>
              <w:t>Additional protection for stored refresh-token hashes.</w:t>
            </w:r>
          </w:p>
        </w:tc>
      </w:tr>
      <w:tr>
        <w:trPr>
          <w:cantSplit/>
        </w:trPr>
        <w:tc>
          <w:tcPr>
            <w:tcW w:type="dxa" w:w="3100"/>
            <w:vAlign w:val="center"/>
          </w:tcPr>
          <w:p>
            <w:pPr>
              <w:spacing w:after="0" w:line="259" w:lineRule="auto"/>
            </w:pPr>
            <w:r>
              <w:rPr>
                <w:rFonts w:ascii="Calibri" w:hAnsi="Calibri"/>
                <w:color w:val="2C2929"/>
                <w:sz w:val="17"/>
              </w:rPr>
              <w:t>REDIS_URL</w:t>
            </w:r>
          </w:p>
        </w:tc>
        <w:tc>
          <w:tcPr>
            <w:tcW w:type="dxa" w:w="6260"/>
            <w:vAlign w:val="center"/>
          </w:tcPr>
          <w:p>
            <w:pPr>
              <w:spacing w:after="0" w:line="259" w:lineRule="auto"/>
            </w:pPr>
            <w:r>
              <w:rPr>
                <w:rFonts w:ascii="Calibri" w:hAnsi="Calibri"/>
                <w:color w:val="2C2929"/>
                <w:sz w:val="17"/>
              </w:rPr>
              <w:t>Queues, rate limits, caching, and Socket.IO scaling.</w:t>
            </w:r>
          </w:p>
        </w:tc>
      </w:tr>
      <w:tr>
        <w:trPr>
          <w:cantSplit/>
        </w:trPr>
        <w:tc>
          <w:tcPr>
            <w:tcW w:type="dxa" w:w="3100"/>
            <w:vAlign w:val="center"/>
          </w:tcPr>
          <w:p>
            <w:pPr>
              <w:spacing w:after="0" w:line="259" w:lineRule="auto"/>
            </w:pPr>
            <w:r>
              <w:rPr>
                <w:rFonts w:ascii="Calibri" w:hAnsi="Calibri"/>
                <w:color w:val="2C2929"/>
                <w:sz w:val="17"/>
              </w:rPr>
              <w:t>OBJECT_STORAGE_*</w:t>
            </w:r>
          </w:p>
        </w:tc>
        <w:tc>
          <w:tcPr>
            <w:tcW w:type="dxa" w:w="6260"/>
            <w:vAlign w:val="center"/>
          </w:tcPr>
          <w:p>
            <w:pPr>
              <w:spacing w:after="0" w:line="259" w:lineRule="auto"/>
            </w:pPr>
            <w:r>
              <w:rPr>
                <w:rFonts w:ascii="Calibri" w:hAnsi="Calibri"/>
                <w:color w:val="2C2929"/>
                <w:sz w:val="17"/>
              </w:rPr>
              <w:t>Private bucket, region/endpoint, credentials, and signing settings.</w:t>
            </w:r>
          </w:p>
        </w:tc>
      </w:tr>
      <w:tr>
        <w:trPr>
          <w:cantSplit/>
        </w:trPr>
        <w:tc>
          <w:tcPr>
            <w:tcW w:type="dxa" w:w="3100"/>
            <w:vAlign w:val="center"/>
          </w:tcPr>
          <w:p>
            <w:pPr>
              <w:spacing w:after="0" w:line="259" w:lineRule="auto"/>
            </w:pPr>
            <w:r>
              <w:rPr>
                <w:rFonts w:ascii="Calibri" w:hAnsi="Calibri"/>
                <w:color w:val="2C2929"/>
                <w:sz w:val="17"/>
              </w:rPr>
              <w:t>AI_PROVIDER / AI_API_KEY</w:t>
            </w:r>
          </w:p>
        </w:tc>
        <w:tc>
          <w:tcPr>
            <w:tcW w:type="dxa" w:w="6260"/>
            <w:vAlign w:val="center"/>
          </w:tcPr>
          <w:p>
            <w:pPr>
              <w:spacing w:after="0" w:line="259" w:lineRule="auto"/>
            </w:pPr>
            <w:r>
              <w:rPr>
                <w:rFonts w:ascii="Calibri" w:hAnsi="Calibri"/>
                <w:color w:val="2C2929"/>
                <w:sz w:val="17"/>
              </w:rPr>
              <w:t>Provider selection and credential; never expose to clients.</w:t>
            </w:r>
          </w:p>
        </w:tc>
      </w:tr>
      <w:tr>
        <w:trPr>
          <w:cantSplit/>
        </w:trPr>
        <w:tc>
          <w:tcPr>
            <w:tcW w:type="dxa" w:w="3100"/>
            <w:vAlign w:val="center"/>
          </w:tcPr>
          <w:p>
            <w:pPr>
              <w:spacing w:after="0" w:line="259" w:lineRule="auto"/>
            </w:pPr>
            <w:r>
              <w:rPr>
                <w:rFonts w:ascii="Calibri" w:hAnsi="Calibri"/>
                <w:color w:val="2C2929"/>
                <w:sz w:val="17"/>
              </w:rPr>
              <w:t>EMAIL_* / PUSH_*</w:t>
            </w:r>
          </w:p>
        </w:tc>
        <w:tc>
          <w:tcPr>
            <w:tcW w:type="dxa" w:w="6260"/>
            <w:vAlign w:val="center"/>
          </w:tcPr>
          <w:p>
            <w:pPr>
              <w:spacing w:after="0" w:line="259" w:lineRule="auto"/>
            </w:pPr>
            <w:r>
              <w:rPr>
                <w:rFonts w:ascii="Calibri" w:hAnsi="Calibri"/>
                <w:color w:val="2C2929"/>
                <w:sz w:val="17"/>
              </w:rPr>
              <w:t>Notification provider settings and credentials.</w:t>
            </w:r>
          </w:p>
        </w:tc>
      </w:tr>
      <w:tr>
        <w:trPr>
          <w:cantSplit/>
        </w:trPr>
        <w:tc>
          <w:tcPr>
            <w:tcW w:type="dxa" w:w="3100"/>
            <w:vAlign w:val="center"/>
          </w:tcPr>
          <w:p>
            <w:pPr>
              <w:spacing w:after="0" w:line="259" w:lineRule="auto"/>
            </w:pPr>
            <w:r>
              <w:rPr>
                <w:rFonts w:ascii="Calibri" w:hAnsi="Calibri"/>
                <w:color w:val="2C2929"/>
                <w:sz w:val="17"/>
              </w:rPr>
              <w:t>LOG_LEVEL / ERROR_TRACKING_DSN</w:t>
            </w:r>
          </w:p>
        </w:tc>
        <w:tc>
          <w:tcPr>
            <w:tcW w:type="dxa" w:w="6260"/>
            <w:vAlign w:val="center"/>
          </w:tcPr>
          <w:p>
            <w:pPr>
              <w:spacing w:after="0" w:line="259" w:lineRule="auto"/>
            </w:pPr>
            <w:r>
              <w:rPr>
                <w:rFonts w:ascii="Calibri" w:hAnsi="Calibri"/>
                <w:color w:val="2C2929"/>
                <w:sz w:val="17"/>
              </w:rPr>
              <w:t>Operational telemetry configuration.</w:t>
            </w:r>
          </w:p>
        </w:tc>
      </w:tr>
    </w:tbl>
    <w:p>
      <w:pPr>
        <w:keepNext w:val="0"/>
        <w:spacing w:before="0" w:after="40"/>
      </w:pPr>
      <w:r>
        <w:rPr>
          <w:rFonts w:ascii="Calibri" w:hAnsi="Calibri"/>
          <w:b w:val="0"/>
          <w:i w:val="0"/>
          <w:color w:val="2C2929"/>
        </w:rPr>
      </w:r>
    </w:p>
    <w:p>
      <w:pPr>
        <w:pStyle w:val="Heading1"/>
      </w:pPr>
      <w:r>
        <w:t>Appendix B. Repository implementation map</w:t>
      </w:r>
    </w:p>
    <w:tbl>
      <w:tblPr>
        <w:tblW w:type="dxa" w:w="9360"/>
        <w:jc w:val="left"/>
        <w:tblLayout w:type="fixed"/>
        <w:tblLook w:firstColumn="1" w:firstRow="1" w:lastColumn="0" w:lastRow="0" w:noHBand="0" w:noVBand="1" w:val="04A0"/>
        <w:tblInd w:w="120" w:type="dxa"/>
        <w:tblBorders>
          <w:top w:val="single" w:sz="6" w:space="0" w:color="D7D2D0"/>
          <w:left w:val="single" w:sz="6" w:space="0" w:color="D7D2D0"/>
          <w:bottom w:val="single" w:sz="6" w:space="0" w:color="D7D2D0"/>
          <w:right w:val="single" w:sz="6" w:space="0" w:color="D7D2D0"/>
          <w:insideH w:val="single" w:sz="6" w:space="0" w:color="D7D2D0"/>
          <w:insideV w:val="single" w:sz="6" w:space="0" w:color="D7D2D0"/>
        </w:tblBorders>
      </w:tblPr>
      <w:tblGrid>
        <w:gridCol w:w="3600"/>
        <w:gridCol w:w="5760"/>
      </w:tblGrid>
      <w:tr>
        <w:trPr>
          <w:cantSplit/>
          <w:tblHeader w:val="true"/>
        </w:trPr>
        <w:tc>
          <w:tcPr>
            <w:tcW w:type="dxa" w:w="3600"/>
            <w:tcMar>
              <w:top w:w="80" w:type="dxa"/>
              <w:start w:w="120" w:type="dxa"/>
              <w:bottom w:w="80" w:type="dxa"/>
              <w:end w:w="120" w:type="dxa"/>
            </w:tcMar>
            <w:shd w:fill="F4E8EA"/>
            <w:vAlign w:val="center"/>
          </w:tcPr>
          <w:p>
            <w:pPr>
              <w:spacing w:after="0"/>
            </w:pPr>
            <w:r>
              <w:rPr>
                <w:rFonts w:ascii="Calibri" w:hAnsi="Calibri"/>
                <w:b/>
                <w:color w:val="70000E"/>
                <w:sz w:val="17"/>
              </w:rPr>
              <w:t>Existing path</w:t>
            </w:r>
          </w:p>
        </w:tc>
        <w:tc>
          <w:tcPr>
            <w:tcW w:type="dxa" w:w="5760"/>
            <w:tcMar>
              <w:top w:w="80" w:type="dxa"/>
              <w:start w:w="120" w:type="dxa"/>
              <w:bottom w:w="80" w:type="dxa"/>
              <w:end w:w="120" w:type="dxa"/>
            </w:tcMar>
            <w:shd w:fill="F4E8EA"/>
            <w:vAlign w:val="center"/>
          </w:tcPr>
          <w:p>
            <w:pPr>
              <w:spacing w:after="0"/>
            </w:pPr>
            <w:r>
              <w:rPr>
                <w:rFonts w:ascii="Calibri" w:hAnsi="Calibri"/>
                <w:b/>
                <w:color w:val="70000E"/>
                <w:sz w:val="17"/>
              </w:rPr>
              <w:t>Role in the implementation</w:t>
            </w:r>
          </w:p>
        </w:tc>
      </w:tr>
      <w:tr>
        <w:trPr>
          <w:cantSplit/>
        </w:trPr>
        <w:tc>
          <w:tcPr>
            <w:tcW w:type="dxa" w:w="3600"/>
            <w:vAlign w:val="center"/>
          </w:tcPr>
          <w:p>
            <w:pPr>
              <w:spacing w:after="0" w:line="259" w:lineRule="auto"/>
            </w:pPr>
            <w:r>
              <w:rPr>
                <w:rFonts w:ascii="Calibri" w:hAnsi="Calibri"/>
                <w:color w:val="2C2929"/>
                <w:sz w:val="17"/>
              </w:rPr>
              <w:t>kayato-web/src/pages</w:t>
            </w:r>
          </w:p>
        </w:tc>
        <w:tc>
          <w:tcPr>
            <w:tcW w:type="dxa" w:w="5760"/>
            <w:vAlign w:val="center"/>
          </w:tcPr>
          <w:p>
            <w:pPr>
              <w:spacing w:after="0" w:line="259" w:lineRule="auto"/>
            </w:pPr>
            <w:r>
              <w:rPr>
                <w:rFonts w:ascii="Calibri" w:hAnsi="Calibri"/>
                <w:color w:val="2C2929"/>
                <w:sz w:val="17"/>
              </w:rPr>
              <w:t>Current product screens; refactor into feature modules while preserving approved UI.</w:t>
            </w:r>
          </w:p>
        </w:tc>
      </w:tr>
      <w:tr>
        <w:trPr>
          <w:cantSplit/>
        </w:trPr>
        <w:tc>
          <w:tcPr>
            <w:tcW w:type="dxa" w:w="3600"/>
            <w:vAlign w:val="center"/>
          </w:tcPr>
          <w:p>
            <w:pPr>
              <w:spacing w:after="0" w:line="259" w:lineRule="auto"/>
            </w:pPr>
            <w:r>
              <w:rPr>
                <w:rFonts w:ascii="Calibri" w:hAnsi="Calibri"/>
                <w:color w:val="2C2929"/>
                <w:sz w:val="17"/>
              </w:rPr>
              <w:t>kayato-web/src/data/mockData.js</w:t>
            </w:r>
          </w:p>
        </w:tc>
        <w:tc>
          <w:tcPr>
            <w:tcW w:type="dxa" w:w="5760"/>
            <w:vAlign w:val="center"/>
          </w:tcPr>
          <w:p>
            <w:pPr>
              <w:spacing w:after="0" w:line="259" w:lineRule="auto"/>
            </w:pPr>
            <w:r>
              <w:rPr>
                <w:rFonts w:ascii="Calibri" w:hAnsi="Calibri"/>
                <w:color w:val="2C2929"/>
                <w:sz w:val="17"/>
              </w:rPr>
              <w:t>Prototype fixtures; move to test/story fixtures after API wiring.</w:t>
            </w:r>
          </w:p>
        </w:tc>
      </w:tr>
      <w:tr>
        <w:trPr>
          <w:cantSplit/>
        </w:trPr>
        <w:tc>
          <w:tcPr>
            <w:tcW w:type="dxa" w:w="3600"/>
            <w:vAlign w:val="center"/>
          </w:tcPr>
          <w:p>
            <w:pPr>
              <w:spacing w:after="0" w:line="259" w:lineRule="auto"/>
            </w:pPr>
            <w:r>
              <w:rPr>
                <w:rFonts w:ascii="Calibri" w:hAnsi="Calibri"/>
                <w:color w:val="2C2929"/>
                <w:sz w:val="17"/>
              </w:rPr>
              <w:t>kayato-web/server/src/routes</w:t>
            </w:r>
          </w:p>
        </w:tc>
        <w:tc>
          <w:tcPr>
            <w:tcW w:type="dxa" w:w="5760"/>
            <w:vAlign w:val="center"/>
          </w:tcPr>
          <w:p>
            <w:pPr>
              <w:spacing w:after="0" w:line="259" w:lineRule="auto"/>
            </w:pPr>
            <w:r>
              <w:rPr>
                <w:rFonts w:ascii="Calibri" w:hAnsi="Calibri"/>
                <w:color w:val="2C2929"/>
                <w:sz w:val="17"/>
              </w:rPr>
              <w:t>Existing auth/task/bill routes; migrate into versioned modules with schemas and services.</w:t>
            </w:r>
          </w:p>
        </w:tc>
      </w:tr>
      <w:tr>
        <w:trPr>
          <w:cantSplit/>
        </w:trPr>
        <w:tc>
          <w:tcPr>
            <w:tcW w:type="dxa" w:w="3600"/>
            <w:vAlign w:val="center"/>
          </w:tcPr>
          <w:p>
            <w:pPr>
              <w:spacing w:after="0" w:line="259" w:lineRule="auto"/>
            </w:pPr>
            <w:r>
              <w:rPr>
                <w:rFonts w:ascii="Calibri" w:hAnsi="Calibri"/>
                <w:color w:val="2C2929"/>
                <w:sz w:val="17"/>
              </w:rPr>
              <w:t>kayato-web/server/src/models</w:t>
            </w:r>
          </w:p>
        </w:tc>
        <w:tc>
          <w:tcPr>
            <w:tcW w:type="dxa" w:w="5760"/>
            <w:vAlign w:val="center"/>
          </w:tcPr>
          <w:p>
            <w:pPr>
              <w:spacing w:after="0" w:line="259" w:lineRule="auto"/>
            </w:pPr>
            <w:r>
              <w:rPr>
                <w:rFonts w:ascii="Calibri" w:hAnsi="Calibri"/>
                <w:color w:val="2C2929"/>
                <w:sz w:val="17"/>
              </w:rPr>
              <w:t>Existing User, Team, Task, Message, and Bill schemas; evolve with indexes and policies.</w:t>
            </w:r>
          </w:p>
        </w:tc>
      </w:tr>
      <w:tr>
        <w:trPr>
          <w:cantSplit/>
        </w:trPr>
        <w:tc>
          <w:tcPr>
            <w:tcW w:type="dxa" w:w="3600"/>
            <w:vAlign w:val="center"/>
          </w:tcPr>
          <w:p>
            <w:pPr>
              <w:spacing w:after="0" w:line="259" w:lineRule="auto"/>
            </w:pPr>
            <w:r>
              <w:rPr>
                <w:rFonts w:ascii="Calibri" w:hAnsi="Calibri"/>
                <w:color w:val="2C2929"/>
                <w:sz w:val="17"/>
              </w:rPr>
              <w:t>kayato-web/server/src/server.js</w:t>
            </w:r>
          </w:p>
        </w:tc>
        <w:tc>
          <w:tcPr>
            <w:tcW w:type="dxa" w:w="5760"/>
            <w:vAlign w:val="center"/>
          </w:tcPr>
          <w:p>
            <w:pPr>
              <w:spacing w:after="0" w:line="259" w:lineRule="auto"/>
            </w:pPr>
            <w:r>
              <w:rPr>
                <w:rFonts w:ascii="Calibri" w:hAnsi="Calibri"/>
                <w:color w:val="2C2929"/>
                <w:sz w:val="17"/>
              </w:rPr>
              <w:t>Current process composition; split app construction from process startup for tests.</w:t>
            </w:r>
          </w:p>
        </w:tc>
      </w:tr>
      <w:tr>
        <w:trPr>
          <w:cantSplit/>
        </w:trPr>
        <w:tc>
          <w:tcPr>
            <w:tcW w:type="dxa" w:w="3600"/>
            <w:vAlign w:val="center"/>
          </w:tcPr>
          <w:p>
            <w:pPr>
              <w:spacing w:after="0" w:line="259" w:lineRule="auto"/>
            </w:pPr>
            <w:r>
              <w:rPr>
                <w:rFonts w:ascii="Calibri" w:hAnsi="Calibri"/>
                <w:color w:val="2C2929"/>
                <w:sz w:val="17"/>
              </w:rPr>
              <w:t>kayato-mobile/lib/main.dart</w:t>
            </w:r>
          </w:p>
        </w:tc>
        <w:tc>
          <w:tcPr>
            <w:tcW w:type="dxa" w:w="5760"/>
            <w:vAlign w:val="center"/>
          </w:tcPr>
          <w:p>
            <w:pPr>
              <w:spacing w:after="0" w:line="259" w:lineRule="auto"/>
            </w:pPr>
            <w:r>
              <w:rPr>
                <w:rFonts w:ascii="Calibri" w:hAnsi="Calibri"/>
                <w:color w:val="2C2929"/>
                <w:sz w:val="17"/>
              </w:rPr>
              <w:t>Current Flutter theme and toast showcase; evolve into an authenticated app shell.</w:t>
            </w:r>
          </w:p>
        </w:tc>
      </w:tr>
      <w:tr>
        <w:trPr>
          <w:cantSplit/>
        </w:trPr>
        <w:tc>
          <w:tcPr>
            <w:tcW w:type="dxa" w:w="3600"/>
            <w:vAlign w:val="center"/>
          </w:tcPr>
          <w:p>
            <w:pPr>
              <w:spacing w:after="0" w:line="259" w:lineRule="auto"/>
            </w:pPr>
            <w:r>
              <w:rPr>
                <w:rFonts w:ascii="Calibri" w:hAnsi="Calibri"/>
                <w:color w:val="2C2929"/>
                <w:sz w:val="17"/>
              </w:rPr>
              <w:t>kayato-mobile/lib/kayato_toast.dart</w:t>
            </w:r>
          </w:p>
        </w:tc>
        <w:tc>
          <w:tcPr>
            <w:tcW w:type="dxa" w:w="5760"/>
            <w:vAlign w:val="center"/>
          </w:tcPr>
          <w:p>
            <w:pPr>
              <w:spacing w:after="0" w:line="259" w:lineRule="auto"/>
            </w:pPr>
            <w:r>
              <w:rPr>
                <w:rFonts w:ascii="Calibri" w:hAnsi="Calibri"/>
                <w:color w:val="2C2929"/>
                <w:sz w:val="17"/>
              </w:rPr>
              <w:t>Reusable mobile notification/toast component.</w:t>
            </w:r>
          </w:p>
        </w:tc>
      </w:tr>
    </w:tbl>
    <w:p>
      <w:pPr>
        <w:keepNext w:val="0"/>
        <w:spacing w:before="0" w:after="40"/>
      </w:pPr>
      <w:r>
        <w:rPr>
          <w:rFonts w:ascii="Calibri" w:hAnsi="Calibri"/>
          <w:b w:val="0"/>
          <w:i w:val="0"/>
          <w:color w:val="2C2929"/>
        </w:rPr>
      </w:r>
    </w:p>
    <w:p>
      <w:pPr>
        <w:pStyle w:val="Heading1"/>
      </w:pPr>
      <w:r>
        <w:t>Appendix C. Acceptance checklist</w:t>
      </w:r>
    </w:p>
    <w:p>
      <w:pPr>
        <w:pStyle w:val="ListBullet"/>
        <w:keepLines/>
      </w:pPr>
      <w:r>
        <w:t>[ ] Web pages no longer depend on production mock data.</w:t>
      </w:r>
    </w:p>
    <w:p>
      <w:pPr>
        <w:pStyle w:val="ListBullet"/>
        <w:keepLines/>
      </w:pPr>
      <w:r>
        <w:t>[ ] All protected REST and Socket.IO actions enforce resource-level authorization.</w:t>
      </w:r>
    </w:p>
    <w:p>
      <w:pPr>
        <w:pStyle w:val="ListBullet"/>
        <w:keepLines/>
      </w:pPr>
      <w:r>
        <w:t>[ ] Refresh, logout, revocation, reset, and verification flows are complete.</w:t>
      </w:r>
    </w:p>
    <w:p>
      <w:pPr>
        <w:pStyle w:val="ListBullet"/>
        <w:keepLines/>
      </w:pPr>
      <w:r>
        <w:t>[ ] Team invites, roles, task assignments, transitions, and notifications work end to end.</w:t>
      </w:r>
    </w:p>
    <w:p>
      <w:pPr>
        <w:pStyle w:val="ListBullet"/>
        <w:keepLines/>
      </w:pPr>
      <w:r>
        <w:t>[ ] Messages persist before broadcast and recover correctly after reconnect.</w:t>
      </w:r>
    </w:p>
    <w:p>
      <w:pPr>
        <w:pStyle w:val="ListBullet"/>
        <w:keepLines/>
      </w:pPr>
      <w:r>
        <w:t>[ ] AI output is schema-validated and requires explicit confirmation before creating tasks.</w:t>
      </w:r>
    </w:p>
    <w:p>
      <w:pPr>
        <w:pStyle w:val="ListBullet"/>
        <w:keepLines/>
      </w:pPr>
      <w:r>
        <w:t>[ ] Uploaded files are private, scanned, access-controlled, and governed by retention.</w:t>
      </w:r>
    </w:p>
    <w:p>
      <w:pPr>
        <w:pStyle w:val="ListBullet"/>
        <w:keepLines/>
      </w:pPr>
      <w:r>
        <w:t>[ ] Bills never collect payment credentials and redirect only with a clear safety interstitial.</w:t>
      </w:r>
    </w:p>
    <w:p>
      <w:pPr>
        <w:pStyle w:val="ListBullet"/>
        <w:keepLines/>
      </w:pPr>
      <w:r>
        <w:t>[ ] CI gates tests, contract compatibility, security scans, and production builds.</w:t>
      </w:r>
    </w:p>
    <w:p>
      <w:pPr>
        <w:pStyle w:val="ListBullet"/>
        <w:keepLines/>
      </w:pPr>
      <w:r>
        <w:t>[ ] Dashboards, alerts, backups, restore tests, rollback, and runbooks are ready.</w:t>
      </w:r>
    </w:p>
    <w:p>
      <w:pPr>
        <w:pStyle w:val="ListBullet"/>
        <w:keepLines/>
      </w:pPr>
      <w:r>
        <w:t>[ ] Accessibility and privacy reviews are complete for release scope.</w:t>
      </w:r>
    </w:p>
    <w:p>
      <w:pPr>
        <w:pStyle w:val="Heading2"/>
      </w:pPr>
      <w:r>
        <w:t>Implementation decision record</w:t>
      </w:r>
    </w:p>
    <w:tbl>
      <w:tblPr>
        <w:tblW w:type="dxa" w:w="9360"/>
        <w:jc w:val="left"/>
        <w:tblLayout w:type="fixed"/>
        <w:tblLook w:firstColumn="1" w:firstRow="1" w:lastColumn="0" w:lastRow="0" w:noHBand="0" w:noVBand="1" w:val="04A0"/>
        <w:tblInd w:w="120" w:type="dxa"/>
        <w:tblBorders>
          <w:top w:val="single" w:sz="8" w:space="0" w:color="CFC9C6"/>
          <w:left w:val="single" w:sz="8" w:space="0" w:color="CFC9C6"/>
          <w:bottom w:val="single" w:sz="8" w:space="0" w:color="CFC9C6"/>
          <w:right w:val="single" w:sz="8" w:space="0" w:color="CFC9C6"/>
          <w:insideH w:val="single" w:sz="8" w:space="0" w:color="CFC9C6"/>
          <w:insideV w:val="single" w:sz="8" w:space="0" w:color="CFC9C6"/>
        </w:tblBorders>
      </w:tblPr>
      <w:tblGrid>
        <w:gridCol w:w="9360"/>
      </w:tblGrid>
      <w:tr>
        <w:trPr>
          <w:tblHeader w:val="true"/>
        </w:trPr>
        <w:tc>
          <w:tcPr>
            <w:tcW w:type="dxa" w:w="9360"/>
            <w:tcMar>
              <w:top w:w="80" w:type="dxa"/>
              <w:start w:w="120" w:type="dxa"/>
              <w:bottom w:w="80" w:type="dxa"/>
              <w:end w:w="120" w:type="dxa"/>
            </w:tcMar>
            <w:shd w:fill="FAF9F8"/>
          </w:tcPr>
          <w:p>
            <w:pPr>
              <w:spacing w:after="0"/>
            </w:pPr>
            <w:r>
              <w:rPr>
                <w:rFonts w:ascii="Calibri" w:hAnsi="Calibri"/>
                <w:b/>
                <w:color w:val="2C2929"/>
                <w:sz w:val="21"/>
              </w:rPr>
              <w:t xml:space="preserve">Decision: </w:t>
            </w:r>
            <w:r>
              <w:rPr>
                <w:rFonts w:ascii="Calibri" w:hAnsi="Calibri"/>
                <w:color w:val="2C2929"/>
                <w:sz w:val="21"/>
              </w:rPr>
              <w:t>Begin as a modular monolith with one versioned API and shared domain services. Split services only when measured scaling, ownership, or deployment constraints justify the added operational complexity.</w:t>
            </w:r>
          </w:p>
        </w:tc>
      </w:tr>
    </w:tbl>
    <w:p>
      <w:pPr>
        <w:keepNext w:val="0"/>
        <w:spacing w:before="0" w:after="40"/>
      </w:pPr>
      <w:r>
        <w:rPr>
          <w:rFonts w:ascii="Calibri" w:hAnsi="Calibri"/>
          <w:b w:val="0"/>
          <w:i w:val="0"/>
          <w:color w:val="2C2929"/>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163"/>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D8D2D0"/>
      </w:pBdr>
    </w:pPr>
    <w:r>
      <w:rPr>
        <w:rFonts w:ascii="Calibri" w:hAnsi="Calibri"/>
        <w:b/>
        <w:color w:val="666163"/>
        <w:sz w:val="17"/>
      </w:rPr>
      <w:t>KayaTo | Full-Stack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C29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b/>
      <w:bCs/>
      <w:color w:val="70000E"/>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b/>
      <w:bCs/>
      <w:color w:val="70000E"/>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b/>
      <w:bCs/>
      <w:color w:val="2C292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52" w:lineRule="auto" w:before="0"/>
      <w:contextualSpacing/>
    </w:pPr>
    <w:rPr>
      <w:rFonts w:asciiTheme="majorHAnsi" w:eastAsiaTheme="majorEastAsia" w:hAnsiTheme="majorHAnsi" w:cstheme="majorBidi" w:ascii="Calibri" w:hAnsi="Calibri"/>
      <w:b/>
      <w:color w:val="70000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252" w:lineRule="auto"/>
    </w:pPr>
    <w:rPr>
      <w:rFonts w:asciiTheme="majorHAnsi" w:eastAsiaTheme="majorEastAsia" w:hAnsiTheme="majorHAnsi" w:cstheme="majorBidi" w:ascii="Calibri" w:hAnsi="Calibri"/>
      <w:b w:val="0"/>
      <w:i/>
      <w:iCs/>
      <w:color w:val="6661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60" w:line="240" w:lineRule="auto"/>
      <w:ind w:left="259" w:right="259"/>
      <w:shd w:fill="F3F1F0"/>
    </w:pPr>
    <w:rPr>
      <w:rFonts w:ascii="Consolas" w:hAnsi="Consolas"/>
      <w:color w:val="2C292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KayaTo Full-Stack Implementation Specification</dc:title>
  <dc:subject>Production implementation blueprint for KayaTo</dc:subject>
  <dc:creator>KayaTo Project Team</dc:creator>
  <cp:keywords>KayaTo, full-stack, React, Express, MongoDB, Flutter, Socket.IO, AI planner</cp:keywords>
  <dc:description>Prepared from the local KayaTo repository snapshot.</dc:description>
  <cp:lastModifiedBy/>
  <cp:revision>1</cp:revision>
  <dcterms:created xsi:type="dcterms:W3CDTF">2013-12-23T23:15:00Z</dcterms:created>
  <dcterms:modified xsi:type="dcterms:W3CDTF">2013-12-23T23:15:00Z</dcterms:modified>
  <cp:category/>
</cp:coreProperties>
</file>