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6E"/>
          <w:sz w:val="28"/>
          <w:szCs w:val="28"/>
        </w:rPr>
        <w:t xml:space="preserve">Tensegrity Simulator — Project Plan and Grading Breakdown</w:t>
      </w:r>
    </w:p>
    <w:p>
      <w:pPr>
        <w:pBdr>
          <w:bottom w:val="single" w:color="1F3A6E" w:sz="8" w:space="6"/>
        </w:pBdr>
        <w:spacing w:after="140"/>
      </w:pPr>
      <w:r>
        <w:rPr>
          <w:color w:val="555555"/>
          <w:sz w:val="17"/>
          <w:szCs w:val="17"/>
        </w:rPr>
        <w:t xml:space="preserve">Alizée  ·  Aerospace Engineering, University of Houston  ·  Plan submitted 6 October 2026  ·  All deliverables complete by 3 December 2026</w:t>
      </w:r>
    </w:p>
    <w:p>
      <w:pPr>
        <w:pStyle w:val="Heading1"/>
        <w:spacing w:after="60" w:before="120"/>
      </w:pPr>
      <w:r>
        <w:rPr>
          <w:b/>
          <w:bCs/>
          <w:color w:val="1F3A6E"/>
          <w:sz w:val="24"/>
          <w:szCs w:val="24"/>
        </w:rPr>
        <w:t xml:space="preserve">1. Project summary</w:t>
      </w:r>
    </w:p>
    <w:p>
      <w:pPr>
        <w:spacing w:after="60" w:line="222"/>
      </w:pPr>
      <w:r>
        <w:rPr>
          <w:sz w:val="18"/>
          <w:szCs w:val="18"/>
        </w:rPr>
        <w:t xml:space="preserve">This project is an interactive tensegrity structure simulator built from scratch in Babylon.js with WebXR support. It was begun earlier this year and has been developed continuously since: the language and toolchain work, the rendering pipeline, the structure catalogue architecture, the physics solver and the WebXR session are all original work produced for this project, and they are included below as graded subtasks rather than treated as pre-existing material.</w:t>
      </w:r>
    </w:p>
    <w:p>
      <w:pPr>
        <w:spacing w:after="60" w:line="222"/>
      </w:pPr>
      <w:r>
        <w:rPr>
          <w:sz w:val="18"/>
          <w:szCs w:val="18"/>
        </w:rPr>
        <w:t xml:space="preserve">The objective is a design tool grounded in minimal-mass tensegrity theory (Skelton &amp; de Oliveira, Tensegrity Systems, Chapters 2–4): every member sized against Euler buckling and yielding, a valid self-stress state, and real-time display of which members approach failure and what a design costs in mass. The distinctive element is this live constraint feedback during interactive manipulation — minimal-mass optimisation is well covered as a batch computation, but not as something a user explores by hand in VR.</w:t>
      </w:r>
    </w:p>
    <w:p>
      <w:pPr>
        <w:spacing w:after="60" w:line="222"/>
      </w:pPr>
      <w:r>
        <w:rPr>
          <w:sz w:val="18"/>
          <w:szCs w:val="18"/>
        </w:rPr>
        <w:t xml:space="preserve">The twelve subtasks span the whole arc of the work: 1 to 5 are complete and demonstrable now, 6 to 12 are scheduled across the remaining nine weeks, ordered so each is demonstrable alone and the riskiest is attempted early.</w:t>
      </w:r>
    </w:p>
    <w:p>
      <w:pPr>
        <w:pStyle w:val="Heading1"/>
        <w:spacing w:after="60" w:before="120"/>
      </w:pPr>
      <w:r>
        <w:rPr>
          <w:b/>
          <w:bCs/>
          <w:color w:val="1F3A6E"/>
          <w:sz w:val="24"/>
          <w:szCs w:val="24"/>
        </w:rPr>
        <w:t xml:space="preserve">2. Subtask summary and point allocation</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520"/>
        <w:gridCol w:w="5700"/>
        <w:gridCol w:w="820"/>
        <w:gridCol w:w="1440"/>
      </w:tblGrid>
      <w:tr>
        <w:tc>
          <w:tcPr>
            <w:tcW w:type="dxa" w:w="520"/>
            <w:shd w:fill="1F3A6E" w:val="clear"/>
            <w:tcMar>
              <w:top w:type="dxa" w:w="45"/>
              <w:left w:type="dxa" w:w="90"/>
              <w:bottom w:type="dxa" w:w="45"/>
              <w:right w:type="dxa" w:w="90"/>
            </w:tcMar>
          </w:tcPr>
          <w:p>
            <w:pPr>
              <w:spacing w:after="0" w:line="215"/>
              <w:jc w:val="center"/>
            </w:pPr>
            <w:r>
              <w:rPr>
                <w:b/>
                <w:bCs/>
                <w:color w:val="FFFFFF"/>
                <w:sz w:val="16"/>
                <w:szCs w:val="16"/>
              </w:rPr>
              <w:t xml:space="preserve">#</w:t>
            </w:r>
          </w:p>
        </w:tc>
        <w:tc>
          <w:tcPr>
            <w:tcW w:type="dxa" w:w="5700"/>
            <w:shd w:fill="1F3A6E" w:val="clear"/>
            <w:tcMar>
              <w:top w:type="dxa" w:w="45"/>
              <w:left w:type="dxa" w:w="90"/>
              <w:bottom w:type="dxa" w:w="45"/>
              <w:right w:type="dxa" w:w="90"/>
            </w:tcMar>
          </w:tcPr>
          <w:p>
            <w:pPr>
              <w:spacing w:after="0" w:line="215"/>
            </w:pPr>
            <w:r>
              <w:rPr>
                <w:b/>
                <w:bCs/>
                <w:color w:val="FFFFFF"/>
                <w:sz w:val="16"/>
                <w:szCs w:val="16"/>
              </w:rPr>
              <w:t xml:space="preserve">Subtask</w:t>
            </w:r>
          </w:p>
        </w:tc>
        <w:tc>
          <w:tcPr>
            <w:tcW w:type="dxa" w:w="820"/>
            <w:shd w:fill="1F3A6E" w:val="clear"/>
            <w:tcMar>
              <w:top w:type="dxa" w:w="45"/>
              <w:left w:type="dxa" w:w="90"/>
              <w:bottom w:type="dxa" w:w="45"/>
              <w:right w:type="dxa" w:w="90"/>
            </w:tcMar>
          </w:tcPr>
          <w:p>
            <w:pPr>
              <w:spacing w:after="0" w:line="215"/>
              <w:jc w:val="center"/>
            </w:pPr>
            <w:r>
              <w:rPr>
                <w:b/>
                <w:bCs/>
                <w:color w:val="FFFFFF"/>
                <w:sz w:val="16"/>
                <w:szCs w:val="16"/>
              </w:rPr>
              <w:t xml:space="preserve">Points</w:t>
            </w:r>
          </w:p>
        </w:tc>
        <w:tc>
          <w:tcPr>
            <w:tcW w:type="dxa" w:w="1440"/>
            <w:shd w:fill="1F3A6E" w:val="clear"/>
            <w:tcMar>
              <w:top w:type="dxa" w:w="45"/>
              <w:left w:type="dxa" w:w="90"/>
              <w:bottom w:type="dxa" w:w="45"/>
              <w:right w:type="dxa" w:w="90"/>
            </w:tcMar>
          </w:tcPr>
          <w:p>
            <w:pPr>
              <w:spacing w:after="0" w:line="215"/>
              <w:jc w:val="center"/>
            </w:pPr>
            <w:r>
              <w:rPr>
                <w:b/>
                <w:bCs/>
                <w:color w:val="FFFFFF"/>
                <w:sz w:val="16"/>
                <w:szCs w:val="16"/>
              </w:rPr>
              <w:t xml:space="preserve">Status / due</w:t>
            </w:r>
          </w:p>
        </w:tc>
      </w:tr>
      <w:tr>
        <w:tc>
          <w:tcPr>
            <w:tcW w:type="dxa" w:w="520"/>
            <w:tcMar>
              <w:top w:type="dxa" w:w="45"/>
              <w:left w:type="dxa" w:w="90"/>
              <w:bottom w:type="dxa" w:w="45"/>
              <w:right w:type="dxa" w:w="90"/>
            </w:tcMar>
          </w:tcPr>
          <w:p>
            <w:pPr>
              <w:spacing w:after="0" w:line="215"/>
              <w:jc w:val="center"/>
            </w:pPr>
            <w:r>
              <w:rPr>
                <w:sz w:val="16"/>
                <w:szCs w:val="16"/>
              </w:rPr>
              <w:t xml:space="preserve">1</w:t>
            </w:r>
          </w:p>
        </w:tc>
        <w:tc>
          <w:tcPr>
            <w:tcW w:type="dxa" w:w="5700"/>
            <w:tcMar>
              <w:top w:type="dxa" w:w="45"/>
              <w:left w:type="dxa" w:w="90"/>
              <w:bottom w:type="dxa" w:w="45"/>
              <w:right w:type="dxa" w:w="90"/>
            </w:tcMar>
          </w:tcPr>
          <w:p>
            <w:pPr>
              <w:spacing w:after="0" w:line="215"/>
            </w:pPr>
            <w:r>
              <w:rPr>
                <w:sz w:val="16"/>
                <w:szCs w:val="16"/>
              </w:rPr>
              <w:t xml:space="preserve">Language and toolchain foundation</w:t>
            </w:r>
          </w:p>
        </w:tc>
        <w:tc>
          <w:tcPr>
            <w:tcW w:type="dxa" w:w="820"/>
            <w:tcMar>
              <w:top w:type="dxa" w:w="45"/>
              <w:left w:type="dxa" w:w="90"/>
              <w:bottom w:type="dxa" w:w="45"/>
              <w:right w:type="dxa" w:w="90"/>
            </w:tcMar>
          </w:tcPr>
          <w:p>
            <w:pPr>
              <w:spacing w:after="0" w:line="215"/>
              <w:jc w:val="center"/>
            </w:pPr>
            <w:r>
              <w:rPr>
                <w:b/>
                <w:bCs/>
                <w:sz w:val="16"/>
                <w:szCs w:val="16"/>
              </w:rPr>
              <w:t xml:space="preserve">5</w:t>
            </w:r>
          </w:p>
        </w:tc>
        <w:tc>
          <w:tcPr>
            <w:tcW w:type="dxa" w:w="1440"/>
            <w:tcMar>
              <w:top w:type="dxa" w:w="45"/>
              <w:left w:type="dxa" w:w="90"/>
              <w:bottom w:type="dxa" w:w="45"/>
              <w:right w:type="dxa" w:w="90"/>
            </w:tcMar>
          </w:tcPr>
          <w:p>
            <w:pPr>
              <w:spacing w:after="0" w:line="215"/>
              <w:jc w:val="center"/>
            </w:pPr>
            <w:r>
              <w:rPr>
                <w:b/>
                <w:bCs/>
                <w:color w:val="1E6B3A"/>
                <w:sz w:val="16"/>
                <w:szCs w:val="16"/>
              </w:rPr>
              <w:t xml:space="preserve">Complete</w:t>
            </w:r>
          </w:p>
        </w:tc>
      </w:tr>
      <w:tr>
        <w:tc>
          <w:tcPr>
            <w:tcW w:type="dxa" w:w="520"/>
            <w:shd w:fill="F2F4F8" w:val="clear"/>
            <w:tcMar>
              <w:top w:type="dxa" w:w="45"/>
              <w:left w:type="dxa" w:w="90"/>
              <w:bottom w:type="dxa" w:w="45"/>
              <w:right w:type="dxa" w:w="90"/>
            </w:tcMar>
          </w:tcPr>
          <w:p>
            <w:pPr>
              <w:spacing w:after="0" w:line="215"/>
              <w:jc w:val="center"/>
            </w:pPr>
            <w:r>
              <w:rPr>
                <w:sz w:val="16"/>
                <w:szCs w:val="16"/>
              </w:rPr>
              <w:t xml:space="preserve">2</w:t>
            </w:r>
          </w:p>
        </w:tc>
        <w:tc>
          <w:tcPr>
            <w:tcW w:type="dxa" w:w="5700"/>
            <w:shd w:fill="F2F4F8" w:val="clear"/>
            <w:tcMar>
              <w:top w:type="dxa" w:w="45"/>
              <w:left w:type="dxa" w:w="90"/>
              <w:bottom w:type="dxa" w:w="45"/>
              <w:right w:type="dxa" w:w="90"/>
            </w:tcMar>
          </w:tcPr>
          <w:p>
            <w:pPr>
              <w:spacing w:after="0" w:line="215"/>
            </w:pPr>
            <w:r>
              <w:rPr>
                <w:sz w:val="16"/>
                <w:szCs w:val="16"/>
              </w:rPr>
              <w:t xml:space="preserve">Scene, rendering pipeline and lunar environment</w:t>
            </w:r>
          </w:p>
        </w:tc>
        <w:tc>
          <w:tcPr>
            <w:tcW w:type="dxa" w:w="820"/>
            <w:shd w:fill="F2F4F8" w:val="clear"/>
            <w:tcMar>
              <w:top w:type="dxa" w:w="45"/>
              <w:left w:type="dxa" w:w="90"/>
              <w:bottom w:type="dxa" w:w="45"/>
              <w:right w:type="dxa" w:w="90"/>
            </w:tcMar>
          </w:tcPr>
          <w:p>
            <w:pPr>
              <w:spacing w:after="0" w:line="215"/>
              <w:jc w:val="center"/>
            </w:pPr>
            <w:r>
              <w:rPr>
                <w:b/>
                <w:bCs/>
                <w:sz w:val="16"/>
                <w:szCs w:val="16"/>
              </w:rPr>
              <w:t xml:space="preserve">6</w:t>
            </w:r>
          </w:p>
        </w:tc>
        <w:tc>
          <w:tcPr>
            <w:tcW w:type="dxa" w:w="1440"/>
            <w:shd w:fill="F2F4F8" w:val="clear"/>
            <w:tcMar>
              <w:top w:type="dxa" w:w="45"/>
              <w:left w:type="dxa" w:w="90"/>
              <w:bottom w:type="dxa" w:w="45"/>
              <w:right w:type="dxa" w:w="90"/>
            </w:tcMar>
          </w:tcPr>
          <w:p>
            <w:pPr>
              <w:spacing w:after="0" w:line="215"/>
              <w:jc w:val="center"/>
            </w:pPr>
            <w:r>
              <w:rPr>
                <w:b/>
                <w:bCs/>
                <w:color w:val="1E6B3A"/>
                <w:sz w:val="16"/>
                <w:szCs w:val="16"/>
              </w:rPr>
              <w:t xml:space="preserve">Complete</w:t>
            </w:r>
          </w:p>
        </w:tc>
      </w:tr>
      <w:tr>
        <w:tc>
          <w:tcPr>
            <w:tcW w:type="dxa" w:w="520"/>
            <w:tcMar>
              <w:top w:type="dxa" w:w="45"/>
              <w:left w:type="dxa" w:w="90"/>
              <w:bottom w:type="dxa" w:w="45"/>
              <w:right w:type="dxa" w:w="90"/>
            </w:tcMar>
          </w:tcPr>
          <w:p>
            <w:pPr>
              <w:spacing w:after="0" w:line="215"/>
              <w:jc w:val="center"/>
            </w:pPr>
            <w:r>
              <w:rPr>
                <w:sz w:val="16"/>
                <w:szCs w:val="16"/>
              </w:rPr>
              <w:t xml:space="preserve">3</w:t>
            </w:r>
          </w:p>
        </w:tc>
        <w:tc>
          <w:tcPr>
            <w:tcW w:type="dxa" w:w="5700"/>
            <w:tcMar>
              <w:top w:type="dxa" w:w="45"/>
              <w:left w:type="dxa" w:w="90"/>
              <w:bottom w:type="dxa" w:w="45"/>
              <w:right w:type="dxa" w:w="90"/>
            </w:tcMar>
          </w:tcPr>
          <w:p>
            <w:pPr>
              <w:spacing w:after="0" w:line="215"/>
            </w:pPr>
            <w:r>
              <w:rPr>
                <w:sz w:val="16"/>
                <w:szCs w:val="16"/>
              </w:rPr>
              <w:t xml:space="preserve">Structure catalogue architecture and first three structures</w:t>
            </w:r>
          </w:p>
        </w:tc>
        <w:tc>
          <w:tcPr>
            <w:tcW w:type="dxa" w:w="820"/>
            <w:tcMar>
              <w:top w:type="dxa" w:w="45"/>
              <w:left w:type="dxa" w:w="90"/>
              <w:bottom w:type="dxa" w:w="45"/>
              <w:right w:type="dxa" w:w="90"/>
            </w:tcMar>
          </w:tcPr>
          <w:p>
            <w:pPr>
              <w:spacing w:after="0" w:line="215"/>
              <w:jc w:val="center"/>
            </w:pPr>
            <w:r>
              <w:rPr>
                <w:b/>
                <w:bCs/>
                <w:sz w:val="16"/>
                <w:szCs w:val="16"/>
              </w:rPr>
              <w:t xml:space="preserve">8</w:t>
            </w:r>
          </w:p>
        </w:tc>
        <w:tc>
          <w:tcPr>
            <w:tcW w:type="dxa" w:w="1440"/>
            <w:tcMar>
              <w:top w:type="dxa" w:w="45"/>
              <w:left w:type="dxa" w:w="90"/>
              <w:bottom w:type="dxa" w:w="45"/>
              <w:right w:type="dxa" w:w="90"/>
            </w:tcMar>
          </w:tcPr>
          <w:p>
            <w:pPr>
              <w:spacing w:after="0" w:line="215"/>
              <w:jc w:val="center"/>
            </w:pPr>
            <w:r>
              <w:rPr>
                <w:b/>
                <w:bCs/>
                <w:color w:val="1E6B3A"/>
                <w:sz w:val="16"/>
                <w:szCs w:val="16"/>
              </w:rPr>
              <w:t xml:space="preserve">Complete</w:t>
            </w:r>
          </w:p>
        </w:tc>
      </w:tr>
      <w:tr>
        <w:tc>
          <w:tcPr>
            <w:tcW w:type="dxa" w:w="520"/>
            <w:shd w:fill="F2F4F8" w:val="clear"/>
            <w:tcMar>
              <w:top w:type="dxa" w:w="45"/>
              <w:left w:type="dxa" w:w="90"/>
              <w:bottom w:type="dxa" w:w="45"/>
              <w:right w:type="dxa" w:w="90"/>
            </w:tcMar>
          </w:tcPr>
          <w:p>
            <w:pPr>
              <w:spacing w:after="0" w:line="215"/>
              <w:jc w:val="center"/>
            </w:pPr>
            <w:r>
              <w:rPr>
                <w:sz w:val="16"/>
                <w:szCs w:val="16"/>
              </w:rPr>
              <w:t xml:space="preserve">4</w:t>
            </w:r>
          </w:p>
        </w:tc>
        <w:tc>
          <w:tcPr>
            <w:tcW w:type="dxa" w:w="5700"/>
            <w:shd w:fill="F2F4F8" w:val="clear"/>
            <w:tcMar>
              <w:top w:type="dxa" w:w="45"/>
              <w:left w:type="dxa" w:w="90"/>
              <w:bottom w:type="dxa" w:w="45"/>
              <w:right w:type="dxa" w:w="90"/>
            </w:tcMar>
          </w:tcPr>
          <w:p>
            <w:pPr>
              <w:spacing w:after="0" w:line="215"/>
            </w:pPr>
            <w:r>
              <w:rPr>
                <w:sz w:val="16"/>
                <w:szCs w:val="16"/>
              </w:rPr>
              <w:t xml:space="preserve">Physics solver: Verlet integration and constraint projection</w:t>
            </w:r>
          </w:p>
        </w:tc>
        <w:tc>
          <w:tcPr>
            <w:tcW w:type="dxa" w:w="820"/>
            <w:shd w:fill="F2F4F8" w:val="clear"/>
            <w:tcMar>
              <w:top w:type="dxa" w:w="45"/>
              <w:left w:type="dxa" w:w="90"/>
              <w:bottom w:type="dxa" w:w="45"/>
              <w:right w:type="dxa" w:w="90"/>
            </w:tcMar>
          </w:tcPr>
          <w:p>
            <w:pPr>
              <w:spacing w:after="0" w:line="215"/>
              <w:jc w:val="center"/>
            </w:pPr>
            <w:r>
              <w:rPr>
                <w:b/>
                <w:bCs/>
                <w:sz w:val="16"/>
                <w:szCs w:val="16"/>
              </w:rPr>
              <w:t xml:space="preserve">7</w:t>
            </w:r>
          </w:p>
        </w:tc>
        <w:tc>
          <w:tcPr>
            <w:tcW w:type="dxa" w:w="1440"/>
            <w:shd w:fill="F2F4F8" w:val="clear"/>
            <w:tcMar>
              <w:top w:type="dxa" w:w="45"/>
              <w:left w:type="dxa" w:w="90"/>
              <w:bottom w:type="dxa" w:w="45"/>
              <w:right w:type="dxa" w:w="90"/>
            </w:tcMar>
          </w:tcPr>
          <w:p>
            <w:pPr>
              <w:spacing w:after="0" w:line="215"/>
              <w:jc w:val="center"/>
            </w:pPr>
            <w:r>
              <w:rPr>
                <w:b/>
                <w:bCs/>
                <w:color w:val="1E6B3A"/>
                <w:sz w:val="16"/>
                <w:szCs w:val="16"/>
              </w:rPr>
              <w:t xml:space="preserve">Complete</w:t>
            </w:r>
          </w:p>
        </w:tc>
      </w:tr>
      <w:tr>
        <w:tc>
          <w:tcPr>
            <w:tcW w:type="dxa" w:w="520"/>
            <w:tcMar>
              <w:top w:type="dxa" w:w="45"/>
              <w:left w:type="dxa" w:w="90"/>
              <w:bottom w:type="dxa" w:w="45"/>
              <w:right w:type="dxa" w:w="90"/>
            </w:tcMar>
          </w:tcPr>
          <w:p>
            <w:pPr>
              <w:spacing w:after="0" w:line="215"/>
              <w:jc w:val="center"/>
            </w:pPr>
            <w:r>
              <w:rPr>
                <w:sz w:val="16"/>
                <w:szCs w:val="16"/>
              </w:rPr>
              <w:t xml:space="preserve">5</w:t>
            </w:r>
          </w:p>
        </w:tc>
        <w:tc>
          <w:tcPr>
            <w:tcW w:type="dxa" w:w="5700"/>
            <w:tcMar>
              <w:top w:type="dxa" w:w="45"/>
              <w:left w:type="dxa" w:w="90"/>
              <w:bottom w:type="dxa" w:w="45"/>
              <w:right w:type="dxa" w:w="90"/>
            </w:tcMar>
          </w:tcPr>
          <w:p>
            <w:pPr>
              <w:spacing w:after="0" w:line="215"/>
            </w:pPr>
            <w:r>
              <w:rPr>
                <w:sz w:val="16"/>
                <w:szCs w:val="16"/>
              </w:rPr>
              <w:t xml:space="preserve">Member force readout and WebXR session</w:t>
            </w:r>
          </w:p>
        </w:tc>
        <w:tc>
          <w:tcPr>
            <w:tcW w:type="dxa" w:w="820"/>
            <w:tcMar>
              <w:top w:type="dxa" w:w="45"/>
              <w:left w:type="dxa" w:w="90"/>
              <w:bottom w:type="dxa" w:w="45"/>
              <w:right w:type="dxa" w:w="90"/>
            </w:tcMar>
          </w:tcPr>
          <w:p>
            <w:pPr>
              <w:spacing w:after="0" w:line="215"/>
              <w:jc w:val="center"/>
            </w:pPr>
            <w:r>
              <w:rPr>
                <w:b/>
                <w:bCs/>
                <w:sz w:val="16"/>
                <w:szCs w:val="16"/>
              </w:rPr>
              <w:t xml:space="preserve">4</w:t>
            </w:r>
          </w:p>
        </w:tc>
        <w:tc>
          <w:tcPr>
            <w:tcW w:type="dxa" w:w="1440"/>
            <w:tcMar>
              <w:top w:type="dxa" w:w="45"/>
              <w:left w:type="dxa" w:w="90"/>
              <w:bottom w:type="dxa" w:w="45"/>
              <w:right w:type="dxa" w:w="90"/>
            </w:tcMar>
          </w:tcPr>
          <w:p>
            <w:pPr>
              <w:spacing w:after="0" w:line="215"/>
              <w:jc w:val="center"/>
            </w:pPr>
            <w:r>
              <w:rPr>
                <w:b/>
                <w:bCs/>
                <w:color w:val="1E6B3A"/>
                <w:sz w:val="16"/>
                <w:szCs w:val="16"/>
              </w:rPr>
              <w:t xml:space="preserve">Complete</w:t>
            </w:r>
          </w:p>
        </w:tc>
      </w:tr>
      <w:tr>
        <w:tc>
          <w:tcPr>
            <w:tcW w:type="dxa" w:w="520"/>
            <w:shd w:fill="F2F4F8" w:val="clear"/>
            <w:tcMar>
              <w:top w:type="dxa" w:w="45"/>
              <w:left w:type="dxa" w:w="90"/>
              <w:bottom w:type="dxa" w:w="45"/>
              <w:right w:type="dxa" w:w="90"/>
            </w:tcMar>
          </w:tcPr>
          <w:p>
            <w:pPr>
              <w:spacing w:after="0" w:line="215"/>
              <w:jc w:val="center"/>
            </w:pPr>
            <w:r>
              <w:rPr>
                <w:sz w:val="16"/>
                <w:szCs w:val="16"/>
              </w:rPr>
              <w:t xml:space="preserve">6</w:t>
            </w:r>
          </w:p>
        </w:tc>
        <w:tc>
          <w:tcPr>
            <w:tcW w:type="dxa" w:w="5700"/>
            <w:shd w:fill="F2F4F8" w:val="clear"/>
            <w:tcMar>
              <w:top w:type="dxa" w:w="45"/>
              <w:left w:type="dxa" w:w="90"/>
              <w:bottom w:type="dxa" w:w="45"/>
              <w:right w:type="dxa" w:w="90"/>
            </w:tcMar>
          </w:tcPr>
          <w:p>
            <w:pPr>
              <w:spacing w:after="0" w:line="215"/>
            </w:pPr>
            <w:r>
              <w:rPr>
                <w:sz w:val="16"/>
                <w:szCs w:val="16"/>
              </w:rPr>
              <w:t xml:space="preserve">Member sizing engine</w:t>
            </w:r>
          </w:p>
        </w:tc>
        <w:tc>
          <w:tcPr>
            <w:tcW w:type="dxa" w:w="820"/>
            <w:shd w:fill="F2F4F8" w:val="clear"/>
            <w:tcMar>
              <w:top w:type="dxa" w:w="45"/>
              <w:left w:type="dxa" w:w="90"/>
              <w:bottom w:type="dxa" w:w="45"/>
              <w:right w:type="dxa" w:w="90"/>
            </w:tcMar>
          </w:tcPr>
          <w:p>
            <w:pPr>
              <w:spacing w:after="0" w:line="215"/>
              <w:jc w:val="center"/>
            </w:pPr>
            <w:r>
              <w:rPr>
                <w:b/>
                <w:bCs/>
                <w:sz w:val="16"/>
                <w:szCs w:val="16"/>
              </w:rPr>
              <w:t xml:space="preserve">10</w:t>
            </w:r>
          </w:p>
        </w:tc>
        <w:tc>
          <w:tcPr>
            <w:tcW w:type="dxa" w:w="1440"/>
            <w:shd w:fill="F2F4F8" w:val="clear"/>
            <w:tcMar>
              <w:top w:type="dxa" w:w="45"/>
              <w:left w:type="dxa" w:w="90"/>
              <w:bottom w:type="dxa" w:w="45"/>
              <w:right w:type="dxa" w:w="90"/>
            </w:tcMar>
          </w:tcPr>
          <w:p>
            <w:pPr>
              <w:spacing w:after="0" w:line="215"/>
              <w:jc w:val="center"/>
            </w:pPr>
            <w:r>
              <w:rPr>
                <w:b w:val="false"/>
                <w:bCs w:val="false"/>
                <w:sz w:val="16"/>
                <w:szCs w:val="16"/>
              </w:rPr>
              <w:t xml:space="preserve">13 Oct</w:t>
            </w:r>
          </w:p>
        </w:tc>
      </w:tr>
      <w:tr>
        <w:tc>
          <w:tcPr>
            <w:tcW w:type="dxa" w:w="520"/>
            <w:tcMar>
              <w:top w:type="dxa" w:w="45"/>
              <w:left w:type="dxa" w:w="90"/>
              <w:bottom w:type="dxa" w:w="45"/>
              <w:right w:type="dxa" w:w="90"/>
            </w:tcMar>
          </w:tcPr>
          <w:p>
            <w:pPr>
              <w:spacing w:after="0" w:line="215"/>
              <w:jc w:val="center"/>
            </w:pPr>
            <w:r>
              <w:rPr>
                <w:sz w:val="16"/>
                <w:szCs w:val="16"/>
              </w:rPr>
              <w:t xml:space="preserve">7</w:t>
            </w:r>
          </w:p>
        </w:tc>
        <w:tc>
          <w:tcPr>
            <w:tcW w:type="dxa" w:w="5700"/>
            <w:tcMar>
              <w:top w:type="dxa" w:w="45"/>
              <w:left w:type="dxa" w:w="90"/>
              <w:bottom w:type="dxa" w:w="45"/>
              <w:right w:type="dxa" w:w="90"/>
            </w:tcMar>
          </w:tcPr>
          <w:p>
            <w:pPr>
              <w:spacing w:after="0" w:line="215"/>
            </w:pPr>
            <w:r>
              <w:rPr>
                <w:sz w:val="16"/>
                <w:szCs w:val="16"/>
              </w:rPr>
              <w:t xml:space="preserve">Equilibrium solver and valid self-stress</w:t>
            </w:r>
          </w:p>
        </w:tc>
        <w:tc>
          <w:tcPr>
            <w:tcW w:type="dxa" w:w="820"/>
            <w:tcMar>
              <w:top w:type="dxa" w:w="45"/>
              <w:left w:type="dxa" w:w="90"/>
              <w:bottom w:type="dxa" w:w="45"/>
              <w:right w:type="dxa" w:w="90"/>
            </w:tcMar>
          </w:tcPr>
          <w:p>
            <w:pPr>
              <w:spacing w:after="0" w:line="215"/>
              <w:jc w:val="center"/>
            </w:pPr>
            <w:r>
              <w:rPr>
                <w:b/>
                <w:bCs/>
                <w:sz w:val="16"/>
                <w:szCs w:val="16"/>
              </w:rPr>
              <w:t xml:space="preserve">15</w:t>
            </w:r>
          </w:p>
        </w:tc>
        <w:tc>
          <w:tcPr>
            <w:tcW w:type="dxa" w:w="1440"/>
            <w:tcMar>
              <w:top w:type="dxa" w:w="45"/>
              <w:left w:type="dxa" w:w="90"/>
              <w:bottom w:type="dxa" w:w="45"/>
              <w:right w:type="dxa" w:w="90"/>
            </w:tcMar>
          </w:tcPr>
          <w:p>
            <w:pPr>
              <w:spacing w:after="0" w:line="215"/>
              <w:jc w:val="center"/>
            </w:pPr>
            <w:r>
              <w:rPr>
                <w:b w:val="false"/>
                <w:bCs w:val="false"/>
                <w:sz w:val="16"/>
                <w:szCs w:val="16"/>
              </w:rPr>
              <w:t xml:space="preserve">26 Oct</w:t>
            </w:r>
          </w:p>
        </w:tc>
      </w:tr>
      <w:tr>
        <w:tc>
          <w:tcPr>
            <w:tcW w:type="dxa" w:w="520"/>
            <w:shd w:fill="F2F4F8" w:val="clear"/>
            <w:tcMar>
              <w:top w:type="dxa" w:w="45"/>
              <w:left w:type="dxa" w:w="90"/>
              <w:bottom w:type="dxa" w:w="45"/>
              <w:right w:type="dxa" w:w="90"/>
            </w:tcMar>
          </w:tcPr>
          <w:p>
            <w:pPr>
              <w:spacing w:after="0" w:line="215"/>
              <w:jc w:val="center"/>
            </w:pPr>
            <w:r>
              <w:rPr>
                <w:sz w:val="16"/>
                <w:szCs w:val="16"/>
              </w:rPr>
              <w:t xml:space="preserve">8</w:t>
            </w:r>
          </w:p>
        </w:tc>
        <w:tc>
          <w:tcPr>
            <w:tcW w:type="dxa" w:w="5700"/>
            <w:shd w:fill="F2F4F8" w:val="clear"/>
            <w:tcMar>
              <w:top w:type="dxa" w:w="45"/>
              <w:left w:type="dxa" w:w="90"/>
              <w:bottom w:type="dxa" w:w="45"/>
              <w:right w:type="dxa" w:w="90"/>
            </w:tcMar>
          </w:tcPr>
          <w:p>
            <w:pPr>
              <w:spacing w:after="0" w:line="215"/>
            </w:pPr>
            <w:r>
              <w:rPr>
                <w:sz w:val="16"/>
                <w:szCs w:val="16"/>
              </w:rPr>
              <w:t xml:space="preserve">Minimal-mass model and optimisation panel</w:t>
            </w:r>
          </w:p>
        </w:tc>
        <w:tc>
          <w:tcPr>
            <w:tcW w:type="dxa" w:w="820"/>
            <w:shd w:fill="F2F4F8" w:val="clear"/>
            <w:tcMar>
              <w:top w:type="dxa" w:w="45"/>
              <w:left w:type="dxa" w:w="90"/>
              <w:bottom w:type="dxa" w:w="45"/>
              <w:right w:type="dxa" w:w="90"/>
            </w:tcMar>
          </w:tcPr>
          <w:p>
            <w:pPr>
              <w:spacing w:after="0" w:line="215"/>
              <w:jc w:val="center"/>
            </w:pPr>
            <w:r>
              <w:rPr>
                <w:b/>
                <w:bCs/>
                <w:sz w:val="16"/>
                <w:szCs w:val="16"/>
              </w:rPr>
              <w:t xml:space="preserve">12</w:t>
            </w:r>
          </w:p>
        </w:tc>
        <w:tc>
          <w:tcPr>
            <w:tcW w:type="dxa" w:w="1440"/>
            <w:shd w:fill="F2F4F8" w:val="clear"/>
            <w:tcMar>
              <w:top w:type="dxa" w:w="45"/>
              <w:left w:type="dxa" w:w="90"/>
              <w:bottom w:type="dxa" w:w="45"/>
              <w:right w:type="dxa" w:w="90"/>
            </w:tcMar>
          </w:tcPr>
          <w:p>
            <w:pPr>
              <w:spacing w:after="0" w:line="215"/>
              <w:jc w:val="center"/>
            </w:pPr>
            <w:r>
              <w:rPr>
                <w:b w:val="false"/>
                <w:bCs w:val="false"/>
                <w:sz w:val="16"/>
                <w:szCs w:val="16"/>
              </w:rPr>
              <w:t xml:space="preserve">2 Nov</w:t>
            </w:r>
          </w:p>
        </w:tc>
      </w:tr>
      <w:tr>
        <w:tc>
          <w:tcPr>
            <w:tcW w:type="dxa" w:w="520"/>
            <w:tcMar>
              <w:top w:type="dxa" w:w="45"/>
              <w:left w:type="dxa" w:w="90"/>
              <w:bottom w:type="dxa" w:w="45"/>
              <w:right w:type="dxa" w:w="90"/>
            </w:tcMar>
          </w:tcPr>
          <w:p>
            <w:pPr>
              <w:spacing w:after="0" w:line="215"/>
              <w:jc w:val="center"/>
            </w:pPr>
            <w:r>
              <w:rPr>
                <w:sz w:val="16"/>
                <w:szCs w:val="16"/>
              </w:rPr>
              <w:t xml:space="preserve">9</w:t>
            </w:r>
          </w:p>
        </w:tc>
        <w:tc>
          <w:tcPr>
            <w:tcW w:type="dxa" w:w="5700"/>
            <w:tcMar>
              <w:top w:type="dxa" w:w="45"/>
              <w:left w:type="dxa" w:w="90"/>
              <w:bottom w:type="dxa" w:w="45"/>
              <w:right w:type="dxa" w:w="90"/>
            </w:tcMar>
          </w:tcPr>
          <w:p>
            <w:pPr>
              <w:spacing w:after="0" w:line="215"/>
            </w:pPr>
            <w:r>
              <w:rPr>
                <w:sz w:val="16"/>
                <w:szCs w:val="16"/>
              </w:rPr>
              <w:t xml:space="preserve">Structure catalogue expansion</w:t>
            </w:r>
          </w:p>
        </w:tc>
        <w:tc>
          <w:tcPr>
            <w:tcW w:type="dxa" w:w="820"/>
            <w:tcMar>
              <w:top w:type="dxa" w:w="45"/>
              <w:left w:type="dxa" w:w="90"/>
              <w:bottom w:type="dxa" w:w="45"/>
              <w:right w:type="dxa" w:w="90"/>
            </w:tcMar>
          </w:tcPr>
          <w:p>
            <w:pPr>
              <w:spacing w:after="0" w:line="215"/>
              <w:jc w:val="center"/>
            </w:pPr>
            <w:r>
              <w:rPr>
                <w:b/>
                <w:bCs/>
                <w:sz w:val="16"/>
                <w:szCs w:val="16"/>
              </w:rPr>
              <w:t xml:space="preserve">8</w:t>
            </w:r>
          </w:p>
        </w:tc>
        <w:tc>
          <w:tcPr>
            <w:tcW w:type="dxa" w:w="1440"/>
            <w:tcMar>
              <w:top w:type="dxa" w:w="45"/>
              <w:left w:type="dxa" w:w="90"/>
              <w:bottom w:type="dxa" w:w="45"/>
              <w:right w:type="dxa" w:w="90"/>
            </w:tcMar>
          </w:tcPr>
          <w:p>
            <w:pPr>
              <w:spacing w:after="0" w:line="215"/>
              <w:jc w:val="center"/>
            </w:pPr>
            <w:r>
              <w:rPr>
                <w:b w:val="false"/>
                <w:bCs w:val="false"/>
                <w:sz w:val="16"/>
                <w:szCs w:val="16"/>
              </w:rPr>
              <w:t xml:space="preserve">9 Nov</w:t>
            </w:r>
          </w:p>
        </w:tc>
      </w:tr>
      <w:tr>
        <w:tc>
          <w:tcPr>
            <w:tcW w:type="dxa" w:w="520"/>
            <w:shd w:fill="F2F4F8" w:val="clear"/>
            <w:tcMar>
              <w:top w:type="dxa" w:w="45"/>
              <w:left w:type="dxa" w:w="90"/>
              <w:bottom w:type="dxa" w:w="45"/>
              <w:right w:type="dxa" w:w="90"/>
            </w:tcMar>
          </w:tcPr>
          <w:p>
            <w:pPr>
              <w:spacing w:after="0" w:line="215"/>
              <w:jc w:val="center"/>
            </w:pPr>
            <w:r>
              <w:rPr>
                <w:sz w:val="16"/>
                <w:szCs w:val="16"/>
              </w:rPr>
              <w:t xml:space="preserve">10</w:t>
            </w:r>
          </w:p>
        </w:tc>
        <w:tc>
          <w:tcPr>
            <w:tcW w:type="dxa" w:w="5700"/>
            <w:shd w:fill="F2F4F8" w:val="clear"/>
            <w:tcMar>
              <w:top w:type="dxa" w:w="45"/>
              <w:left w:type="dxa" w:w="90"/>
              <w:bottom w:type="dxa" w:w="45"/>
              <w:right w:type="dxa" w:w="90"/>
            </w:tcMar>
          </w:tcPr>
          <w:p>
            <w:pPr>
              <w:spacing w:after="0" w:line="215"/>
            </w:pPr>
            <w:r>
              <w:rPr>
                <w:sz w:val="16"/>
                <w:szCs w:val="16"/>
              </w:rPr>
              <w:t xml:space="preserve">Interactive manipulation with live failure feedback</w:t>
            </w:r>
          </w:p>
        </w:tc>
        <w:tc>
          <w:tcPr>
            <w:tcW w:type="dxa" w:w="820"/>
            <w:shd w:fill="F2F4F8" w:val="clear"/>
            <w:tcMar>
              <w:top w:type="dxa" w:w="45"/>
              <w:left w:type="dxa" w:w="90"/>
              <w:bottom w:type="dxa" w:w="45"/>
              <w:right w:type="dxa" w:w="90"/>
            </w:tcMar>
          </w:tcPr>
          <w:p>
            <w:pPr>
              <w:spacing w:after="0" w:line="215"/>
              <w:jc w:val="center"/>
            </w:pPr>
            <w:r>
              <w:rPr>
                <w:b/>
                <w:bCs/>
                <w:sz w:val="16"/>
                <w:szCs w:val="16"/>
              </w:rPr>
              <w:t xml:space="preserve">15</w:t>
            </w:r>
          </w:p>
        </w:tc>
        <w:tc>
          <w:tcPr>
            <w:tcW w:type="dxa" w:w="1440"/>
            <w:shd w:fill="F2F4F8" w:val="clear"/>
            <w:tcMar>
              <w:top w:type="dxa" w:w="45"/>
              <w:left w:type="dxa" w:w="90"/>
              <w:bottom w:type="dxa" w:w="45"/>
              <w:right w:type="dxa" w:w="90"/>
            </w:tcMar>
          </w:tcPr>
          <w:p>
            <w:pPr>
              <w:spacing w:after="0" w:line="215"/>
              <w:jc w:val="center"/>
            </w:pPr>
            <w:r>
              <w:rPr>
                <w:b w:val="false"/>
                <w:bCs w:val="false"/>
                <w:sz w:val="16"/>
                <w:szCs w:val="16"/>
              </w:rPr>
              <w:t xml:space="preserve">14 Nov</w:t>
            </w:r>
          </w:p>
        </w:tc>
      </w:tr>
      <w:tr>
        <w:tc>
          <w:tcPr>
            <w:tcW w:type="dxa" w:w="520"/>
            <w:tcMar>
              <w:top w:type="dxa" w:w="45"/>
              <w:left w:type="dxa" w:w="90"/>
              <w:bottom w:type="dxa" w:w="45"/>
              <w:right w:type="dxa" w:w="90"/>
            </w:tcMar>
          </w:tcPr>
          <w:p>
            <w:pPr>
              <w:spacing w:after="0" w:line="215"/>
              <w:jc w:val="center"/>
            </w:pPr>
            <w:r>
              <w:rPr>
                <w:sz w:val="16"/>
                <w:szCs w:val="16"/>
              </w:rPr>
              <w:t xml:space="preserve">11</w:t>
            </w:r>
          </w:p>
        </w:tc>
        <w:tc>
          <w:tcPr>
            <w:tcW w:type="dxa" w:w="5700"/>
            <w:tcMar>
              <w:top w:type="dxa" w:w="45"/>
              <w:left w:type="dxa" w:w="90"/>
              <w:bottom w:type="dxa" w:w="45"/>
              <w:right w:type="dxa" w:w="90"/>
            </w:tcMar>
          </w:tcPr>
          <w:p>
            <w:pPr>
              <w:spacing w:after="0" w:line="215"/>
            </w:pPr>
            <w:r>
              <w:rPr>
                <w:sz w:val="16"/>
                <w:szCs w:val="16"/>
              </w:rPr>
              <w:t xml:space="preserve">Validation suite</w:t>
            </w:r>
          </w:p>
        </w:tc>
        <w:tc>
          <w:tcPr>
            <w:tcW w:type="dxa" w:w="820"/>
            <w:tcMar>
              <w:top w:type="dxa" w:w="45"/>
              <w:left w:type="dxa" w:w="90"/>
              <w:bottom w:type="dxa" w:w="45"/>
              <w:right w:type="dxa" w:w="90"/>
            </w:tcMar>
          </w:tcPr>
          <w:p>
            <w:pPr>
              <w:spacing w:after="0" w:line="215"/>
              <w:jc w:val="center"/>
            </w:pPr>
            <w:r>
              <w:rPr>
                <w:b/>
                <w:bCs/>
                <w:sz w:val="16"/>
                <w:szCs w:val="16"/>
              </w:rPr>
              <w:t xml:space="preserve">5</w:t>
            </w:r>
          </w:p>
        </w:tc>
        <w:tc>
          <w:tcPr>
            <w:tcW w:type="dxa" w:w="1440"/>
            <w:tcMar>
              <w:top w:type="dxa" w:w="45"/>
              <w:left w:type="dxa" w:w="90"/>
              <w:bottom w:type="dxa" w:w="45"/>
              <w:right w:type="dxa" w:w="90"/>
            </w:tcMar>
          </w:tcPr>
          <w:p>
            <w:pPr>
              <w:spacing w:after="0" w:line="215"/>
              <w:jc w:val="center"/>
            </w:pPr>
            <w:r>
              <w:rPr>
                <w:b w:val="false"/>
                <w:bCs w:val="false"/>
                <w:sz w:val="16"/>
                <w:szCs w:val="16"/>
              </w:rPr>
              <w:t xml:space="preserve">17 Nov</w:t>
            </w:r>
          </w:p>
        </w:tc>
      </w:tr>
      <w:tr>
        <w:tc>
          <w:tcPr>
            <w:tcW w:type="dxa" w:w="520"/>
            <w:shd w:fill="F2F4F8" w:val="clear"/>
            <w:tcMar>
              <w:top w:type="dxa" w:w="45"/>
              <w:left w:type="dxa" w:w="90"/>
              <w:bottom w:type="dxa" w:w="45"/>
              <w:right w:type="dxa" w:w="90"/>
            </w:tcMar>
          </w:tcPr>
          <w:p>
            <w:pPr>
              <w:spacing w:after="0" w:line="215"/>
              <w:jc w:val="center"/>
            </w:pPr>
            <w:r>
              <w:rPr>
                <w:sz w:val="16"/>
                <w:szCs w:val="16"/>
              </w:rPr>
              <w:t xml:space="preserve">12</w:t>
            </w:r>
          </w:p>
        </w:tc>
        <w:tc>
          <w:tcPr>
            <w:tcW w:type="dxa" w:w="5700"/>
            <w:shd w:fill="F2F4F8" w:val="clear"/>
            <w:tcMar>
              <w:top w:type="dxa" w:w="45"/>
              <w:left w:type="dxa" w:w="90"/>
              <w:bottom w:type="dxa" w:w="45"/>
              <w:right w:type="dxa" w:w="90"/>
            </w:tcMar>
          </w:tcPr>
          <w:p>
            <w:pPr>
              <w:spacing w:after="0" w:line="215"/>
            </w:pPr>
            <w:r>
              <w:rPr>
                <w:sz w:val="16"/>
                <w:szCs w:val="16"/>
              </w:rPr>
              <w:t xml:space="preserve">Report, demonstration video and presentation</w:t>
            </w:r>
          </w:p>
        </w:tc>
        <w:tc>
          <w:tcPr>
            <w:tcW w:type="dxa" w:w="820"/>
            <w:shd w:fill="F2F4F8" w:val="clear"/>
            <w:tcMar>
              <w:top w:type="dxa" w:w="45"/>
              <w:left w:type="dxa" w:w="90"/>
              <w:bottom w:type="dxa" w:w="45"/>
              <w:right w:type="dxa" w:w="90"/>
            </w:tcMar>
          </w:tcPr>
          <w:p>
            <w:pPr>
              <w:spacing w:after="0" w:line="215"/>
              <w:jc w:val="center"/>
            </w:pPr>
            <w:r>
              <w:rPr>
                <w:b/>
                <w:bCs/>
                <w:sz w:val="16"/>
                <w:szCs w:val="16"/>
              </w:rPr>
              <w:t xml:space="preserve">5</w:t>
            </w:r>
          </w:p>
        </w:tc>
        <w:tc>
          <w:tcPr>
            <w:tcW w:type="dxa" w:w="1440"/>
            <w:shd w:fill="F2F4F8" w:val="clear"/>
            <w:tcMar>
              <w:top w:type="dxa" w:w="45"/>
              <w:left w:type="dxa" w:w="90"/>
              <w:bottom w:type="dxa" w:w="45"/>
              <w:right w:type="dxa" w:w="90"/>
            </w:tcMar>
          </w:tcPr>
          <w:p>
            <w:pPr>
              <w:spacing w:after="0" w:line="215"/>
              <w:jc w:val="center"/>
            </w:pPr>
            <w:r>
              <w:rPr>
                <w:b w:val="false"/>
                <w:bCs w:val="false"/>
                <w:sz w:val="16"/>
                <w:szCs w:val="16"/>
              </w:rPr>
              <w:t xml:space="preserve">3 Dec</w:t>
            </w:r>
          </w:p>
        </w:tc>
      </w:tr>
      <w:tr>
        <w:tc>
          <w:tcPr>
            <w:tcW w:type="dxa" w:w="520"/>
            <w:shd w:fill="F2F4F8" w:val="clear"/>
            <w:tcMar>
              <w:top w:type="dxa" w:w="45"/>
              <w:left w:type="dxa" w:w="90"/>
              <w:bottom w:type="dxa" w:w="45"/>
              <w:right w:type="dxa" w:w="90"/>
            </w:tcMar>
          </w:tcPr>
          <w:p>
            <w:pPr>
              <w:spacing w:after="0" w:line="215"/>
            </w:pPr>
            <w:r>
              <w:rPr>
                <w:sz w:val="16"/>
                <w:szCs w:val="16"/>
              </w:rPr>
              <w:t xml:space="preserve"/>
            </w:r>
          </w:p>
        </w:tc>
        <w:tc>
          <w:tcPr>
            <w:tcW w:type="dxa" w:w="5700"/>
            <w:shd w:fill="F2F4F8" w:val="clear"/>
            <w:tcMar>
              <w:top w:type="dxa" w:w="45"/>
              <w:left w:type="dxa" w:w="90"/>
              <w:bottom w:type="dxa" w:w="45"/>
              <w:right w:type="dxa" w:w="90"/>
            </w:tcMar>
          </w:tcPr>
          <w:p>
            <w:pPr>
              <w:spacing w:after="0" w:line="215"/>
            </w:pPr>
            <w:r>
              <w:rPr>
                <w:b/>
                <w:bCs/>
                <w:sz w:val="16"/>
                <w:szCs w:val="16"/>
              </w:rPr>
              <w:t xml:space="preserve">TOTAL</w:t>
            </w:r>
          </w:p>
        </w:tc>
        <w:tc>
          <w:tcPr>
            <w:tcW w:type="dxa" w:w="820"/>
            <w:shd w:fill="F2F4F8" w:val="clear"/>
            <w:tcMar>
              <w:top w:type="dxa" w:w="45"/>
              <w:left w:type="dxa" w:w="90"/>
              <w:bottom w:type="dxa" w:w="45"/>
              <w:right w:type="dxa" w:w="90"/>
            </w:tcMar>
          </w:tcPr>
          <w:p>
            <w:pPr>
              <w:spacing w:after="0" w:line="215"/>
              <w:jc w:val="center"/>
            </w:pPr>
            <w:r>
              <w:rPr>
                <w:b/>
                <w:bCs/>
                <w:sz w:val="16"/>
                <w:szCs w:val="16"/>
              </w:rPr>
              <w:t xml:space="preserve">100</w:t>
            </w:r>
          </w:p>
        </w:tc>
        <w:tc>
          <w:tcPr>
            <w:tcW w:type="dxa" w:w="1440"/>
            <w:shd w:fill="F2F4F8" w:val="clear"/>
            <w:tcMar>
              <w:top w:type="dxa" w:w="45"/>
              <w:left w:type="dxa" w:w="90"/>
              <w:bottom w:type="dxa" w:w="45"/>
              <w:right w:type="dxa" w:w="90"/>
            </w:tcMar>
          </w:tcPr>
          <w:p>
            <w:pPr>
              <w:spacing w:after="0" w:line="215"/>
            </w:pPr>
            <w:r>
              <w:rPr>
                <w:sz w:val="16"/>
                <w:szCs w:val="16"/>
              </w:rPr>
              <w:t xml:space="preserve"/>
            </w:r>
          </w:p>
        </w:tc>
      </w:tr>
    </w:tbl>
    <w:p>
      <w:pPr>
        <w:spacing w:after="60" w:line="222"/>
      </w:pPr>
      <w:r>
        <w:rPr>
          <w:sz w:val="18"/>
          <w:szCs w:val="18"/>
        </w:rPr>
        <w:t xml:space="preserve"/>
      </w:r>
    </w:p>
    <w:p>
      <w:pPr>
        <w:spacing w:after="60" w:line="222"/>
      </w:pPr>
      <w:r>
        <w:rPr>
          <w:sz w:val="18"/>
          <w:szCs w:val="18"/>
        </w:rPr>
        <w:t xml:space="preserve">Thirty points sit with the delivered foundation — several months of work, and what everything else is built on. The remaining seventy are weighted by difficulty and dependency: subtask 7 is the keystone, since a general equilibrium solver gives every catalogue structure correct member forces, and subtask 10 is the contribution the project is built around.</w:t>
      </w:r>
    </w:p>
    <w:p>
      <w:pPr>
        <w:pStyle w:val="Heading1"/>
        <w:spacing w:after="60" w:before="120"/>
      </w:pPr>
      <w:r>
        <w:rPr>
          <w:b/>
          <w:bCs/>
          <w:color w:val="1F3A6E"/>
          <w:sz w:val="24"/>
          <w:szCs w:val="24"/>
        </w:rPr>
        <w:t xml:space="preserve">3. Delivered subtasks (1–5)</w:t>
      </w:r>
    </w:p>
    <w:p>
      <w:pPr>
        <w:spacing w:after="50" w:line="222"/>
        <w:ind w:left="180"/>
      </w:pPr>
      <w:r>
        <w:rPr>
          <w:b/>
          <w:bCs/>
          <w:color w:val="1E6B3A"/>
          <w:sz w:val="17"/>
          <w:szCs w:val="17"/>
        </w:rPr>
        <w:t xml:space="preserve">1. Language and toolchain foundation (5 pts) — </w:t>
      </w:r>
      <w:r>
        <w:rPr>
          <w:sz w:val="17"/>
          <w:szCs w:val="17"/>
        </w:rPr>
        <w:t xml:space="preserve">TypeScript learned and applied from scratch, with the Node toolchain, VS Code configuration and a live development server. Evidence: the project compiles under strict TypeScript.</w:t>
      </w:r>
    </w:p>
    <w:p>
      <w:pPr>
        <w:spacing w:after="50" w:line="222"/>
        <w:ind w:left="180"/>
      </w:pPr>
      <w:r>
        <w:rPr>
          <w:b/>
          <w:bCs/>
          <w:color w:val="1E6B3A"/>
          <w:sz w:val="17"/>
          <w:szCs w:val="17"/>
        </w:rPr>
        <w:t xml:space="preserve">2. Scene, rendering pipeline and lunar environment (6 pts) — </w:t>
      </w:r>
      <w:r>
        <w:rPr>
          <w:sz w:val="17"/>
          <w:szCs w:val="17"/>
        </w:rPr>
        <w:t xml:space="preserve">Babylon.js scene with camera control, lighting, a lunar surface environment, and procedural mesh generation building strut cylinders and cable lines from an arbitrary node list. Evidence: any catalogue structure renders and is inspectable from any angle.</w:t>
      </w:r>
    </w:p>
    <w:p>
      <w:pPr>
        <w:spacing w:after="50" w:line="222"/>
        <w:ind w:left="180"/>
      </w:pPr>
      <w:r>
        <w:rPr>
          <w:b/>
          <w:bCs/>
          <w:color w:val="1E6B3A"/>
          <w:sz w:val="17"/>
          <w:szCs w:val="17"/>
        </w:rPr>
        <w:t xml:space="preserve">3. Structure catalogue architecture and first three structures (8 pts) — </w:t>
      </w:r>
      <w:r>
        <w:rPr>
          <w:sz w:val="17"/>
          <w:szCs w:val="17"/>
        </w:rPr>
        <w:t xml:space="preserve">A data-driven structure format holding parameters, a node-generation function and separate strut and cable connectivity lists, so new structures are added as data rather than code. Three implemented against it: 3-bar prism, T-Bar, D-Bar, with correct geometry including the prism twist. Evidence: structures switch at runtime with full mesh disposal and rebuild.</w:t>
      </w:r>
    </w:p>
    <w:p>
      <w:pPr>
        <w:spacing w:after="50" w:line="222"/>
        <w:ind w:left="180"/>
      </w:pPr>
      <w:r>
        <w:rPr>
          <w:b/>
          <w:bCs/>
          <w:color w:val="1E6B3A"/>
          <w:sz w:val="17"/>
          <w:szCs w:val="17"/>
        </w:rPr>
        <w:t xml:space="preserve">4. Physics solver: Verlet integration and constraint projection (7 pts) — </w:t>
      </w:r>
      <w:r>
        <w:rPr>
          <w:sz w:val="17"/>
          <w:szCs w:val="17"/>
        </w:rPr>
        <w:t xml:space="preserve">A position-based dynamics solver with Verlet integration, distance constraints projected over configurable sub-steps, damping, gravity and pinned nodes. Evidence: structures settle stably and respond to node displacement without drift.</w:t>
      </w:r>
    </w:p>
    <w:p>
      <w:pPr>
        <w:spacing w:after="110" w:line="222"/>
        <w:ind w:left="180"/>
      </w:pPr>
      <w:r>
        <w:rPr>
          <w:b/>
          <w:bCs/>
          <w:color w:val="1E6B3A"/>
          <w:sz w:val="17"/>
          <w:szCs w:val="17"/>
        </w:rPr>
        <w:t xml:space="preserve">5. Member force readout and WebXR session (4 pts) — </w:t>
      </w:r>
      <w:r>
        <w:rPr>
          <w:sz w:val="17"/>
          <w:szCs w:val="17"/>
        </w:rPr>
        <w:t xml:space="preserve">Per-member force computed from constraint extension and displayed as scaled arrows, plus a WebXR session with controller input tested on headset hardware. Evidence: forces update live and the scene is enterable in VR.</w:t>
      </w:r>
    </w:p>
    <w:p>
      <w:pPr>
        <w:pStyle w:val="Heading1"/>
        <w:spacing w:after="60" w:before="120"/>
      </w:pPr>
      <w:r>
        <w:rPr>
          <w:b/>
          <w:bCs/>
          <w:color w:val="1F3A6E"/>
          <w:sz w:val="24"/>
          <w:szCs w:val="24"/>
        </w:rPr>
        <w:t xml:space="preserve">4. Remaining subtasks (6–12): deliverables and acceptance criteria</w:t>
      </w:r>
    </w:p>
    <w:p>
      <w:pPr>
        <w:spacing w:after="40" w:line="222"/>
      </w:pPr>
      <w:r>
        <w:rPr>
          <w:b/>
          <w:bCs/>
          <w:sz w:val="18"/>
          <w:szCs w:val="18"/>
        </w:rPr>
        <w:t xml:space="preserve">Subtask 6 — Member sizing engine (10 points, due 13 October)</w:t>
      </w:r>
    </w:p>
    <w:p>
      <w:pPr>
        <w:spacing w:after="50" w:line="222"/>
        <w:ind w:left="180"/>
      </w:pPr>
      <w:r>
        <w:rPr>
          <w:b/>
          <w:bCs/>
          <w:color w:val="1F3A6E"/>
          <w:sz w:val="17"/>
          <w:szCs w:val="17"/>
        </w:rPr>
        <w:t xml:space="preserve">Deliverable: </w:t>
      </w:r>
      <w:r>
        <w:rPr>
          <w:sz w:val="17"/>
          <w:szCs w:val="17"/>
        </w:rPr>
        <w:t xml:space="preserve">A module computing the radius each member needs: Euler buckling for bars, yielding for cables, whichever governs for a bar. Includes member and total mass, the design parameter ε, and a per-member utilisation ratio. Material catalogue extended with Young's modulus and yield stress.</w:t>
      </w:r>
    </w:p>
    <w:p>
      <w:pPr>
        <w:spacing w:after="50" w:line="222"/>
        <w:ind w:left="180"/>
      </w:pPr>
      <w:r>
        <w:rPr>
          <w:b/>
          <w:bCs/>
          <w:color w:val="1F3A6E"/>
          <w:sz w:val="17"/>
          <w:szCs w:val="17"/>
        </w:rPr>
        <w:t xml:space="preserve">Done when: </w:t>
      </w:r>
      <w:r>
        <w:rPr>
          <w:sz w:val="17"/>
          <w:szCs w:val="17"/>
        </w:rPr>
        <w:t xml:space="preserve">Unit tests reproduce the textbook benchmark — a 6 m steel bar carrying 20 kN needs r = 25.9 mm and masses 99.5 kg — and strut mesh diameters are driven by computed radii rather than a fixed visual thickness. Estimated effort 8 to 10 hours.</w:t>
      </w:r>
    </w:p>
    <w:p>
      <w:pPr>
        <w:spacing w:after="40" w:line="222"/>
      </w:pPr>
      <w:r>
        <w:rPr>
          <w:b/>
          <w:bCs/>
          <w:sz w:val="18"/>
          <w:szCs w:val="18"/>
        </w:rPr>
        <w:t xml:space="preserve">Subtask 7 — Equilibrium solver and valid self-stress (15 points, due 26 October)</w:t>
      </w:r>
    </w:p>
    <w:p>
      <w:pPr>
        <w:spacing w:after="50" w:line="222"/>
        <w:ind w:left="180"/>
      </w:pPr>
      <w:r>
        <w:rPr>
          <w:b/>
          <w:bCs/>
          <w:color w:val="1F3A6E"/>
          <w:sz w:val="17"/>
          <w:szCs w:val="17"/>
        </w:rPr>
        <w:t xml:space="preserve">Deliverable: </w:t>
      </w:r>
      <w:r>
        <w:rPr>
          <w:sz w:val="17"/>
          <w:szCs w:val="17"/>
        </w:rPr>
        <w:t xml:space="preserve">Assembly of the equilibrium matrix A (3 × nodes by members, each column the unit vector along a member) and a least-norm solve for the force-density vector, giving member forces for any structure and load case. Prestress assigned per member group from analytic force densities rather than a single uniform value.</w:t>
      </w:r>
    </w:p>
    <w:p>
      <w:pPr>
        <w:spacing w:after="50" w:line="222"/>
        <w:ind w:left="180"/>
      </w:pPr>
      <w:r>
        <w:rPr>
          <w:b/>
          <w:bCs/>
          <w:color w:val="1F3A6E"/>
          <w:sz w:val="17"/>
          <w:szCs w:val="17"/>
        </w:rPr>
        <w:t xml:space="preserve">Done when: </w:t>
      </w:r>
      <w:r>
        <w:rPr>
          <w:sz w:val="17"/>
          <w:szCs w:val="17"/>
        </w:rPr>
        <w:t xml:space="preserve">The equilibrium residual is numerically zero for the 3-bar prism under self-stress alone, loaded T-Bar forces match closed-form values, and the uniform-prestress assumption is removed. Estimated effort 14 to 18 hours.</w:t>
      </w:r>
    </w:p>
    <w:p>
      <w:pPr>
        <w:spacing w:after="50" w:line="222"/>
        <w:ind w:left="180"/>
      </w:pPr>
      <w:r>
        <w:rPr>
          <w:b/>
          <w:bCs/>
          <w:color w:val="1F3A6E"/>
          <w:sz w:val="17"/>
          <w:szCs w:val="17"/>
        </w:rPr>
        <w:t xml:space="preserve">Risk note: </w:t>
      </w:r>
      <w:r>
        <w:rPr>
          <w:sz w:val="17"/>
          <w:szCs w:val="17"/>
        </w:rPr>
        <w:t xml:space="preserve">Highest-risk subtask, therefore scheduled first. Fallback: supply analytic force densities for the existing three structures, sufficient for subtasks 8 and 10 though not reusable.</w:t>
      </w:r>
    </w:p>
    <w:p>
      <w:pPr>
        <w:spacing w:after="40" w:line="222"/>
      </w:pPr>
      <w:r>
        <w:rPr>
          <w:b/>
          <w:bCs/>
          <w:sz w:val="18"/>
          <w:szCs w:val="18"/>
        </w:rPr>
        <w:t xml:space="preserve">Subtask 8 — Minimal-mass model and optimisation panel (12 points, due 2 November)</w:t>
      </w:r>
    </w:p>
    <w:p>
      <w:pPr>
        <w:spacing w:after="50" w:line="222"/>
        <w:ind w:left="180"/>
      </w:pPr>
      <w:r>
        <w:rPr>
          <w:b/>
          <w:bCs/>
          <w:color w:val="1F3A6E"/>
          <w:sz w:val="17"/>
          <w:szCs w:val="17"/>
        </w:rPr>
        <w:t xml:space="preserve">Deliverable: </w:t>
      </w:r>
      <w:r>
        <w:rPr>
          <w:sz w:val="17"/>
          <w:szCs w:val="17"/>
        </w:rPr>
        <w:t xml:space="preserve">Mass-ratio functions for T-Bar and D-Bar self-similar columns and stacked prism columns, the optimal complexity, and the yield-crossover ceiling beyond which the buckling model is invalid. A panel plots mass ratio against complexity with the current design, the optimum and the invalid region marked.</w:t>
      </w:r>
    </w:p>
    <w:p>
      <w:pPr>
        <w:spacing w:after="50" w:line="222"/>
        <w:ind w:left="180"/>
      </w:pPr>
      <w:r>
        <w:rPr>
          <w:b/>
          <w:bCs/>
          <w:color w:val="1F3A6E"/>
          <w:sz w:val="17"/>
          <w:szCs w:val="17"/>
        </w:rPr>
        <w:t xml:space="preserve">Done when: </w:t>
      </w:r>
      <w:r>
        <w:rPr>
          <w:sz w:val="17"/>
          <w:szCs w:val="17"/>
        </w:rPr>
        <w:t xml:space="preserve">Sliders update the plot live, computed optima match hand-checked closed-form values for at least three cases, and the panel refuses to recommend complexity above the yield ceiling. Estimated effort 10 to 12 hours.</w:t>
      </w:r>
    </w:p>
    <w:p>
      <w:pPr>
        <w:spacing w:after="40" w:line="222"/>
      </w:pPr>
      <w:r>
        <w:rPr>
          <w:b/>
          <w:bCs/>
          <w:sz w:val="18"/>
          <w:szCs w:val="18"/>
        </w:rPr>
        <w:t xml:space="preserve">Subtask 9 — Structure catalogue expansion (8 points, due 9 November)</w:t>
      </w:r>
    </w:p>
    <w:p>
      <w:pPr>
        <w:spacing w:after="50" w:line="222"/>
        <w:ind w:left="180"/>
      </w:pPr>
      <w:r>
        <w:rPr>
          <w:b/>
          <w:bCs/>
          <w:color w:val="1F3A6E"/>
          <w:sz w:val="17"/>
          <w:szCs w:val="17"/>
        </w:rPr>
        <w:t xml:space="preserve">Deliverable: </w:t>
      </w:r>
      <w:r>
        <w:rPr>
          <w:sz w:val="17"/>
          <w:szCs w:val="17"/>
        </w:rPr>
        <w:t xml:space="preserve">Prism twist replaced by its analytic form α = π/2 − π/p, making 4-bar and 6-bar prisms correct automatically; a stacked prism column of configurable height; and a planar Michell topology generator for bending loads.</w:t>
      </w:r>
    </w:p>
    <w:p>
      <w:pPr>
        <w:spacing w:after="50" w:line="222"/>
        <w:ind w:left="180"/>
      </w:pPr>
      <w:r>
        <w:rPr>
          <w:b/>
          <w:bCs/>
          <w:color w:val="1F3A6E"/>
          <w:sz w:val="17"/>
          <w:szCs w:val="17"/>
        </w:rPr>
        <w:t xml:space="preserve">Done when: </w:t>
      </w:r>
      <w:r>
        <w:rPr>
          <w:sz w:val="17"/>
          <w:szCs w:val="17"/>
        </w:rPr>
        <w:t xml:space="preserve">At least six catalogue entries load, render and return member forces without error, and the twist angle is computed rather than hard-coded. Estimated effort 8 to 10 hours.</w:t>
      </w:r>
    </w:p>
    <w:p>
      <w:pPr>
        <w:spacing w:after="40" w:line="222"/>
      </w:pPr>
      <w:r>
        <w:rPr>
          <w:b/>
          <w:bCs/>
          <w:sz w:val="18"/>
          <w:szCs w:val="18"/>
        </w:rPr>
        <w:t xml:space="preserve">Subtask 10 — Interactive manipulation with live failure feedback (15 points, due 14 November)</w:t>
      </w:r>
    </w:p>
    <w:p>
      <w:pPr>
        <w:spacing w:after="50" w:line="222"/>
        <w:ind w:left="180"/>
      </w:pPr>
      <w:r>
        <w:rPr>
          <w:b/>
          <w:bCs/>
          <w:color w:val="1F3A6E"/>
          <w:sz w:val="17"/>
          <w:szCs w:val="17"/>
        </w:rPr>
        <w:t xml:space="preserve">Deliverable: </w:t>
      </w:r>
      <w:r>
        <w:rPr>
          <w:sz w:val="17"/>
          <w:szCs w:val="17"/>
        </w:rPr>
        <w:t xml:space="preserve">The user grabs a node and moves it; the solver re-equilibrates each frame; members are coloured by utilisation (green below 60 %, amber to 90 %, red above) and utilisation 1.0 triggers a failure indication. Mass and peak utilisation display continuously.</w:t>
      </w:r>
    </w:p>
    <w:p>
      <w:pPr>
        <w:spacing w:after="50" w:line="222"/>
        <w:ind w:left="180"/>
      </w:pPr>
      <w:r>
        <w:rPr>
          <w:b/>
          <w:bCs/>
          <w:color w:val="1F3A6E"/>
          <w:sz w:val="17"/>
          <w:szCs w:val="17"/>
        </w:rPr>
        <w:t xml:space="preserve">Done when: </w:t>
      </w:r>
      <w:r>
        <w:rPr>
          <w:sz w:val="17"/>
          <w:szCs w:val="17"/>
        </w:rPr>
        <w:t xml:space="preserve">A recorded session shows manipulation with colouring and readouts updating at interactive frame rate, and one member driven deliberately to failure. Estimated effort 16 to 20 hours.</w:t>
      </w:r>
    </w:p>
    <w:p>
      <w:pPr>
        <w:spacing w:after="50" w:line="222"/>
        <w:ind w:left="180"/>
      </w:pPr>
      <w:r>
        <w:rPr>
          <w:b/>
          <w:bCs/>
          <w:color w:val="1F3A6E"/>
          <w:sz w:val="17"/>
          <w:szCs w:val="17"/>
        </w:rPr>
        <w:t xml:space="preserve">Fallback: </w:t>
      </w:r>
      <w:r>
        <w:rPr>
          <w:sz w:val="17"/>
          <w:szCs w:val="17"/>
        </w:rPr>
        <w:t xml:space="preserve">If headset integration proves unstable the identical interaction ships as desktop mouse-drag; the contribution is the live re-equilibration and feedback loop, not the input device.</w:t>
      </w:r>
    </w:p>
    <w:p>
      <w:pPr>
        <w:spacing w:after="40" w:line="222"/>
      </w:pPr>
      <w:r>
        <w:rPr>
          <w:b/>
          <w:bCs/>
          <w:sz w:val="18"/>
          <w:szCs w:val="18"/>
        </w:rPr>
        <w:t xml:space="preserve">Subtask 11 — Validation suite (5 points, due 17 November)</w:t>
      </w:r>
    </w:p>
    <w:p>
      <w:pPr>
        <w:spacing w:after="50" w:line="222"/>
        <w:ind w:left="180"/>
      </w:pPr>
      <w:r>
        <w:rPr>
          <w:b/>
          <w:bCs/>
          <w:color w:val="1F3A6E"/>
          <w:sz w:val="17"/>
          <w:szCs w:val="17"/>
        </w:rPr>
        <w:t xml:space="preserve">Deliverable and acceptance: </w:t>
      </w:r>
      <w:r>
        <w:rPr>
          <w:sz w:val="17"/>
          <w:szCs w:val="17"/>
        </w:rPr>
        <w:t xml:space="preserve">Automated checks — equilibrium residual near zero for every structure, structure mass agreeing with the closed-form mass ratio, and member count matching the self-similar formula — all run from a single command, with results and any discrepancies recorded in a table for the report. Estimated effort 6 to 8 hours.</w:t>
      </w:r>
    </w:p>
    <w:p>
      <w:pPr>
        <w:spacing w:after="40" w:line="222"/>
      </w:pPr>
      <w:r>
        <w:rPr>
          <w:b/>
          <w:bCs/>
          <w:sz w:val="18"/>
          <w:szCs w:val="18"/>
        </w:rPr>
        <w:t xml:space="preserve">Subtask 12 — Report, demonstration video and presentation (5 points, due 3 December)</w:t>
      </w:r>
    </w:p>
    <w:p>
      <w:pPr>
        <w:spacing w:after="110" w:line="222"/>
        <w:ind w:left="180"/>
      </w:pPr>
      <w:r>
        <w:rPr>
          <w:b/>
          <w:bCs/>
          <w:color w:val="1F3A6E"/>
          <w:sz w:val="17"/>
          <w:szCs w:val="17"/>
        </w:rPr>
        <w:t xml:space="preserve">Deliverable and acceptance: </w:t>
      </w:r>
      <w:r>
        <w:rPr>
          <w:sz w:val="17"/>
          <w:szCs w:val="17"/>
        </w:rPr>
        <w:t xml:space="preserve">A report covering the theory, architecture, validation results and an explicit limitations section (small displacements, PBD not being finite element analysis, stiffness not computed); a screen-captured demonstration; and the final slides. Complete when all three exist with figures and the validation table. Estimated effort 12 to 14 hours.</w:t>
      </w:r>
    </w:p>
    <w:p>
      <w:pPr>
        <w:pStyle w:val="Heading1"/>
        <w:spacing w:after="60" w:before="120"/>
      </w:pPr>
      <w:r>
        <w:rPr>
          <w:b/>
          <w:bCs/>
          <w:color w:val="1F3A6E"/>
          <w:sz w:val="24"/>
          <w:szCs w:val="24"/>
        </w:rPr>
        <w:t xml:space="preserve">5. Schedule</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1800"/>
        <w:gridCol w:w="6680"/>
      </w:tblGrid>
      <w:tr>
        <w:tc>
          <w:tcPr>
            <w:tcW w:type="dxa" w:w="1800"/>
            <w:shd w:fill="1F3A6E" w:val="clear"/>
            <w:tcMar>
              <w:top w:type="dxa" w:w="45"/>
              <w:left w:type="dxa" w:w="90"/>
              <w:bottom w:type="dxa" w:w="45"/>
              <w:right w:type="dxa" w:w="90"/>
            </w:tcMar>
          </w:tcPr>
          <w:p>
            <w:pPr>
              <w:spacing w:after="0" w:line="215"/>
            </w:pPr>
            <w:r>
              <w:rPr>
                <w:b/>
                <w:bCs/>
                <w:color w:val="FFFFFF"/>
                <w:sz w:val="16"/>
                <w:szCs w:val="16"/>
              </w:rPr>
              <w:t xml:space="preserve">Period</w:t>
            </w:r>
          </w:p>
        </w:tc>
        <w:tc>
          <w:tcPr>
            <w:tcW w:type="dxa" w:w="6680"/>
            <w:shd w:fill="1F3A6E" w:val="clear"/>
            <w:tcMar>
              <w:top w:type="dxa" w:w="45"/>
              <w:left w:type="dxa" w:w="90"/>
              <w:bottom w:type="dxa" w:w="45"/>
              <w:right w:type="dxa" w:w="90"/>
            </w:tcMar>
          </w:tcPr>
          <w:p>
            <w:pPr>
              <w:spacing w:after="0" w:line="215"/>
            </w:pPr>
            <w:r>
              <w:rPr>
                <w:b/>
                <w:bCs/>
                <w:color w:val="FFFFFF"/>
                <w:sz w:val="16"/>
                <w:szCs w:val="16"/>
              </w:rPr>
              <w:t xml:space="preserve">Focus</w:t>
            </w:r>
          </w:p>
        </w:tc>
      </w:tr>
      <w:tr>
        <w:tc>
          <w:tcPr>
            <w:tcW w:type="dxa" w:w="1800"/>
            <w:tcMar>
              <w:top w:type="dxa" w:w="45"/>
              <w:left w:type="dxa" w:w="90"/>
              <w:bottom w:type="dxa" w:w="45"/>
              <w:right w:type="dxa" w:w="90"/>
            </w:tcMar>
          </w:tcPr>
          <w:p>
            <w:pPr>
              <w:spacing w:after="0" w:line="215"/>
            </w:pPr>
            <w:r>
              <w:rPr>
                <w:b/>
                <w:bCs/>
                <w:sz w:val="16"/>
                <w:szCs w:val="16"/>
              </w:rPr>
              <w:t xml:space="preserve">Delivered</w:t>
            </w:r>
          </w:p>
        </w:tc>
        <w:tc>
          <w:tcPr>
            <w:tcW w:type="dxa" w:w="6680"/>
            <w:tcMar>
              <w:top w:type="dxa" w:w="45"/>
              <w:left w:type="dxa" w:w="90"/>
              <w:bottom w:type="dxa" w:w="45"/>
              <w:right w:type="dxa" w:w="90"/>
            </w:tcMar>
          </w:tcPr>
          <w:p>
            <w:pPr>
              <w:spacing w:after="0" w:line="215"/>
            </w:pPr>
            <w:r>
              <w:rPr>
                <w:sz w:val="16"/>
                <w:szCs w:val="16"/>
              </w:rPr>
              <w:t xml:space="preserve">Subtasks 1 to 5: toolchain, rendering, catalogue architecture, solver, force display, WebXR</w:t>
            </w:r>
          </w:p>
        </w:tc>
      </w:tr>
      <w:tr>
        <w:tc>
          <w:tcPr>
            <w:tcW w:type="dxa" w:w="1800"/>
            <w:shd w:fill="F2F4F8" w:val="clear"/>
            <w:tcMar>
              <w:top w:type="dxa" w:w="45"/>
              <w:left w:type="dxa" w:w="90"/>
              <w:bottom w:type="dxa" w:w="45"/>
              <w:right w:type="dxa" w:w="90"/>
            </w:tcMar>
          </w:tcPr>
          <w:p>
            <w:pPr>
              <w:spacing w:after="0" w:line="215"/>
            </w:pPr>
            <w:r>
              <w:rPr>
                <w:b/>
                <w:bCs/>
                <w:sz w:val="16"/>
                <w:szCs w:val="16"/>
              </w:rPr>
              <w:t xml:space="preserve">6 – 12 Oct</w:t>
            </w:r>
          </w:p>
        </w:tc>
        <w:tc>
          <w:tcPr>
            <w:tcW w:type="dxa" w:w="6680"/>
            <w:shd w:fill="F2F4F8" w:val="clear"/>
            <w:tcMar>
              <w:top w:type="dxa" w:w="45"/>
              <w:left w:type="dxa" w:w="90"/>
              <w:bottom w:type="dxa" w:w="45"/>
              <w:right w:type="dxa" w:w="90"/>
            </w:tcMar>
          </w:tcPr>
          <w:p>
            <w:pPr>
              <w:spacing w:after="0" w:line="215"/>
            </w:pPr>
            <w:r>
              <w:rPr>
                <w:sz w:val="16"/>
                <w:szCs w:val="16"/>
              </w:rPr>
              <w:t xml:space="preserve">Subtask 6: sizing functions and unit tests</w:t>
            </w:r>
          </w:p>
        </w:tc>
      </w:tr>
      <w:tr>
        <w:tc>
          <w:tcPr>
            <w:tcW w:type="dxa" w:w="1800"/>
            <w:tcMar>
              <w:top w:type="dxa" w:w="45"/>
              <w:left w:type="dxa" w:w="90"/>
              <w:bottom w:type="dxa" w:w="45"/>
              <w:right w:type="dxa" w:w="90"/>
            </w:tcMar>
          </w:tcPr>
          <w:p>
            <w:pPr>
              <w:spacing w:after="0" w:line="215"/>
            </w:pPr>
            <w:r>
              <w:rPr>
                <w:b/>
                <w:bCs/>
                <w:sz w:val="16"/>
                <w:szCs w:val="16"/>
              </w:rPr>
              <w:t xml:space="preserve">13 – 26 Oct</w:t>
            </w:r>
          </w:p>
        </w:tc>
        <w:tc>
          <w:tcPr>
            <w:tcW w:type="dxa" w:w="6680"/>
            <w:tcMar>
              <w:top w:type="dxa" w:w="45"/>
              <w:left w:type="dxa" w:w="90"/>
              <w:bottom w:type="dxa" w:w="45"/>
              <w:right w:type="dxa" w:w="90"/>
            </w:tcMar>
          </w:tcPr>
          <w:p>
            <w:pPr>
              <w:spacing w:after="0" w:line="215"/>
            </w:pPr>
            <w:r>
              <w:rPr>
                <w:sz w:val="16"/>
                <w:szCs w:val="16"/>
              </w:rPr>
              <w:t xml:space="preserve">Subtask 7: equilibrium matrix and least-norm solve; prestress per member group</w:t>
            </w:r>
          </w:p>
        </w:tc>
      </w:tr>
      <w:tr>
        <w:tc>
          <w:tcPr>
            <w:tcW w:type="dxa" w:w="1800"/>
            <w:shd w:fill="F2F4F8" w:val="clear"/>
            <w:tcMar>
              <w:top w:type="dxa" w:w="45"/>
              <w:left w:type="dxa" w:w="90"/>
              <w:bottom w:type="dxa" w:w="45"/>
              <w:right w:type="dxa" w:w="90"/>
            </w:tcMar>
          </w:tcPr>
          <w:p>
            <w:pPr>
              <w:spacing w:after="0" w:line="215"/>
            </w:pPr>
            <w:r>
              <w:rPr>
                <w:b/>
                <w:bCs/>
                <w:sz w:val="16"/>
                <w:szCs w:val="16"/>
              </w:rPr>
              <w:t xml:space="preserve">27 Oct – 9 Nov</w:t>
            </w:r>
          </w:p>
        </w:tc>
        <w:tc>
          <w:tcPr>
            <w:tcW w:type="dxa" w:w="6680"/>
            <w:shd w:fill="F2F4F8" w:val="clear"/>
            <w:tcMar>
              <w:top w:type="dxa" w:w="45"/>
              <w:left w:type="dxa" w:w="90"/>
              <w:bottom w:type="dxa" w:w="45"/>
              <w:right w:type="dxa" w:w="90"/>
            </w:tcMar>
          </w:tcPr>
          <w:p>
            <w:pPr>
              <w:spacing w:after="0" w:line="215"/>
            </w:pPr>
            <w:r>
              <w:rPr>
                <w:sz w:val="16"/>
                <w:szCs w:val="16"/>
              </w:rPr>
              <w:t xml:space="preserve">Subtask 8: mass curves and optimisation panel; subtask 9: catalogue entries</w:t>
            </w:r>
          </w:p>
        </w:tc>
      </w:tr>
      <w:tr>
        <w:tc>
          <w:tcPr>
            <w:tcW w:type="dxa" w:w="1800"/>
            <w:tcMar>
              <w:top w:type="dxa" w:w="45"/>
              <w:left w:type="dxa" w:w="90"/>
              <w:bottom w:type="dxa" w:w="45"/>
              <w:right w:type="dxa" w:w="90"/>
            </w:tcMar>
          </w:tcPr>
          <w:p>
            <w:pPr>
              <w:spacing w:after="0" w:line="215"/>
            </w:pPr>
            <w:r>
              <w:rPr>
                <w:b/>
                <w:bCs/>
                <w:sz w:val="16"/>
                <w:szCs w:val="16"/>
              </w:rPr>
              <w:t xml:space="preserve">10 – 14 Nov</w:t>
            </w:r>
          </w:p>
        </w:tc>
        <w:tc>
          <w:tcPr>
            <w:tcW w:type="dxa" w:w="6680"/>
            <w:tcMar>
              <w:top w:type="dxa" w:w="45"/>
              <w:left w:type="dxa" w:w="90"/>
              <w:bottom w:type="dxa" w:w="45"/>
              <w:right w:type="dxa" w:w="90"/>
            </w:tcMar>
          </w:tcPr>
          <w:p>
            <w:pPr>
              <w:spacing w:after="0" w:line="215"/>
            </w:pPr>
            <w:r>
              <w:rPr>
                <w:sz w:val="16"/>
                <w:szCs w:val="16"/>
              </w:rPr>
              <w:t xml:space="preserve">Subtask 10: interaction and failure colouring. FEATURE FREEZE 14 November</w:t>
            </w:r>
          </w:p>
        </w:tc>
      </w:tr>
      <w:tr>
        <w:tc>
          <w:tcPr>
            <w:tcW w:type="dxa" w:w="1800"/>
            <w:shd w:fill="F2F4F8" w:val="clear"/>
            <w:tcMar>
              <w:top w:type="dxa" w:w="45"/>
              <w:left w:type="dxa" w:w="90"/>
              <w:bottom w:type="dxa" w:w="45"/>
              <w:right w:type="dxa" w:w="90"/>
            </w:tcMar>
          </w:tcPr>
          <w:p>
            <w:pPr>
              <w:spacing w:after="0" w:line="215"/>
            </w:pPr>
            <w:r>
              <w:rPr>
                <w:b/>
                <w:bCs/>
                <w:sz w:val="16"/>
                <w:szCs w:val="16"/>
              </w:rPr>
              <w:t xml:space="preserve">17 – 28 Nov</w:t>
            </w:r>
          </w:p>
        </w:tc>
        <w:tc>
          <w:tcPr>
            <w:tcW w:type="dxa" w:w="6680"/>
            <w:shd w:fill="F2F4F8" w:val="clear"/>
            <w:tcMar>
              <w:top w:type="dxa" w:w="45"/>
              <w:left w:type="dxa" w:w="90"/>
              <w:bottom w:type="dxa" w:w="45"/>
              <w:right w:type="dxa" w:w="90"/>
            </w:tcMar>
          </w:tcPr>
          <w:p>
            <w:pPr>
              <w:spacing w:after="0" w:line="215"/>
            </w:pPr>
            <w:r>
              <w:rPr>
                <w:sz w:val="16"/>
                <w:szCs w:val="16"/>
              </w:rPr>
              <w:t xml:space="preserve">Subtask 11: validation runs recorded; Thanksgiving week: writing only, no new code</w:t>
            </w:r>
          </w:p>
        </w:tc>
      </w:tr>
      <w:tr>
        <w:tc>
          <w:tcPr>
            <w:tcW w:type="dxa" w:w="1800"/>
            <w:tcMar>
              <w:top w:type="dxa" w:w="45"/>
              <w:left w:type="dxa" w:w="90"/>
              <w:bottom w:type="dxa" w:w="45"/>
              <w:right w:type="dxa" w:w="90"/>
            </w:tcMar>
          </w:tcPr>
          <w:p>
            <w:pPr>
              <w:spacing w:after="0" w:line="215"/>
            </w:pPr>
            <w:r>
              <w:rPr>
                <w:b/>
                <w:bCs/>
                <w:sz w:val="16"/>
                <w:szCs w:val="16"/>
              </w:rPr>
              <w:t xml:space="preserve">1 – 3 Dec</w:t>
            </w:r>
          </w:p>
        </w:tc>
        <w:tc>
          <w:tcPr>
            <w:tcW w:type="dxa" w:w="6680"/>
            <w:tcMar>
              <w:top w:type="dxa" w:w="45"/>
              <w:left w:type="dxa" w:w="90"/>
              <w:bottom w:type="dxa" w:w="45"/>
              <w:right w:type="dxa" w:w="90"/>
            </w:tcMar>
          </w:tcPr>
          <w:p>
            <w:pPr>
              <w:spacing w:after="0" w:line="215"/>
            </w:pPr>
            <w:r>
              <w:rPr>
                <w:sz w:val="16"/>
                <w:szCs w:val="16"/>
              </w:rPr>
              <w:t xml:space="preserve">Subtask 12: report finalised, video recorded, submitted</w:t>
            </w:r>
          </w:p>
        </w:tc>
      </w:tr>
    </w:tbl>
    <w:p>
      <w:pPr>
        <w:spacing w:after="50" w:line="222"/>
      </w:pPr>
      <w:r>
        <w:rPr>
          <w:sz w:val="18"/>
          <w:szCs w:val="18"/>
        </w:rPr>
        <w:t xml:space="preserve"/>
      </w:r>
    </w:p>
    <w:p>
      <w:pPr>
        <w:spacing w:after="50" w:line="222"/>
      </w:pPr>
      <w:r>
        <w:rPr>
          <w:sz w:val="18"/>
          <w:szCs w:val="18"/>
        </w:rPr>
        <w:t xml:space="preserve">Remaining effort is 75 to 90 hours, or 8 to 10 per week. Feature work stops 14 November, leaving two weeks for validation and writing.</w:t>
      </w:r>
    </w:p>
    <w:p>
      <w:pPr>
        <w:pStyle w:val="Heading1"/>
        <w:spacing w:after="60" w:before="120"/>
      </w:pPr>
      <w:r>
        <w:rPr>
          <w:b/>
          <w:bCs/>
          <w:color w:val="1F3A6E"/>
          <w:sz w:val="24"/>
          <w:szCs w:val="24"/>
        </w:rPr>
        <w:t xml:space="preserve">6. Risks and mitigations</w:t>
      </w:r>
    </w:p>
    <w:p>
      <w:pPr>
        <w:spacing w:after="100" w:line="222"/>
      </w:pPr>
      <w:r>
        <w:rPr>
          <w:sz w:val="18"/>
          <w:szCs w:val="18"/>
        </w:rPr>
        <w:t xml:space="preserve">Solver instability (subtask 7) is scheduled early so a fallback to analytic force densities stays possible. Headset or frame-rate problems (subtask 10) are covered by a desktop mouse-drag fallback using the same solver and feedback path. Stretch goals carry zero points and are attempted only after subtask 11. Documentation sits in protected weeks so a busy November cannot eliminate it.</w:t>
      </w:r>
    </w:p>
    <w:p>
      <w:pPr>
        <w:pStyle w:val="Heading1"/>
        <w:spacing w:after="60" w:before="120"/>
      </w:pPr>
      <w:r>
        <w:rPr>
          <w:b/>
          <w:bCs/>
          <w:color w:val="1F3A6E"/>
          <w:sz w:val="24"/>
          <w:szCs w:val="24"/>
        </w:rPr>
        <w:t xml:space="preserve">7. Stretch goals (not graded, zero points)</w:t>
      </w:r>
    </w:p>
    <w:p>
      <w:pPr>
        <w:spacing w:after="0" w:line="222"/>
      </w:pPr>
      <w:r>
        <w:rPr>
          <w:sz w:val="18"/>
          <w:szCs w:val="18"/>
        </w:rPr>
        <w:t xml:space="preserve">Listed so the direction is clear; no points depend on them. A spherical Michell structure under torsion, tensegrity plates under crushing load, the self-similar fractal generator at complexity three or above, and a one-cable D-Bar deployment demonstration.</w:t>
      </w:r>
    </w:p>
    <w:sectPr>
      <w:pgSz w:w="12240" w:h="15840" w:orient="portrait"/>
      <w:pgMar w:top="760" w:right="880" w:bottom="700" w:left="8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2026-10-06T15:22:07.559Z</dcterms:created>
  <dcterms:modified xsi:type="dcterms:W3CDTF">2026-10-06T15:22:07.559Z</dcterms:modified>
</cp:coreProperties>
</file>

<file path=docProps/custom.xml><?xml version="1.0" encoding="utf-8"?>
<Properties xmlns="http://schemas.openxmlformats.org/officeDocument/2006/custom-properties" xmlns:vt="http://schemas.openxmlformats.org/officeDocument/2006/docPropsVTypes"/>
</file>