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color w:val="1F2937"/>
          <w:sz w:val="56"/>
        </w:rPr>
        <w:t>Sysblade HyperBuffer™</w:t>
      </w:r>
    </w:p>
    <w:p>
      <w:pPr>
        <w:jc w:val="center"/>
      </w:pPr>
      <w:r>
        <w:rPr>
          <w:rFonts w:ascii="Microsoft JhengHei" w:hAnsi="Microsoft JhengHei"/>
          <w:b/>
          <w:sz w:val="32"/>
        </w:rPr>
        <w:t>AI 時代的混合能量緩衝 BBU × 智能維運平台</w:t>
      </w:r>
    </w:p>
    <w:p>
      <w:pPr>
        <w:jc w:val="center"/>
      </w:pPr>
      <w:r>
        <w:rPr>
          <w:rFonts w:ascii="Microsoft JhengHei" w:hAnsi="Microsoft JhengHei"/>
          <w:sz w:val="26"/>
        </w:rPr>
        <w:t>以 LFP + LIC 混合儲能解決 GB200/GB300 毫秒級電力波動</w:t>
      </w:r>
    </w:p>
    <w:p>
      <w:pPr>
        <w:jc w:val="center"/>
      </w:pPr>
      <w:r>
        <w:rPr>
          <w:rFonts w:ascii="Microsoft JhengHei" w:hAnsi="Microsoft JhengHei"/>
          <w:i/>
          <w:sz w:val="22"/>
        </w:rPr>
        <w:t>結合 OCP Mt. Diablo HVDC 路徑與 AI 數位孿生軟體層的差異化方案</w:t>
      </w:r>
    </w:p>
    <w:p/>
    <w:p>
      <w:pPr>
        <w:jc w:val="center"/>
      </w:pPr>
      <w:r>
        <w:rPr>
          <w:rFonts w:ascii="Microsoft JhengHei" w:hAnsi="Microsoft JhengHei"/>
          <w:sz w:val="24"/>
        </w:rPr>
        <w:t>第二十三屆 ATCC 全國大專院校行銷企劃競賽</w:t>
      </w:r>
    </w:p>
    <w:p>
      <w:pPr>
        <w:jc w:val="center"/>
      </w:pPr>
      <w:r>
        <w:rPr>
          <w:rFonts w:ascii="Microsoft JhengHei" w:hAnsi="Microsoft JhengHei"/>
          <w:sz w:val="24"/>
        </w:rPr>
        <w:t>Sysgration 系統電 / 電統能源組 — 議題 C13</w:t>
      </w:r>
    </w:p>
    <w:p>
      <w:pPr>
        <w:jc w:val="center"/>
      </w:pPr>
      <w:r>
        <w:rPr>
          <w:rFonts w:ascii="Microsoft JhengHei" w:hAnsi="Microsoft JhengHei"/>
          <w:b/>
          <w:sz w:val="24"/>
        </w:rPr>
        <w:t>初賽完整版企劃書 · v2.2 修訂版(2026-05-03)</w:t>
      </w:r>
    </w:p>
    <w:p/>
    <w:p>
      <w:pPr>
        <w:spacing w:after="80"/>
        <w:jc w:val="left"/>
      </w:pPr>
      <w:r>
        <w:rPr>
          <w:rFonts w:ascii="Microsoft JhengHei" w:hAnsi="Microsoft JhengHei"/>
          <w:b/>
          <w:sz w:val="22"/>
        </w:rPr>
        <w:t>技術交付物參考(v2.2 新增):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Live demo(現場可操作):https://sysblade-atcc.vercel.app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三件套:/twin(Battery Digital Twin)、/tco(TCO Calculator)、/dashboard(Fleet Dashboard)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本書附件 D 為技術交付物實證摘要(2026-05-03 measured;原始 JSON 與程式碼倉庫複賽前公開)</w:t>
      </w:r>
    </w:p>
    <w:p/>
    <w:p>
      <w:pPr>
        <w:spacing w:after="80"/>
        <w:jc w:val="left"/>
      </w:pPr>
      <w:r>
        <w:rPr>
          <w:rFonts w:ascii="Microsoft JhengHei" w:hAnsi="Microsoft JhengHei"/>
          <w:sz w:val="22"/>
        </w:rPr>
        <w:t>提案隊伍:________________   隊長:________________</w:t>
      </w:r>
    </w:p>
    <w:p>
      <w:pPr>
        <w:spacing w:after="80"/>
        <w:jc w:val="left"/>
      </w:pPr>
      <w:r>
        <w:rPr>
          <w:rFonts w:ascii="Microsoft JhengHei" w:hAnsi="Microsoft JhengHei"/>
          <w:sz w:val="22"/>
        </w:rPr>
        <w:t>學校:________________   指導老師:________________</w:t>
      </w:r>
    </w:p>
    <w:p>
      <w:pPr>
        <w:spacing w:after="80"/>
        <w:jc w:val="left"/>
      </w:pPr>
      <w:r>
        <w:rPr>
          <w:rFonts w:ascii="Microsoft JhengHei" w:hAnsi="Microsoft JhengHei"/>
          <w:sz w:val="22"/>
        </w:rPr>
        <w:t>繳交日期:2026 / 05 / 05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icrosoft JhengHei" w:hAnsi="Microsoft JhengHei"/>
          <w:color w:val="1F2937"/>
        </w:rPr>
        <w:t>A. 摘要 (Executive Summary)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本企劃針對 AI 機櫃毫秒級電力波動此一公開但未被解決的痛點,提出 Sysblade HyperBuffer — 一套以 LFP 磷酸鋰鐵電池與 LIC 鋰離子電容 (Lithium-ion Capacitor) 構成之混合能量緩衝 BBU,並搭配 AI 電池數位孿生 (Battery Digital Twin) 軟體平台,提供從硬體到 SaaS 的完整解決方案。</w:t>
      </w:r>
    </w:p>
    <w:p>
      <w:pPr>
        <w:spacing w:after="80"/>
        <w:jc w:val="both"/>
      </w:pPr>
      <w:r>
        <w:rPr>
          <w:rFonts w:ascii="Microsoft JhengHei" w:hAnsi="Microsoft JhengHei"/>
          <w:b/>
          <w:sz w:val="22"/>
        </w:rPr>
        <w:t>市場規模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根據 Intel Market Research 報告 [2],北美 AI 機房儲能電池市場將自 2026 年的 USD 8.98 億成長至 2034 年的 USD 323.88 億 (CAGR 74.3%);Emergen Research [1] 則保守估計 AI BBU 市場 2034 年為 USD 35 億,北美佔 40%。GB200/GB300 機櫃在訓練 LLM 時於毫秒區間 (1–50 ms) 造成 ±30% 功率擺動,傳統 BBU 僅應對秒級停電,無法回應毫秒瞬態。</w:t>
      </w:r>
    </w:p>
    <w:p>
      <w:pPr>
        <w:spacing w:after="80"/>
        <w:jc w:val="both"/>
      </w:pPr>
      <w:r>
        <w:rPr>
          <w:rFonts w:ascii="Microsoft JhengHei" w:hAnsi="Microsoft JhengHei"/>
          <w:b/>
          <w:sz w:val="22"/>
        </w:rPr>
        <w:t>差異化策略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我們鎖定北美 Tier-2/3 colo 機房 BBU 市場,以「LFP + LIC + AI 數位孿生」整合方案攻佔 5% 市佔(2029 年 USD 8,250 萬營收)。**避開 Schneider × NVIDIA 800 V hyperscale 全棧戰**,**避開 Vertiv 設施級 UPS 規模戰**,把 NVIDIA GB300 PSU 內已驗證的 LIC + Battery 雙模架構從 「PSU 內」外延到「機架 12U BBU」,讓既有 ORV3 機房不需更換 PSU 即可獲得瞬態保護,並把運可視化的整合方案,把系統電從硬體 ODM 升級為 Hardware-Defined, Software-Augmented 平台供應商。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icrosoft JhengHei" w:hAnsi="Microsoft JhengHei"/>
          <w:color w:val="1F2937"/>
        </w:rPr>
        <w:t>B. 背景與目的</w:t>
      </w:r>
    </w:p>
    <w:p>
      <w:pPr>
        <w:pStyle w:val="Heading2"/>
        <w:spacing w:before="240" w:after="120"/>
      </w:pPr>
      <w:r>
        <w:rPr>
          <w:rFonts w:ascii="Microsoft JhengHei" w:hAnsi="Microsoft JhengHei"/>
          <w:color w:val="1F2937"/>
        </w:rPr>
        <w:t>B.1 三大產業驅動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(1) AI 機櫃功率密度暴增:NVIDIA GB200 NVL72 機櫃功耗 120 kW,下世代 GB300 路徑將推升至單櫃 1 MW 等級 [3];OCP Mt. Diablo 規範 busbar 設計可支撐 1.1 MW 平均負載 [5]。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(2) 毫秒級電力波動成為新瓶頸:Microsoft Azure 於 arXiv 2508.14318 公開論文 [4] 指出,LLM 訓練在「計算-同步」週期切換時造成數十 ms 的功率擺動,可達電網瞬時需求的 ±30%;NVIDIA GB300 已在 PSU 中整合電容儲能以實現 30% 削峰 [3]。傳統 BBU 僅應對「秒級停電備援」,無法回應毫秒瞬態。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(3) 電力資源是新的稀缺品:Gartner 預測 2027 年將有 40% 既有 AI 機房因電力不足受限 [11],AI 增量伺服器年用電量將達 500 TWh,較 2023 年 2.6 倍。每 kWh 與每秒備援都是「直接黃金」。</w:t>
      </w:r>
    </w:p>
    <w:p>
      <w:pPr>
        <w:pStyle w:val="Heading2"/>
        <w:spacing w:before="240" w:after="120"/>
      </w:pPr>
      <w:r>
        <w:rPr>
          <w:rFonts w:ascii="Microsoft JhengHei" w:hAnsi="Microsoft JhengHei"/>
          <w:color w:val="1F2937"/>
        </w:rPr>
        <w:t>B.2 本企劃目的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協助系統電 / 電統能源在 2026–2029 年三年期間,於北美 AI 機房 BBU 市場以「差異化整合方案」搶下 5% 市佔,避開 Schneider Electric × NVIDIA 800VDC 聯盟 [17]、Vertiv Trinergy / OneCore 等大廠的「規模戰」與「全棧戰」,改打「中型客戶高配合度 ODM × 軟體賦能」的縫隙策略。</w:t>
      </w:r>
    </w:p>
    <w:p>
      <w:pPr>
        <w:pStyle w:val="Heading2"/>
        <w:spacing w:before="240" w:after="120"/>
      </w:pPr>
      <w:r>
        <w:rPr>
          <w:rFonts w:ascii="Microsoft JhengHei" w:hAnsi="Microsoft JhengHei"/>
          <w:color w:val="1F2937"/>
        </w:rPr>
        <w:t>B.3 與系統電現有戰略的對齊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德州 Plano 廠 2025 Q4 量產 [8],符合《美國優先採購法》與關稅豁免政策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Pegatron 私募 NT$21 億入股 [9],提供 AI 伺服器整機通路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系統電 2024 年報 [19] 顯示 BBU 已是核心成長動能,本案以 50% 營收貢獻假設進行模擬,與公司公開法說口徑一致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icrosoft JhengHei" w:hAnsi="Microsoft JhengHei"/>
          <w:color w:val="1F2937"/>
        </w:rPr>
        <w:t>C. 現況分析</w:t>
      </w:r>
    </w:p>
    <w:p>
      <w:pPr>
        <w:pStyle w:val="Heading2"/>
        <w:spacing w:before="240" w:after="120"/>
      </w:pPr>
      <w:r>
        <w:rPr>
          <w:rFonts w:ascii="Microsoft JhengHei" w:hAnsi="Microsoft JhengHei"/>
          <w:color w:val="1F2937"/>
        </w:rPr>
        <w:t>C.1 市場規模與地理集中度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根據 JLL Year-End 2025 Report [10],全美在建資料中心容量達 35 GW,其中德州 6.5 GW (18.6%) + 北維吉尼亞 ~5.3 GW (15%),兩地合計 ~33% 為第一級戰場。Texas 已超車 Virginia 成為全美興建中專案數最多的州 (140 案 vs 136 案,2026 Q1 數據)。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市場區塊</w:t>
            </w:r>
          </w:p>
        </w:tc>
        <w:tc>
          <w:tcPr>
            <w:tcW w:type="dxa" w:w="240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2026E (USD)</w:t>
            </w:r>
          </w:p>
        </w:tc>
        <w:tc>
          <w:tcPr>
            <w:tcW w:type="dxa" w:w="240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2034E (USD)</w:t>
            </w:r>
          </w:p>
        </w:tc>
        <w:tc>
          <w:tcPr>
            <w:tcW w:type="dxa" w:w="240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CAGR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北美 AI 機房儲能電池 [2]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8.98 億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323.88 億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74.3 %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全球 AI BBU [1]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12 億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35 億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11.5 %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北美 AI BBU (40 % 全球) [1]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4.8 億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14 億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11.5 %</w:t>
            </w:r>
          </w:p>
        </w:tc>
      </w:tr>
    </w:tbl>
    <w:p/>
    <w:p>
      <w:pPr>
        <w:spacing w:after="80"/>
        <w:jc w:val="both"/>
      </w:pPr>
      <w:r>
        <w:rPr>
          <w:rFonts w:ascii="Microsoft JhengHei" w:hAnsi="Microsoft JhengHei"/>
          <w:sz w:val="18"/>
        </w:rPr>
        <w:t>註:兩家機構數字差異主因「儲能電池」涵蓋更廣 (含 BESS/UPS/BBU),BBU 為其子集。本案以 Emergen Research 北美 BBU 數字 (USD 14 億 @ 2034) 作為 SAM,目標 5 % 市佔率對應 USD 7,000 萬年營收,保守且可驗證。</w:t>
      </w:r>
    </w:p>
    <w:p>
      <w:pPr>
        <w:pStyle w:val="Heading2"/>
        <w:spacing w:before="240" w:after="120"/>
      </w:pPr>
      <w:r>
        <w:rPr>
          <w:rFonts w:ascii="Microsoft JhengHei" w:hAnsi="Microsoft JhengHei"/>
          <w:color w:val="1F2937"/>
        </w:rPr>
        <w:t>C.2 技術現況:54V → ±400V 不是升級,是換代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OCP ORV3 v1.4 BBU 規格 [7] 採 48 V 標稱、最高 60 V 直流。若以 LFP 化學體系 (3.2 V 標稱) 配置,合理串聯數為 15S (3.2 × 15 = 48 V,最高充電電壓 3.65 × 15 ≈ 54.75 V,落在 60 V 上限內);若採 NMC (3.7 V 標稱) 則為 13S。本案選用 LFP 故採 15S 配置。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OCP Diablo 400 v0.7.0 [5] 採 ±400 VDC,需重新設計電池堆疊 (15S → 108S,增加 7 倍 BMS 通道)、絕緣等級 (UL 1973 → UL 1989 stationary battery)、DC-DC 拓撲與機械結構,與 ORV3 BBU 完全不同產品。Schneider × NVIDIA 4 月 2025 已合作推出 800 VDC sidecar [17],宣示 800 V 為 1 MW+ 機櫃方向。</w:t>
      </w:r>
    </w:p>
    <w:p>
      <w:pPr>
        <w:spacing w:after="80"/>
        <w:jc w:val="both"/>
      </w:pPr>
      <w:r>
        <w:rPr>
          <w:rFonts w:ascii="Microsoft JhengHei" w:hAnsi="Microsoft JhengHei"/>
          <w:b/>
          <w:sz w:val="20"/>
        </w:rPr>
        <w:t>系統電的合理戰略不是「同一台 BBU 跨電壓」,而是「兩代產品共用機構介面與軟體層」。</w:t>
      </w:r>
    </w:p>
    <w:p>
      <w:pPr>
        <w:pStyle w:val="Heading2"/>
        <w:spacing w:before="240" w:after="120"/>
      </w:pPr>
      <w:r>
        <w:rPr>
          <w:rFonts w:ascii="Microsoft JhengHei" w:hAnsi="Microsoft JhengHei"/>
          <w:color w:val="1F2937"/>
        </w:rPr>
        <w:t>C.3 競爭分析:避開全棧戰,鎖定中型客戶縫隙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對手</w:t>
            </w:r>
          </w:p>
        </w:tc>
        <w:tc>
          <w:tcPr>
            <w:tcW w:type="dxa" w:w="240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優勢</w:t>
            </w:r>
          </w:p>
        </w:tc>
        <w:tc>
          <w:tcPr>
            <w:tcW w:type="dxa" w:w="240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可被攻擊的弱點</w:t>
            </w:r>
          </w:p>
        </w:tc>
        <w:tc>
          <w:tcPr>
            <w:tcW w:type="dxa" w:w="240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Sysblade 對應策略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Schneider × NVIDIA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800 VDC sidecar、生態整合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綁定 NVIDIA、僅服 Tier-1 hyperscaler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鎖定 Tier-2/3 colo,以 SaaS 軟體層差異化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Vertiv Trinergy/OneCore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5 MW+ UPS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以 UPS 機房思維出發、機架級 BBU 非主力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專注 rack-level,避開 facility-level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Eaton XLR 48 V supercap [18]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LIC 硬體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僅賣電容單體、缺整合 BBU 方案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整合 LFP+LIC 雙模,提供「系統」而非「元件」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AESKY / Dynapac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價格戰、規模快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無軟體、無 OCP 認證路徑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以 Battery Twin 數據服務拉開技術級距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KULR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OCP Platinum、安全電芯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規模小、無在地生產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以德州廠在地交期 3 週反制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Microsoft JhengHei" w:hAnsi="Microsoft JhengHei"/>
          <w:color w:val="1F2937"/>
        </w:rPr>
        <w:t>D. 目標設定</w:t>
      </w:r>
    </w:p>
    <w:p>
      <w:pPr>
        <w:pStyle w:val="Heading2"/>
        <w:spacing w:before="240" w:after="120"/>
      </w:pPr>
      <w:r>
        <w:rPr>
          <w:rFonts w:ascii="Microsoft JhengHei" w:hAnsi="Microsoft JhengHei"/>
          <w:color w:val="1F2937"/>
        </w:rPr>
        <w:t>D.1 質化目標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技術定位:成為北美第一個提供「混合儲能 + 數位孿生」整合方案的 ODM/OEM 廠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品牌升級:從 Sysgration「BBU 製造商」轉型為「Sysblade Intelligence Platform 提供者」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永續承諾:以延長電池循環壽命 30 % [13] 為核心,對齊客戶 ESG 報告與碳排揭露需求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客戶滲透:與 5 家 Tier-1/2 hyperscaler 達成 PoC 簽約,建立 OCP Spec 制定者地位</w:t>
      </w:r>
    </w:p>
    <w:p>
      <w:pPr>
        <w:pStyle w:val="Heading2"/>
        <w:spacing w:before="240" w:after="120"/>
      </w:pPr>
      <w:r>
        <w:rPr>
          <w:rFonts w:ascii="Microsoft JhengHei" w:hAnsi="Microsoft JhengHei"/>
          <w:color w:val="1F2937"/>
        </w:rPr>
        <w:t>D.2 量化目標 (2026 Q3 – 2029 Q4)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指標</w:t>
            </w:r>
          </w:p>
        </w:tc>
        <w:tc>
          <w:tcPr>
            <w:tcW w:type="dxa" w:w="240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2027F</w:t>
            </w:r>
          </w:p>
        </w:tc>
        <w:tc>
          <w:tcPr>
            <w:tcW w:type="dxa" w:w="240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2028F</w:t>
            </w:r>
          </w:p>
        </w:tc>
        <w:tc>
          <w:tcPr>
            <w:tcW w:type="dxa" w:w="240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2029F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Sysblade 出貨台數 (千台)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12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35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75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年營收 (USD 百萬)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13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38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83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北美 AI BBU 市佔率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2.5 %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6.5 %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12 %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綜合毛利率 (硬體 + SaaS)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38 %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42 %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46 %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Tier-1/2 客戶 PoC 數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3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5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</w:pPr>
      <w:r>
        <w:rPr>
          <w:rFonts w:ascii="Microsoft JhengHei" w:hAnsi="Microsoft JhengHei"/>
          <w:color w:val="1F2937"/>
        </w:rPr>
        <w:t>E. 企劃提案與策略</w:t>
      </w:r>
    </w:p>
    <w:p>
      <w:pPr>
        <w:pStyle w:val="Heading2"/>
        <w:spacing w:before="240" w:after="120"/>
      </w:pPr>
      <w:r>
        <w:rPr>
          <w:rFonts w:ascii="Microsoft JhengHei" w:hAnsi="Microsoft JhengHei"/>
          <w:color w:val="1F2937"/>
        </w:rPr>
        <w:t>E.1 核心產品:Sysblade HyperBuffer 三層電氣分層架構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我們捨棄原「三層分離式架構」中違反備援設備可靠度原則的「物理拆解」概念,改以「電氣分層 (Electrical Tiering)」實現真正的差異化:同一個 12U 機箱內,根據時間尺度與能量密度需求,讓不同特性的儲能元件各司其職。</w:t>
      </w:r>
    </w:p>
    <w:p>
      <w:pPr>
        <w:spacing w:after="80"/>
        <w:jc w:val="both"/>
      </w:pPr>
      <w:r>
        <w:rPr>
          <w:rFonts w:ascii="Microsoft JhengHei" w:hAnsi="Microsoft JhengHei"/>
          <w:b/>
          <w:sz w:val="20"/>
        </w:rPr>
        <w:t>Tier-A 瞬態緩衝層 (LIC, Lithium-ion Capacitor)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採 Eaton XLR 系列或同等級之 LIC 模組 [18],能量密度約 30 Wh/kg,功率密度可達 5 kW/kg。負責 1–100 ms 區間瞬態補償。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容量計算邏輯:單櫃 120 kW × 30 % 擺幅 × 100 ms 持續 = 3.6 kJ 最小需求;計入 30 % 安全裕度 + 多次連續觸發補償,有效需求 ~5 kJ/櫃。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硬體配置:2 顆 200F/48V Eaton XLR 模組併聯 (BOM USD 150)。實際可用能量遠超 5 kJ 需求,此「過配」為刻意設計: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ESR 降低:雙顆併聯讓 ESR 從 0.5 mΩ 降至 0.25 mΩ,瞬態 200A 放電壓降減半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低 DoD 延伸壽命:5 kJ / 345 kJ ≈ 1.5 % DoD,規格 100 萬次循環可實際達到 10⁷ 次,跨越 BBU 10 年服役期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N+1 冗餘:單顆故障系統仍可運作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市售模組顆粒度:無法買到剛好 5 kJ 的客製品,客製 NRE USD 50k+ 不划算</w:t>
      </w:r>
    </w:p>
    <w:p>
      <w:pPr>
        <w:spacing w:after="80"/>
        <w:jc w:val="both"/>
      </w:pPr>
      <w:r>
        <w:rPr>
          <w:rFonts w:ascii="Microsoft JhengHei" w:hAnsi="Microsoft JhengHei"/>
          <w:b/>
          <w:sz w:val="20"/>
        </w:rPr>
        <w:t>Tier-B 短時備援層 (LFP, 磷酸鋰鐵)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採車規 LFP 整合 pack (2.5 kWh, 15S 配置)。15S 為 LFP 化學體系 (3.2 V 標稱) 達 48 V 標稱所需的合理串聯數(3.2 × 15 = 48 V),最高充電 3.65 × 15 = 54.75 V 落在 OCP ORV3 v1.4 60 V 上限內 [7]。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電芯來源優先選用 Microvast (Texas)、KORE Power (Arizona) 或日韓系,避開 BABA Act 與 CFIUS 風險;提供 30–90 秒鎖機 (graceful shutdown) 能源,符合 OCP ORV3 BBU rev 1.4 [7] 與下一代 ORV3+ HVDC ready 規範。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備援時間驗算:2.5 kWh ÷ 120 kW = 75 秒理論最大值;實務以 80 % DoD 操作 → 60 秒有效備援,落在規格 30–90 秒區間內。</w:t>
      </w:r>
    </w:p>
    <w:p>
      <w:pPr>
        <w:spacing w:after="80"/>
        <w:jc w:val="both"/>
      </w:pPr>
      <w:r>
        <w:rPr>
          <w:rFonts w:ascii="Microsoft JhengHei" w:hAnsi="Microsoft JhengHei"/>
          <w:b/>
          <w:sz w:val="20"/>
        </w:rPr>
        <w:t>Tier-C 智能管理層 (BMS + Edge AI MCU)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MCU 選型:STM32N6 系列 (ST 2024 推出),單晶片整合 Cortex-M55 主核 + Helium MVE 向量延伸 + Neural-ART NPU,BOM USD 38。STM32N6 在單一 SoC 內同時提供:(1) 即時 BMS 控制;(2) 本地 ML 推論執行 SOH/RUL 預測;(3) OpenBMC 韌體與 OCP DC-SCM 介面。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選擇邊緣推論而非雲端的關鍵理由:BBU 是備援設備,網路斷線時更需要正常工作。SOH 推論延遲必須在 ms 級,雲端往返不可行。Sysblade 採「雲端訓練、邊緣推論」混合策略:模型在雲端用全機隊資料訓練,推論放本地,定期 OTA 更新權重。</w:t>
      </w:r>
    </w:p>
    <w:p>
      <w:pPr>
        <w:pStyle w:val="Heading2"/>
        <w:spacing w:before="240" w:after="120"/>
      </w:pPr>
      <w:r>
        <w:rPr>
          <w:rFonts w:ascii="Microsoft JhengHei" w:hAnsi="Microsoft JhengHei"/>
          <w:color w:val="1F2937"/>
        </w:rPr>
        <w:t>E.2 技術依據與創新點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(1) 借鏡公開方案、外延至機架級:NVIDIA GB300 PSU 內已導入電容儲能以平滑訓練負載 [3],Microsoft arXiv [4] 與 YMIN 技術文 [16] 公開指出 LIC + Battery 雙模為當前最適架構。我們的差異化在於把該架構從「PSU 內」外延到「機架 12U BBU」,讓既有 ORV3 機房不需更換 PSU 即可獲得瞬態保護。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(2) OCP HVDC Ready 介面預留:機構尺寸對齊 ORV3 12U BBU shelf,後背板預留 ±400 V 直流匯流接點,Diablo 400 標準 [5] 釋出後可在 90 天內出新功率模組,無需更換機構。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(3) AI 數位孿生 (Sysblade Intelligence Platform):基於 PyBaMM [14] DFN (Doyle-Fuller-Newman) 物理模型,搭配 PyTorch LSTM 訓練 SOH/RUL 預測器。主訓練資料集為 Severson 2019 TRI dataset (124 LFP cells) [12],輔以 NASA Prognostics PCoE [15] 與 CALCE [16] 增加多樣性。誤差目標 MAPE &lt; 10 %(對標 Severson [12] 9.1 % 早期預測誤差;Attia 2020 [13] 達 continual learning),即時上傳 SOH 至客戶 DCIM。**v2.2 實證:bagged-GBT 13-feat + xstrict cell filter random split 10-seed median MAPE 8.38 %、R² 0.89 — 首次低於 &lt; 10 % 承諾**。詳見附件 D。</w:t>
      </w:r>
    </w:p>
    <w:p>
      <w:pPr>
        <w:pStyle w:val="Heading2"/>
        <w:spacing w:before="240" w:after="120"/>
      </w:pPr>
      <w:r>
        <w:rPr>
          <w:rFonts w:ascii="Microsoft JhengHei" w:hAnsi="Microsoft JhengHei"/>
          <w:color w:val="1F2937"/>
        </w:rPr>
        <w:t>E.3 與程式選手協作的軟體生態系 (差異化武器)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我們的工程選手(具 Python ML + React/Next.js)已開發並部署三件套至 https://sysblade-atcc.vercel.app(本案 reproducibility CI gate 與 1100 行技術白皮書 docs/whitepaper.md 在團隊 GitHub 倉庫,初賽期間私有,複賽前公開);各模組實作細節 + measured 結果見**附件 B(stack + 實證)**與**附件 D(數字溯源)**: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(a) TCO Calculator (https://sysblade-atcc.vercel.app/tco):B2B 業務工具,輸入機櫃數、電價、現用 BBU 規格,秒算 5 / 10 年 TCO 與 CO₂ 減排。Vercel / Next.js 部署。LinkedIn 廣告直接導流。**default Mid-tier (50 racks Texas) preset 算出 33 % 客戶 TCO 節省,對齊 §G.3**。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(b) Battery Digital Twin (https://sysblade-atcc.vercel.app/twin):用 PyBaMM 模擬 LFP+LIC 在 Microsoft Azure 公開 LLM 訓練 trace 下的瞬態響應與 SOH 退化曲線,搭 LSTM RUL 模型 (PyTorch) + ONNX 邊緣部署。**bagged-GBT random-split 10-seed median 8.38 % MAPE 達標、INT8 量化 size 219→63 KiB 3.49× 壓縮、ΔMAPE 僅 +0.10 pp、Conformal PI 100 % 覆蓋並縮窄 44 %**。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(c) Fleet Health Dashboard (https://sysblade-atcc.vercel.app/dashboard):Next.js + d3 US fleet map + recharts。視覺化 1,000 台 Sysblade 機隊狀態,**全頁明標 Simulated Data watermark**。三層服務分層對應 §E.3 即時監控 / 主動維修 / 預測維運。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商業意義:硬體毛利 40.5 % + SaaS site license (年費 USD 25k/site/year,與機台數脫鉤) 約 75 % 毛利,混合毛利 2029 年達 46 %,比純硬體公司多出約 5 ppt 估值溢價。GitHub 公開部分模組可作為 OCP Contribution。</w:t>
      </w:r>
    </w:p>
    <w:p>
      <w:pPr>
        <w:pStyle w:val="Heading2"/>
        <w:spacing w:before="240" w:after="120"/>
      </w:pPr>
      <w:r>
        <w:rPr>
          <w:rFonts w:ascii="Microsoft JhengHei" w:hAnsi="Microsoft JhengHei"/>
          <w:color w:val="1F2937"/>
        </w:rPr>
        <w:t>E.4 推廣策略:100 萬台幣預算配置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項目</w:t>
            </w:r>
          </w:p>
        </w:tc>
        <w:tc>
          <w:tcPr>
            <w:tcW w:type="dxa" w:w="240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預算 NT$</w:t>
            </w:r>
          </w:p>
        </w:tc>
        <w:tc>
          <w:tcPr>
            <w:tcW w:type="dxa" w:w="240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具體執行</w:t>
            </w:r>
          </w:p>
        </w:tc>
        <w:tc>
          <w:tcPr>
            <w:tcW w:type="dxa" w:w="240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KPI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OCP Global Summit (San Jose) 參展 + 提案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400,000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攤位 + 1 場 Tech Talk + Diablo 400 子規格 (BBU buffer interface) 提案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≥ 30 場 1-on-1 客戶會議;2 件 spec 提案被技術委員會接受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白皮書 + 專業媒體 (DCD / EE Times)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250,000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發布 2 份白皮書:『Hybrid Buffer for AI Rack』、『TCO Modeling for Edge AI BBU』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3,000 份白皮書下載;1 篇 DCD 報導露出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PoC 試用補貼 + 客戶參訪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200,000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免費寄送 2 套 EVT 樣品 + 2 場客戶廠區拜訪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2 家 Tier-1/2 客戶 PoC 簽 LOI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LinkedIn 廣告 + sysblade.com TCO Calculator 流量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150,000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技術社群定向廣告,導流到 TCO Calculator 工具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1,000 levels 工具使用;30 leads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Microsoft JhengHei" w:hAnsi="Microsoft JhengHei"/>
          <w:color w:val="1F2937"/>
        </w:rPr>
        <w:t>E.5 熱與電磁設計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**熱設計**:LIC 高 di/dt 切換產生熱點,LIC 與 LFP 採物理分區風道 + 1.5 mm 熱重導向鋁板(快速擴散熱量到 LIC 自有風道)+ 陶瓷阻熱塗層(隔離至 LFP 熱層)。整體採 N+1 風扇配置,配合 SmartFan PWM 控制;最高負載下 LIC 表面溫度目標 &lt; 65 °C,LFP pack &lt; 45 °C。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**EMI / EMC**:LIC 高 di/dt 切換為 EMI 主來源,DC-DC 採 GaN HEMT 軟切換 (LLC 或 PSFB 拓撲) + Common-mode choke + 三層 PCB 完整地平面。GaN HEMT 650 V 等級可同時涵蓋 48 V 與 ±400 V 兩代產品。合規目標:FCC Part 15 Class A、EN 55032 Class A、OCP ORV3 機架 EMC 規範一次到位。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**熱失控防護**:LFP cell 級 PTC + 模組級陶瓷阻熱層 + 機箱級 aerogel 防火襯,符合 UL 1973 abuse test (熱失控傳播時間 &gt; 30 min),並可選配 Americase 主動防火襯墊。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icrosoft JhengHei" w:hAnsi="Microsoft JhengHei"/>
          <w:color w:val="1F2937"/>
        </w:rPr>
        <w:t>F. 執行方式與時程</w:t>
      </w:r>
    </w:p>
    <w:p>
      <w:pPr>
        <w:pStyle w:val="Heading2"/>
        <w:spacing w:before="240" w:after="120"/>
      </w:pPr>
      <w:r>
        <w:rPr>
          <w:rFonts w:ascii="Microsoft JhengHei" w:hAnsi="Microsoft JhengHei"/>
          <w:color w:val="1F2937"/>
        </w:rPr>
        <w:t>F.1 18 個月關鍵里程碑 (2026 Q3 – 2027 Q4)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時程</w:t>
            </w:r>
          </w:p>
        </w:tc>
        <w:tc>
          <w:tcPr>
            <w:tcW w:type="dxa" w:w="240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硬體 / 系統電</w:t>
            </w:r>
          </w:p>
        </w:tc>
        <w:tc>
          <w:tcPr>
            <w:tcW w:type="dxa" w:w="240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軟體 / Sysblade 平台</w:t>
            </w:r>
          </w:p>
        </w:tc>
        <w:tc>
          <w:tcPr>
            <w:tcW w:type="dxa" w:w="240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市場 / GTM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2026 Q3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FTO 專利檢索;架構規格凍結;Cell 供應商 RFQ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TCO Calculator MVP 上線;Battery Twin 模型骨架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OCP APAC Summit 提案投稿;白皮書草稿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2026 Q4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EVT 工程板出板;LIC + LFP 整合原型 PoC;熱與 EMC 模擬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Battery Twin Demo 完成;Dashboard mock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OCP Global Summit (San Jose) 攤位 + Tech Talk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2027 Q1–Q2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DVT/PVT 階段;Burn-in 48 hr;UL 1973 + IEC 62619 送測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Battery Twin SaaS Beta;接 Pegatron 整機 telemetry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Tier-1 PoC 出貨 (Microsoft Azure / Meta)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2027 Q3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UL 認證取得;Diablo 400 v1.0 介面驗證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SaaS GA;OCP DC-SCM Telemetry sub-spec 提案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Tier-2 (CoreWeave、Lambda) PoC 簽約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2027 Q4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MP 量產出貨;產線改造完成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Continual learning 上線;OTA 周期化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5 家 Tier-1/2 PoC + 簽 5 年 SaaS 合約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Microsoft JhengHei" w:hAnsi="Microsoft JhengHei"/>
          <w:color w:val="1F2937"/>
        </w:rPr>
        <w:t>F.2 組織與分工 (建議學生團隊)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戰略 / 商業選手:市場分析、客戶訪談、財務模型、PR / 演講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工程 / 程式選手:Battery Twin Python ML 管線、Web 三件套、CI / cross-check gate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硬體 / 工業設計選手:機構尺寸、熱設計、UL 認證資料整理(W4+ 加入)</w:t>
      </w:r>
    </w:p>
    <w:p>
      <w:pPr>
        <w:pStyle w:val="Heading2"/>
        <w:spacing w:before="240" w:after="120"/>
      </w:pPr>
      <w:r>
        <w:rPr>
          <w:rFonts w:ascii="Microsoft JhengHei" w:hAnsi="Microsoft JhengHei"/>
          <w:color w:val="1F2937"/>
        </w:rPr>
        <w:t>F.3 風險與緩解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專利 FTO 風險 → Vertiv / Eaton 在混合儲能已有部分專利。OCP Summit 前完成 FTO 報告,必要時與 KULR 共同申請防禦性專利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OCP 規格延宕 → Mt. Diablo v0.7.0 已於 2026/3/1 公布 [5],v1.0 預期 2026 Q4。我們的設計鎖定 v0.7.0,向後相容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德州廠毛利承壓 → 在地組裝成本較亞洲高 ~12 %,以 ASP 溢價 (USD 1,080 vs 行業均 USD 720) 與美國優先採購法關稅豁免吸收,並以軟體 site license 補貼總體毛利</w:t>
      </w:r>
    </w:p>
    <w:p>
      <w:pPr>
        <w:pStyle w:val="Heading2"/>
        <w:spacing w:before="240" w:after="120"/>
      </w:pPr>
      <w:r>
        <w:rPr>
          <w:rFonts w:ascii="Microsoft JhengHei" w:hAnsi="Microsoft JhengHei"/>
          <w:color w:val="1F2937"/>
        </w:rPr>
        <w:t>F.4 業師質詢預演 (Camp Q&amp;A 沙盤推演)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以下七題模擬系統電跨部門業師(財務 / 市場 / 競爭 / 工程 / 軟體)之尖銳提問,附強勢回應:</w:t>
      </w:r>
    </w:p>
    <w:p>
      <w:pPr>
        <w:spacing w:after="80"/>
        <w:jc w:val="both"/>
      </w:pPr>
      <w:r>
        <w:rPr>
          <w:rFonts w:ascii="Microsoft JhengHei" w:hAnsi="Microsoft JhengHei"/>
          <w:b/>
          <w:sz w:val="20"/>
        </w:rPr>
        <w:t>Q1 (財務):德州廠毛利承壓,本案 40.5 % 硬體毛利如何兌現?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BOM USD 643 已含在地組裝 +12 % 溢出 (USD 38);ASP USD 1,080 較行業均 USD 720 溢價 39 % 中,USD 360 溢價來源為:(1) 混合儲能 LIC + LFP 整合附加值 USD 200;(2) Battery Twin 軟體層 USD 100;(3) 在地組裝關稅豁免 USD 60。硬體毛利 40.5 % 對應 (1080 − 643) / 1080 = 40.5 %,可以兌現。</w:t>
      </w:r>
    </w:p>
    <w:p>
      <w:pPr>
        <w:spacing w:after="80"/>
        <w:jc w:val="both"/>
      </w:pPr>
      <w:r>
        <w:rPr>
          <w:rFonts w:ascii="Microsoft JhengHei" w:hAnsi="Microsoft JhengHei"/>
          <w:b/>
          <w:sz w:val="20"/>
        </w:rPr>
        <w:t>Q2 (市場):你說 SAM USD 14 億 @ 2034 但 Emergen 報告多有保留,目標 5 % 真能達到?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我們以 Emergen Research 北美 BBU USD 14 億 (40 % 全球) 作 SAM,2029 年目標 USD 8,250 萬約佔 9.4 %。12 % 是 2029F 上限,5 % 是保守目標 — 對應 USD 7,000 萬,僅需 5 家 Tier-1/2 PoC × 平均 USD 1,400 萬即可。</w:t>
      </w:r>
    </w:p>
    <w:p>
      <w:pPr>
        <w:spacing w:after="80"/>
        <w:jc w:val="both"/>
      </w:pPr>
      <w:r>
        <w:rPr>
          <w:rFonts w:ascii="Microsoft JhengHei" w:hAnsi="Microsoft JhengHei"/>
          <w:b/>
          <w:sz w:val="20"/>
        </w:rPr>
        <w:t>Q3 (競爭):Schneider × NVIDIA 800 V 已聯盟,你怎麼擋?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Schneider × NVIDIA 鎖 Tier-1 hyperscaler 與 1 MW+ 機櫃。我們攻 Tier-2/3 colo (CoreWeave / Lambda / Equinix / Digital Realty) + 既有 ORV3 改造市場。1.4 MW 以下機櫃 5–10 年內仍是 ±400 V HVDC 主流,本產品定位 ORV3+HVDC 共用機構,跨代延展 5+ 年。</w:t>
      </w:r>
    </w:p>
    <w:p>
      <w:pPr>
        <w:spacing w:after="80"/>
        <w:jc w:val="both"/>
      </w:pPr>
      <w:r>
        <w:rPr>
          <w:rFonts w:ascii="Microsoft JhengHei" w:hAnsi="Microsoft JhengHei"/>
          <w:b/>
          <w:sz w:val="20"/>
        </w:rPr>
        <w:t>Q4 (工程):LIC 容量 5 kJ 需求,為何配置市售模組總可用能量達 345 kJ?是否過度設計?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此「容量過配」為刻意工程選擇,有四個目的:(1) ESR 降低:雙顆併聯讓 ESR 從 0.5 mΩ 降至 0.25 mΩ,瞬態 200 A 放電壓降減半,提升瞬態響應品質。(2) 低 DoD 延伸壽命:5 kJ / 345 kJ = 1.5 % DoD,LIC 工作於「淺充淺放」區間,規格 100 萬次循環可實際達到 10⁷ 次,跨越 BBU 10 年服役期不需中途更換。(3) N+1 冗餘:單顆故障系統仍可運作。(4) 模組顆粒度:Eaton XLR 200F/48V 是市售最小可採購單元,客製 5 kJ 模組 NRE 成本 USD 50k+ 不划算。</w:t>
      </w:r>
    </w:p>
    <w:p>
      <w:pPr>
        <w:spacing w:after="80"/>
        <w:jc w:val="both"/>
      </w:pPr>
      <w:r>
        <w:rPr>
          <w:rFonts w:ascii="Microsoft JhengHei" w:hAnsi="Microsoft JhengHei"/>
          <w:b/>
          <w:sz w:val="20"/>
        </w:rPr>
        <w:t>Q5 (工程):LIC 在 BBU 機箱內的熱與 EMI 怎麼解決?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(熱) LIC 與 LFP 採物理分區風道 + 1.5 mm 熱重導向鋁板 + 陶瓷阻熱塗層;N+1 風扇配置;最高負載 LIC 表面溫度目標 &lt; 65 °C,LFP pack &lt; 45 °C。(EMI) DC-DC 採 GaN HEMT 軟切換 + Common-mode choke + 三層 PCB 完整地平面;合規目標 FCC Part 15 Class A、EN 55032 Class A、OCP ORV3 機架 EMC 規範。</w:t>
      </w:r>
    </w:p>
    <w:p>
      <w:pPr>
        <w:spacing w:after="80"/>
        <w:jc w:val="both"/>
      </w:pPr>
      <w:r>
        <w:rPr>
          <w:rFonts w:ascii="Microsoft JhengHei" w:hAnsi="Microsoft JhengHei"/>
          <w:b/>
          <w:sz w:val="20"/>
        </w:rPr>
        <w:t>Q6 (軟體, v2.2 新增):你說 Battery Twin 跑出 &lt; 10 % MAPE,實際做到幾 %?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Severson 13-feature paper-aligned model 配合 K=24 bagged-GradientBoosting ensemble + extra-strict cell filter (cycle_life ≥ 400,134/138 cells),random split 10-seed median test MAPE = 8.38 %、R² = 0.89 (per-seed [5.93, 12.91],7/10 seeds &lt; 10 %) — 首次低於附件 B 軟體技術棧「&lt; 10 %、Severson 9.1 % 對標」承諾。Cross-batch 由 bagged-OLS 達 13.87 %、R² +0.21 (GBT 跨 protocol 退化到 17–22 %,部署 SOP fallback)。LSTM augmented 188-cell test 整體 19.10 %、R² 0.86,作為 /dashboard 1000 台 fleet 推論引擎。INT8 動態量化後 size 從 219 KiB → 63 KiB (3.49× 壓縮),ΔMAPE 僅 +0.10 pp,R² 不變 — STM32N6 NPU 部署 go decision 已拿到。完整數字見附件 D(原始 JSON severson_model_eval.json + lstm_quantization_report.json 在團隊 GitHub 倉庫,複賽前公開)。**未上實機資料前不承諾 &lt; 5 %**(維持原承諾邊界)。</w:t>
      </w:r>
    </w:p>
    <w:p>
      <w:pPr>
        <w:spacing w:after="80"/>
        <w:jc w:val="both"/>
      </w:pPr>
      <w:r>
        <w:rPr>
          <w:rFonts w:ascii="Microsoft JhengHei" w:hAnsi="Microsoft JhengHei"/>
          <w:b/>
          <w:sz w:val="20"/>
        </w:rPr>
        <w:t>Q7 (工程, v2.2 新增):跨化學部署有沒有限制?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有,Severson (LFP) → NASA (NMC) cross-dataset 5/5 feature 全部 OOD、z-distance 5–65 σ。模型不可直接跨化學部署,產品 SOP 必須含 per-chemistry calibration cycle (每批新採購 LFP 模組 / 跨化學 vendor 切換時觸發)。此誠實聲明寫進客戶交付物,是商業差異化武器(競品 KULR、Eaton 都沒做跨化學量化驗證)。詳附件 D §D.4。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icrosoft JhengHei" w:hAnsi="Microsoft JhengHei"/>
          <w:color w:val="1F2937"/>
        </w:rPr>
        <w:t>G. 成本與效益評估</w:t>
      </w:r>
    </w:p>
    <w:p>
      <w:pPr>
        <w:pStyle w:val="Heading2"/>
        <w:spacing w:before="240" w:after="120"/>
      </w:pPr>
      <w:r>
        <w:rPr>
          <w:rFonts w:ascii="Microsoft JhengHei" w:hAnsi="Microsoft JhengHei"/>
          <w:color w:val="1F2937"/>
        </w:rPr>
        <w:t>G.1 單台 BOM 與毛利結構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項目</w:t>
            </w:r>
          </w:p>
        </w:tc>
        <w:tc>
          <w:tcPr>
            <w:tcW w:type="dxa" w:w="3213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USD</w:t>
            </w:r>
          </w:p>
        </w:tc>
        <w:tc>
          <w:tcPr>
            <w:tcW w:type="dxa" w:w="3213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備註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LFP 整合 pack (2.5 kWh, 15S, 車規)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280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Microvast / KORE Power 等北美/日韓系電芯,含 pack 機構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LIC 模組 (2× Eaton XLR 200F/48V)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150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過配為刻意設計:ESR 降低 + 低 DoD 延壽 + N+1 冗餘 [18]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BMS + Edge AI MCU (STM32N6)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38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Cortex-M55 + Neural-ART NPU 單晶片;含 SOH 推論 + OpenBMC 介面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DC-DC + 機構 + 熱/EMI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95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ORV3 12U 規格 + GaN HEMT 650 V + 阻熱層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組裝 + Burn-in 48 hr (德州 Plano)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38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較亞洲 +12 %,符合 BABA Act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認證攤提 (UL 1973 + IEC 62619)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42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首批 1 萬台攤提;後續單台成本可降至 USD 25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總 BOM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643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ASP USD 1,080 → 毛利 (1080 − 643) / 1080 = 40.5 %</w:t>
            </w:r>
          </w:p>
        </w:tc>
      </w:tr>
    </w:tbl>
    <w:p/>
    <w:p>
      <w:pPr>
        <w:pStyle w:val="Heading2"/>
        <w:spacing w:before="240" w:after="120"/>
      </w:pPr>
      <w:r>
        <w:rPr>
          <w:rFonts w:ascii="Microsoft JhengHei" w:hAnsi="Microsoft JhengHei"/>
          <w:color w:val="1F2937"/>
        </w:rPr>
        <w:t>G.2 三年營收 / EBIT / IRR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年度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出貨千台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硬體營收 (USD M)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SaaS (USD M)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EBIT margin / EBIT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2027F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12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13.0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0.08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8 % / 1.0M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2028F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35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37.8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0.30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14 % / 5.3M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2029F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75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82.5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0.80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19 % / 15.8M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3 年累積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122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133.3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1.18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EBIT 22.1M</w:t>
            </w:r>
          </w:p>
        </w:tc>
      </w:tr>
    </w:tbl>
    <w:p/>
    <w:p>
      <w:pPr>
        <w:spacing w:after="80"/>
        <w:jc w:val="both"/>
      </w:pPr>
      <w:r>
        <w:rPr>
          <w:rFonts w:ascii="Microsoft JhengHei" w:hAnsi="Microsoft JhengHei"/>
          <w:sz w:val="20"/>
        </w:rPr>
        <w:t>投入估算:研發 USD 18 M (3 年攤) + 認證 USD 5 M + 行銷 100 萬台幣/年 ≈ USD 0.1 M + 產線改造 USD 8 M = 累計 USD 31 M。Payback 與 IRR:3 年累積 EBIT 22.1 M 對 31 M 投入 → 簡單回收期約 3.5 年;以 5 年期推估 (2030–2031 年營收續成長至 USD 200 M+),IRR 約 22–28 %,現金流轉正預期於 2029 Q4。</w:t>
      </w:r>
    </w:p>
    <w:p>
      <w:pPr>
        <w:pStyle w:val="Heading2"/>
        <w:spacing w:before="240" w:after="120"/>
      </w:pPr>
      <w:r>
        <w:rPr>
          <w:rFonts w:ascii="Microsoft JhengHei" w:hAnsi="Microsoft JhengHei"/>
          <w:color w:val="1F2937"/>
        </w:rPr>
        <w:t>G.3 客戶 TCO 節省 (10 年期,單櫃 100 kW 級)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項目</w:t>
            </w:r>
          </w:p>
        </w:tc>
        <w:tc>
          <w:tcPr>
            <w:tcW w:type="dxa" w:w="240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傳統 BBU</w:t>
            </w:r>
          </w:p>
        </w:tc>
        <w:tc>
          <w:tcPr>
            <w:tcW w:type="dxa" w:w="240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Sysblade</w:t>
            </w:r>
          </w:p>
        </w:tc>
        <w:tc>
          <w:tcPr>
            <w:tcW w:type="dxa" w:w="240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差異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初次採購 (8 台/櫃)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USD 5,760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USD 8,640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+2,880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電池組更換 (10 年內 1.5 次 vs 1 次)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USD 8,640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USD 5,760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−2,880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瞬態事件造成節能重啟與壽命衰減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USD 4,800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USD 1,200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−3,600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維運人力 (預測維運自動化)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USD 5,000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USD 2,000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−3,000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HVDC 升級重建 (Diablo 400 過渡)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USD 4,800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USD 1,800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−3,000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10 年 TCO 合計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USD 29,000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USD 19,400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−9,600 (−33 %)</w:t>
            </w:r>
          </w:p>
        </w:tc>
      </w:tr>
    </w:tbl>
    <w:p/>
    <w:p>
      <w:pPr>
        <w:spacing w:after="80"/>
        <w:jc w:val="both"/>
      </w:pPr>
      <w:r>
        <w:rPr>
          <w:rFonts w:ascii="Microsoft JhengHei" w:hAnsi="Microsoft JhengHei"/>
          <w:sz w:val="20"/>
        </w:rPr>
        <w:t>結論:客戶單櫃 10 年總持有成本下降 USD 9,600 (33 %),較原企劃 43.7 % 假設更保守、項目可逐筆檢視。「電池更換次數 1.5 vs 1」係依 LFP 在 BBU 浮充應用實測 8–12 年壽命估算;「瞬態壽命衰減」採 Severson [12] 推導之循環損耗模型,避免高估「停機事件」金額。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icrosoft JhengHei" w:hAnsi="Microsoft JhengHei"/>
          <w:color w:val="1F2937"/>
        </w:rPr>
        <w:t>附件 A. 主要參考資料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18"/>
        </w:rPr>
        <w:t>[1] Emergen Research, AI Data Center BBU Power Supply Market 2024-2034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18"/>
        </w:rPr>
        <w:t>[2] Intel Market Research, NA AI Computing Center Energy Storage Battery Outlook 2026-2034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18"/>
        </w:rPr>
        <w:t>[3] NVIDIA, How New GB300 NVL72 Features Provide Steady Power for AI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18"/>
        </w:rPr>
        <w:t>[4] Microsoft Azure, Power Stabilization for AI Training Datacenters (arXiv 2508.14318)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18"/>
        </w:rPr>
        <w:t>[5] OCP, Diablo 400 Project: Rack and Power Base Spec v0.7.0 (Mar 2026)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18"/>
        </w:rPr>
        <w:t>[6] Microsoft Azure, Public VM Workload Trace 2017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18"/>
        </w:rPr>
        <w:t>[7] OCP ORV3 BBU Spec rev 1.4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18"/>
        </w:rPr>
        <w:t>[8] 系統電 2025 Q3 法人說明會, 德州 Plano 廠量產時程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18"/>
        </w:rPr>
        <w:t>[9] Pegatron 私募入股系統電公告 (2024)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18"/>
        </w:rPr>
        <w:t>[10] JLL Research, Year-End 2025 Report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18"/>
        </w:rPr>
        <w:t>[11] Gartner, Will Insufficient Power Constrain AI Data Center Capacity (2024)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18"/>
        </w:rPr>
        <w:t>[12] Severson, K.A., et al. (2019). Data-driven prediction of battery cycle life before capacity degradation. Nature Energy 4, 383-391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18"/>
        </w:rPr>
        <w:t>[13] Attia, P.M., et al. (2020). Closed-loop optimization of fast-charging protocols. Nature 578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18"/>
        </w:rPr>
        <w:t>[14] Sulzer, V., et al. (2021). PyBaMM (Python Battery Mathematical Modelling). J. Open Research Software 9, 14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18"/>
        </w:rPr>
        <w:t>[15] Saha, B., Goebel, K. (2007). NASA PCoE Battery Data Set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18"/>
        </w:rPr>
        <w:t>[16] CALCE, University of Maryland — Li-ion Battery Aging Datasets;YMIN Tech Note: Millisecond-level transient power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18"/>
        </w:rPr>
        <w:t>[17] Schneider × NVIDIA, 800 VDC Sidecar Joint Reference Design (Apr 2025)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18"/>
        </w:rPr>
        <w:t>[18] Eaton Corporation, XLR 48 V Supercapacitor Module Datasheet (2024)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18"/>
        </w:rPr>
        <w:t>[19] 系統電 2024 年度報告 (Public Filing)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18"/>
        </w:rPr>
        <w:t>[20] Meta Engineering, Meta's Infrastructure Evolution and the Advent of AI (2025)</w:t>
      </w:r>
    </w:p>
    <w:p/>
    <w:p>
      <w:pPr>
        <w:pStyle w:val="Heading1"/>
        <w:spacing w:before="240" w:after="120"/>
      </w:pPr>
      <w:r>
        <w:rPr>
          <w:rFonts w:ascii="Microsoft JhengHei" w:hAnsi="Microsoft JhengHei"/>
          <w:color w:val="1F2937"/>
        </w:rPr>
        <w:t>附件 B. 軟體技術棧 (v2.2 修訂:加入實證結果)</w:t>
      </w:r>
    </w:p>
    <w:p>
      <w:pPr>
        <w:spacing w:after="80"/>
        <w:jc w:val="both"/>
      </w:pPr>
      <w:r>
        <w:rPr>
          <w:rFonts w:ascii="Microsoft JhengHei" w:hAnsi="Microsoft JhengHei"/>
          <w:b/>
          <w:sz w:val="20"/>
        </w:rPr>
        <w:t>(a) TCO Calculator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Next.js 14 + Vercel + Tailwind。輸入欄:機櫃數、電價、現用 BBU 規格 → 輸出:5 / 10 年 TCO、ROI、CO₂ 節省。已部署:https://sysblade-atcc.vercel.app/tco;default Mid-tier (50 racks Texas) preset 算出 每櫃 10 年節省 USD 9,600,33 % 客戶總持有成本下降 (對齊 §G.3 表)。Slider 實時更新四個輸入。</w:t>
      </w:r>
    </w:p>
    <w:p>
      <w:pPr>
        <w:spacing w:after="80"/>
        <w:jc w:val="both"/>
      </w:pPr>
      <w:r>
        <w:rPr>
          <w:rFonts w:ascii="Microsoft JhengHei" w:hAnsi="Microsoft JhengHei"/>
          <w:b/>
          <w:sz w:val="20"/>
        </w:rPr>
        <w:t>(b) Battery Digital Twin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Python 3.11 + PyBaMM 26.4.1 (DFN with Prada 2013 LFP-graphite parameter set) + PyTorch 2-layer LSTM(hidden=64, input shape (99,7))+ onnxruntime INT8 deployment。資料源:Severson 2019 TRI dataset(138 cells parsed from 124-paper subset, 主訓練)[12] + NASA Prognostics PCoE [15] + 50 PyBaMM-calibrated BBU-duty 合成 cell (regime-gap closure)。已部署:https://sysblade-atcc.vercel.app/twin。輸出 SOH/RUL with 90 % MC Dropout + split conformal PI。誤差實證 (達 v2.1 &lt; 10 % 承諾):</w:t>
      </w:r>
    </w:p>
    <w:p>
      <w:pPr>
        <w:pStyle w:val="ListBullet"/>
        <w:spacing w:after="40"/>
        <w:ind w:left="680"/>
      </w:pPr>
      <w:r>
        <w:rPr>
          <w:rFonts w:ascii="Microsoft JhengHei" w:hAnsi="Microsoft JhengHei"/>
          <w:sz w:val="18"/>
        </w:rPr>
        <w:t>bagged-GBT + xstrict cell filter (cycle_life ≥ 400, n=134), Severson random split 10-seed median MAPE = 8.38 %、R² 0.89(per-seed [5.93, 12.91], 7/10 seeds &lt; 10 %)— paper 學術 baseline,首次達 &lt; 10 %、Severson 9.1 % 對標承諾</w:t>
      </w:r>
    </w:p>
    <w:p>
      <w:pPr>
        <w:pStyle w:val="ListBullet"/>
        <w:spacing w:after="40"/>
        <w:ind w:left="680"/>
      </w:pPr>
      <w:r>
        <w:rPr>
          <w:rFonts w:ascii="Microsoft JhengHei" w:hAnsi="Microsoft JhengHei"/>
          <w:sz w:val="18"/>
        </w:rPr>
        <w:t>bagged-OLS + xstrict cross-batch median MAPE = 13.87 %、R² +0.21 — cross-protocol fall-back</w:t>
      </w:r>
    </w:p>
    <w:p>
      <w:pPr>
        <w:pStyle w:val="ListBullet"/>
        <w:spacing w:after="40"/>
        <w:ind w:left="680"/>
      </w:pPr>
      <w:r>
        <w:rPr>
          <w:rFonts w:ascii="Microsoft JhengHei" w:hAnsi="Microsoft JhengHei"/>
          <w:sz w:val="18"/>
        </w:rPr>
        <w:t>LSTM augmented (188 cells) 整體 test MAPE 19.10 %、R² 0.86 — /dashboard 1000 台 fleet 推論引擎 (one model, two views)</w:t>
      </w:r>
    </w:p>
    <w:p>
      <w:pPr>
        <w:pStyle w:val="ListBullet"/>
        <w:spacing w:after="40"/>
        <w:ind w:left="680"/>
      </w:pPr>
      <w:r>
        <w:rPr>
          <w:rFonts w:ascii="Microsoft JhengHei" w:hAnsi="Microsoft JhengHei"/>
          <w:sz w:val="18"/>
        </w:rPr>
        <w:t>INT8 ONNX size 219 KiB → 63 KiB (3.49× compression measured), ΔMAPE 僅 +0.10 pp、R² 不變 — STM32N6 部署 ready</w:t>
      </w:r>
    </w:p>
    <w:p>
      <w:pPr>
        <w:pStyle w:val="ListBullet"/>
        <w:spacing w:after="40"/>
        <w:ind w:left="680"/>
      </w:pPr>
      <w:r>
        <w:rPr>
          <w:rFonts w:ascii="Microsoft JhengHei" w:hAnsi="Microsoft JhengHei"/>
          <w:sz w:val="18"/>
        </w:rPr>
        <w:t>90 % Conformal PI:test coverage 100 % (≥ 90 % 保證),中位數 PI 寬度 1910 → 1075 cycles (縮窄 44 %)</w:t>
      </w:r>
    </w:p>
    <w:p>
      <w:pPr>
        <w:pStyle w:val="ListBullet"/>
        <w:spacing w:after="40"/>
        <w:ind w:left="680"/>
      </w:pPr>
      <w:r>
        <w:rPr>
          <w:rFonts w:ascii="Microsoft JhengHei" w:hAnsi="Microsoft JhengHei"/>
          <w:sz w:val="18"/>
        </w:rPr>
        <w:t>Cross-chemistry transfer (Severson LFP → NASA NMC) 5/5 feature 全部 OOD、z-distance 5–65 σ;模型不可直接跨化學部署,須 per-chemistry calibration cycle (誠實寫進產品 SOP)</w:t>
      </w:r>
    </w:p>
    <w:p>
      <w:pPr>
        <w:pStyle w:val="ListBullet"/>
        <w:spacing w:after="40"/>
        <w:ind w:left="680"/>
      </w:pPr>
      <w:r>
        <w:rPr>
          <w:rFonts w:ascii="Microsoft JhengHei" w:hAnsi="Microsoft JhengHei"/>
          <w:sz w:val="18"/>
        </w:rPr>
        <w:t>未上實機資料前不承諾 &lt; 5 % (維持 v2.1 原承諾邊界)</w:t>
      </w:r>
    </w:p>
    <w:p>
      <w:pPr>
        <w:spacing w:after="80"/>
        <w:jc w:val="both"/>
      </w:pPr>
      <w:r>
        <w:rPr>
          <w:rFonts w:ascii="Microsoft JhengHei" w:hAnsi="Microsoft JhengHei"/>
          <w:b/>
          <w:sz w:val="20"/>
        </w:rPr>
        <w:t>(c) Fleet Health Dashboard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Next.js + d3 US fleet map + recharts。視覺化 1,000 台 Sysblade 機隊狀態。已部署:https://sysblade-atcc.vercel.app/dashboard;全頁明標 SIMULATED DATA watermark。三層服務分層對應 §E.3:</w:t>
      </w:r>
    </w:p>
    <w:p>
      <w:pPr>
        <w:pStyle w:val="ListBullet"/>
        <w:spacing w:after="40"/>
        <w:ind w:left="680"/>
      </w:pPr>
      <w:r>
        <w:rPr>
          <w:rFonts w:ascii="Microsoft JhengHei" w:hAnsi="Microsoft JhengHei"/>
          <w:sz w:val="18"/>
        </w:rPr>
        <w:t>Tier-1 即時監控:1,000 台 SOH / RUL / status table,健康狀態總計</w:t>
      </w:r>
    </w:p>
    <w:p>
      <w:pPr>
        <w:pStyle w:val="ListBullet"/>
        <w:spacing w:after="40"/>
        <w:ind w:left="680"/>
      </w:pPr>
      <w:r>
        <w:rPr>
          <w:rFonts w:ascii="Microsoft JhengHei" w:hAnsi="Microsoft JhengHei"/>
          <w:sz w:val="18"/>
        </w:rPr>
        <w:t>Tier-2 地理分佈:US fleet map (本 fleet 模擬權重 Texas 49 % / Virginia 27 %,為 AI 機房密度加權後本文假設;v2.1 §C.1 引 JLL 真實全美在建容量為 18.6 % / 15 %)</w:t>
      </w:r>
    </w:p>
    <w:p>
      <w:pPr>
        <w:pStyle w:val="ListBullet"/>
        <w:spacing w:after="40"/>
        <w:ind w:left="680"/>
      </w:pPr>
      <w:r>
        <w:rPr>
          <w:rFonts w:ascii="Microsoft JhengHei" w:hAnsi="Microsoft JhengHei"/>
          <w:sz w:val="18"/>
        </w:rPr>
        <w:t>Tier-3 替換隊列:admission rule status === "early_aging" (SOH &lt; 0.85 OR RUL &lt; 800 cycles),依 RUL 升序顯示最緊急 8 台,演算法主動推到客戶 ServiceNow ticketing</w:t>
      </w:r>
    </w:p>
    <w:p>
      <w:pPr>
        <w:spacing w:after="120"/>
        <w:ind w:left="283"/>
      </w:pPr>
      <w:r>
        <w:rPr>
          <w:rFonts w:ascii="Microsoft JhengHei" w:hAnsi="Microsoft JhengHei"/>
          <w:i/>
          <w:sz w:val="18"/>
        </w:rPr>
        <w:t>Reproducibility gate:GitHub Action 在每次 push 跑 20 條數字 cross-check 對齊 JSON ground truth,任一 doc 數字漂移 0.05 pp 即 CI 紅燈。完整方法論與限制見 1100 行技術白皮書 docs/whitepaper.md (團隊 GitHub 倉庫,初賽期間私有,複賽前公開) + 本文件附件 D 摘要。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icrosoft JhengHei" w:hAnsi="Microsoft JhengHei"/>
          <w:color w:val="1F2937"/>
        </w:rPr>
        <w:t>附件 C. 計算假設與保守性說明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市場:Emergen Research [1] 全球 USD 35 億 × 北美 40 % = USD 14 億 (2034);以 CAGR 11.5 % 線性回推 2029 ≈ USD 8.8 億。本案 2029 目標 USD 8,250 萬約佔 9.4 %,未達 12 % 目標承諾的「合理上限」,屬保守可達。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IRR 22–28 % 已含三年研發攤提 + UL 認證 + 行銷 + 產線改造合計 USD 31 M 投入;不採用「稼動率 × 良率」雙重折扣公式,避免重複扣除既已含於營收與 EBIT margin 中之效率因子。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ASP USD 1,080 含首年 SaaS bundle (USD 80 cost basis);裸機 ASP USD 1,000,仍較 ORV3 reference design 業界均價 USD 720 溢價 39 %,溢價來源為混合儲能 (LIC + LFP) + 軟體層 + 在地組裝關稅豁免。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LIC 容量計算:3.6 kJ 最小需求 = GB200 NVL72 機櫃 120 kW × 30 % 擺幅 × 100 ms 持續時間 [4][16];保守裕度 30 % 與多次連續觸發補償後配置 ~5 kJ。市售模組 (Eaton XLR 200F/48V × 2) 實際可用能量 345 kJ,過配為刻意設計 (ESR 降低 + 低 DoD 延壽 + N+1 冗餘 + 模組顆粒度限制)。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LFP 串聯數:採 15S 配置 (3.2 V × 15 = 48 V 標稱、3.65 V × 15 = 54.75 V 最高充電),為 LFP 化學體系達 OCP ORV3 48 V 標稱所需的合理配置 (13S 為 NMC 配置)。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電池更換頻率 (10 年 1.5 次 vs 1 次) 假設:傳統 NMC BBU 浮充壽命 6–8 年(10 年內需替換 1.5 次);LFP 8–12 年浮充壽命實測值 (本案 §3.1 PyBaMM aging 模擬亦對齊),10 年內 1 次替換為保守上限。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icrosoft JhengHei" w:hAnsi="Microsoft JhengHei"/>
          <w:color w:val="1F2937"/>
        </w:rPr>
        <w:t>附件 D. 技術交付物實證 (v2.2 新增,2026-05-03 measured)</w:t>
      </w:r>
    </w:p>
    <w:p>
      <w:pPr>
        <w:spacing w:after="120"/>
        <w:ind w:left="283"/>
      </w:pPr>
      <w:r>
        <w:rPr>
          <w:rFonts w:ascii="Microsoft JhengHei" w:hAnsi="Microsoft JhengHei"/>
          <w:i/>
          <w:sz w:val="18"/>
        </w:rPr>
        <w:t>完整方法論、限制與引文鏈:1100 行技術白皮書 docs/whitepaper.md(團隊 GitHub 倉庫,初賽期間私有,複賽前公開)。Live demo(現場可操作):https://sysblade-atcc.vercel.app。本附件數字皆來自 data/processed/*.json 與 packages/shared/scenarios/*.json,由 GitHub Action CI gate 逐 push 自動驗證一致性。業師如需即時驗證任一數字,可於 Live demo 對應頁面看到同源呈現。</w:t>
      </w:r>
    </w:p>
    <w:p>
      <w:pPr>
        <w:pStyle w:val="Heading2"/>
        <w:spacing w:before="240" w:after="120"/>
      </w:pPr>
      <w:r>
        <w:rPr>
          <w:rFonts w:ascii="Microsoft JhengHei" w:hAnsi="Microsoft JhengHei"/>
          <w:color w:val="1F2937"/>
        </w:rPr>
        <w:t>D.1 RUL 預測管線實測 (對應 §E.1 Tier-C、附件 B (b))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Severson 2019 124-cell LFP fast-charge 資料集為主訓練,50 顆 PyBaMM-calibrated BBU-duty 合成 cell 為 regime-gap 補強,共 188 cells。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模型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配置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Random split MAPE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Cross-batch MAPE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角色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Severson 13-feat OLS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unfiltered 138 cells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14.51 % (R² 0.53)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14.54 % (R² +0.08)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Plan C+ baseline (歷史對照)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bagged-GBT (K=24) + xstrict cell filter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cycle_life ≥ 400, n=134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8.38 % (R² 0.89, per-seed [5.93, 12.91], 7/10 &lt; 10 %)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17.91 % (跨 protocol 退化)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paper 學術 baseline,達 &lt; 10 % 承諾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bagged-OLS + xstrict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同上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12.43 %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13.87 % (R² +0.21)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cross-protocol fall-back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LSTM augmented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Severson 138 + BBU 50 = 188 cells, 60/20/20 split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/dashboard 1000 台 fleet 推論引擎;test MAPE 19.10 %、R² 0.86</w:t>
            </w:r>
          </w:p>
        </w:tc>
      </w:tr>
    </w:tbl>
    <w:p/>
    <w:p>
      <w:pPr>
        <w:spacing w:after="80"/>
        <w:jc w:val="both"/>
      </w:pPr>
      <w:r>
        <w:rPr>
          <w:rFonts w:ascii="Microsoft JhengHei" w:hAnsi="Microsoft JhengHei"/>
          <w:b/>
          <w:sz w:val="20"/>
        </w:rPr>
        <w:t>部署 SOP (三條 routing rule):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客戶端 cell 與 fleet 訓練資料同 protocol → 用 bagged-GBT (8.38 %)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客戶端 cell 是新 protocol → fall back 到 bagged-OLS (13.87 %, R² 由負轉正)</w:t>
      </w:r>
    </w:p>
    <w:p>
      <w:pPr>
        <w:pStyle w:val="ListBullet"/>
        <w:spacing w:after="40"/>
        <w:ind w:left="340"/>
      </w:pPr>
      <w:r>
        <w:rPr>
          <w:rFonts w:ascii="Microsoft JhengHei" w:hAnsi="Microsoft JhengHei"/>
          <w:sz w:val="20"/>
        </w:rPr>
        <w:t>客戶端 cell 是新化學 (LFP → NMC 等) → 須 per-chemistry calibration cycle (見 D.4)</w:t>
      </w:r>
    </w:p>
    <w:p>
      <w:pPr>
        <w:spacing w:after="120"/>
        <w:ind w:left="283"/>
      </w:pPr>
      <w:r>
        <w:rPr>
          <w:rFonts w:ascii="Microsoft JhengHei" w:hAnsi="Microsoft JhengHei"/>
          <w:i/>
          <w:sz w:val="18"/>
        </w:rPr>
        <w:t>誠實邊界:8.38 % 為 random split 10-seed median,xstrict 篩掉 4/138 顆早夭 cell;業師問「為何不 cross-batch 也是 8.38 %」答「樹型模型在跨 protocol 退化 (17–22 %),這是 protocol-specific overfit 的經典 bias-variance 證據,部署用 OLS 路徑」。不引用 best-seed 5.93 % (屬 cherry-pick)。</w:t>
      </w:r>
    </w:p>
    <w:p>
      <w:pPr>
        <w:pStyle w:val="Heading2"/>
        <w:spacing w:before="240" w:after="120"/>
      </w:pPr>
      <w:r>
        <w:rPr>
          <w:rFonts w:ascii="Microsoft JhengHei" w:hAnsi="Microsoft JhengHei"/>
          <w:color w:val="1F2937"/>
        </w:rPr>
        <w:t>D.2 邊緣端 INT8 量化驗證 (對應 §E.1 Tier-C STM32N6 部署)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scripts/quantize_lstm_onnx.py 用 onnxruntime.quantization.quantize_dynamic (matches X-CUBE-AI 9.x INT8 路徑,AN5354 §INT8) 對 models/lstm_rul.onnx 真實量化,在 188-cell test 集上量測: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指標</w:t>
            </w:r>
          </w:p>
        </w:tc>
        <w:tc>
          <w:tcPr>
            <w:tcW w:type="dxa" w:w="240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FP32 baseline</w:t>
            </w:r>
          </w:p>
        </w:tc>
        <w:tc>
          <w:tcPr>
            <w:tcW w:type="dxa" w:w="240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INT8 quantised</w:t>
            </w:r>
          </w:p>
        </w:tc>
        <w:tc>
          <w:tcPr>
            <w:tcW w:type="dxa" w:w="240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Δ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ONNX size (graph + external data)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219.2 KiB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62.9 KiB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3.49× compression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Test MAPE (同一 test set)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19.10 %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19.20 %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+0.10 pp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Test R²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0.862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0.862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不變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平均 |prediction Δ| / FP32 prediction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—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—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0.57 %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CPU latency p50 (筆電,單樣本)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0.267 ms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0.241 ms</w:t>
            </w:r>
          </w:p>
        </w:tc>
        <w:tc>
          <w:tcPr>
            <w:tcW w:type="dxa" w:w="2409"/>
          </w:tcPr>
          <w:p>
            <w:r/>
            <w:r>
              <w:rPr>
                <w:rFonts w:ascii="Microsoft JhengHei" w:hAnsi="Microsoft JhengHei"/>
                <w:sz w:val="18"/>
              </w:rPr>
              <w:t>1.11×</w:t>
            </w:r>
          </w:p>
        </w:tc>
      </w:tr>
    </w:tbl>
    <w:p/>
    <w:p>
      <w:pPr>
        <w:spacing w:after="80"/>
        <w:jc w:val="both"/>
      </w:pPr>
      <w:r>
        <w:rPr>
          <w:rFonts w:ascii="Microsoft JhengHei" w:hAnsi="Microsoft JhengHei"/>
          <w:sz w:val="20"/>
        </w:rPr>
        <w:t>結論:INT8 在這個 LSTM 上幾乎無精度退化,63 KiB 遠小於 STM32N6 1.6 MB ML FLASH 上限,是「STM32N6 部署 go decision」的 first-party 證據。仍待 W3:NPU 真機 cycle-accurate latency (需 ST 帳號 + X-CUBE-AI GUI)。本估算 54.7 µs (40 % NPU utilisation heuristic ±2× 不確定區間);ST datasheet Neural-ART INT8 LSTM typical 0.3 ms 為承諾上限,本估算遠低於此。</w:t>
      </w:r>
    </w:p>
    <w:p>
      <w:pPr>
        <w:pStyle w:val="Heading2"/>
        <w:spacing w:before="240" w:after="120"/>
      </w:pPr>
      <w:r>
        <w:rPr>
          <w:rFonts w:ascii="Microsoft JhengHei" w:hAnsi="Microsoft JhengHei"/>
          <w:color w:val="1F2937"/>
        </w:rPr>
        <w:t>D.3 機率輸出 — MC Dropout + Split Conformal 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指標</w:t>
            </w:r>
          </w:p>
        </w:tc>
        <w:tc>
          <w:tcPr>
            <w:tcW w:type="dxa" w:w="3213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Raw MC Dropout</w:t>
            </w:r>
          </w:p>
        </w:tc>
        <w:tc>
          <w:tcPr>
            <w:tcW w:type="dxa" w:w="3213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+ Split Conformal calibration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Test set 90 % PI coverage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100 %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100 % (≥ 90 % conformal 保證)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中位數 PI 寬度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1910 cycles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1075 cycles (縮窄 44 %)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Conformal q_factor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—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0.563 (&lt; 1 即 raw PIs 偏寬, calibration 縮窄)</w:t>
            </w:r>
          </w:p>
        </w:tc>
      </w:tr>
    </w:tbl>
    <w:p/>
    <w:p>
      <w:pPr>
        <w:spacing w:after="80"/>
        <w:jc w:val="both"/>
      </w:pPr>
      <w:r>
        <w:rPr>
          <w:rFonts w:ascii="Microsoft JhengHei" w:hAnsi="Microsoft JhengHei"/>
          <w:sz w:val="20"/>
        </w:rPr>
        <w:t>業務意義:/dashboard Tier-3 admission (status === "early_aging" ⇔ SOH &lt; 0.85 OR RUL &lt; 800) 從「不確定 ± 1500 cycles」收緊到「± 500 cycles」,替換決策成為 actionable 而非「再觀察」。Vovk 2005 / Lei 2018 conformal exchangeability 保證 — calibration 集 37 cells held-out。</w:t>
      </w:r>
    </w:p>
    <w:p>
      <w:pPr>
        <w:pStyle w:val="Heading2"/>
        <w:spacing w:before="240" w:after="120"/>
      </w:pPr>
      <w:r>
        <w:rPr>
          <w:rFonts w:ascii="Microsoft JhengHei" w:hAnsi="Microsoft JhengHei"/>
          <w:color w:val="1F2937"/>
        </w:rPr>
        <w:t>D.4 跨化學限制 — 跨資料集驗證 (誠實聲明)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Feature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Severson 範圍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NASA 範圍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OOD?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z-distance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log_var_delta_q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[−5.21, −2.73]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[−2.07, −1.54]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✗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5.3 σ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log_min_delta_q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[−2.30, −0.86]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[−0.51, −0.26]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✗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5.1 σ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slope_q_2_100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[−0.001, 0]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[−0.006, −0.004]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✗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54 σ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intercept_q_2_100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[0.97, 1.10]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[1.86, 2.04]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✗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61 σ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q_at_cycle_2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[0.97, 1.09]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[1.85, 2.04]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✗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/>
                <w:sz w:val="18"/>
              </w:rPr>
              <w:t>65 σ</w:t>
            </w:r>
          </w:p>
        </w:tc>
      </w:tr>
    </w:tbl>
    <w:p/>
    <w:p>
      <w:pPr>
        <w:spacing w:after="80"/>
        <w:jc w:val="both"/>
      </w:pPr>
      <w:r>
        <w:rPr>
          <w:rFonts w:ascii="Microsoft JhengHei" w:hAnsi="Microsoft JhengHei"/>
          <w:sz w:val="20"/>
        </w:rPr>
        <w:t>5/5 feature 全部 OOD,z-distance 5–65 σ。Severson-trained 模型不可直接部署到不同化學的 cell;產品 SOP 必須含 per-chemistry calibration cycle (每批新採購 LFP 模組 / 跨化學 vendor 切換時觸發)。這個結論寫進客戶交付物,是商業上的差異化武器 (競品 KULR、Eaton 都沒做跨化學量化驗證)。</w:t>
      </w:r>
    </w:p>
    <w:p>
      <w:pPr>
        <w:pStyle w:val="Heading2"/>
        <w:spacing w:before="240" w:after="120"/>
      </w:pPr>
      <w:r>
        <w:rPr>
          <w:rFonts w:ascii="Microsoft JhengHei" w:hAnsi="Microsoft JhengHei"/>
          <w:color w:val="1F2937"/>
        </w:rPr>
        <w:t>D.5 Reproducibility CI</w:t>
      </w:r>
    </w:p>
    <w:p>
      <w:pPr>
        <w:spacing w:after="80"/>
        <w:jc w:val="both"/>
      </w:pPr>
      <w:r>
        <w:rPr>
          <w:rFonts w:ascii="Microsoft JhengHei" w:hAnsi="Microsoft JhengHei"/>
          <w:sz w:val="20"/>
        </w:rPr>
        <w:t>GitHub Action (.github/workflows/check.yml) 在每次 push / PR 跑 pnpm typecheck + lint + build (web app 三件套) + pnpm check:numbers (20 條 cross-check 掃 whitepaper.md / README.md / PRESENTATION_GUIDE.md / packages/battery-twin/README.md vs JSON ground truth (severson_model_eval.json / lstm_quantization_report.json / cross_dataset_mape.json / model_validation.json),數字偏離容差 0.05 pp 以上自動 fail。首跑就抓到 1 條真的 stale 22.5 % (舊 LSTM 訓練數字) 並修正為 19.10 %;此後 commit c2bf10e 起 v2.1 §X 引用全部對齊 PDF 真實章節編號 (7 條原本錯誤的 cross-reference)。</w:t>
      </w:r>
    </w:p>
    <w:p>
      <w:pPr>
        <w:spacing w:after="120"/>
        <w:ind w:left="283"/>
      </w:pPr>
      <w:r>
        <w:rPr>
          <w:rFonts w:ascii="Microsoft JhengHei" w:hAnsi="Microsoft JhengHei"/>
          <w:i/>
          <w:sz w:val="18"/>
        </w:rPr>
        <w:t>本附件本身也受此 gate 保護:任何數字若漂離 JSON 真值,push 時 CI 直接紅燈,業師檢核 GitHub 任一 commit 的 Actions tab 都看得到 20+/N passed 紀錄。</w:t>
      </w:r>
    </w:p>
    <w:p>
      <w:pPr>
        <w:pStyle w:val="Heading2"/>
        <w:spacing w:before="240" w:after="120"/>
      </w:pPr>
      <w:r>
        <w:rPr>
          <w:rFonts w:ascii="Microsoft JhengHei" w:hAnsi="Microsoft JhengHei"/>
          <w:color w:val="1F2937"/>
        </w:rPr>
        <w:t>D.6 數字溯源 (每一條都可追)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v2.2 引用</w:t>
            </w:r>
          </w:p>
        </w:tc>
        <w:tc>
          <w:tcPr>
            <w:tcW w:type="dxa" w:w="4819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repo 路徑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/>
                <w:sz w:val="18"/>
              </w:rPr>
              <w:t>8.38 % / 13.87 % / 14.51 % MAPE 三條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/>
                <w:sz w:val="18"/>
              </w:rPr>
              <w:t>data/processed/severson_model_eval.json (headline.best_random_full + results[])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/>
                <w:sz w:val="18"/>
              </w:rPr>
              <w:t>INT8 size / accuracy / CPU latency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/>
                <w:sz w:val="18"/>
              </w:rPr>
              <w:t>data/processed/lstm_quantization_report.json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/>
                <w:sz w:val="18"/>
              </w:rPr>
              <w:t>LSTM 19.10 % / R² 0.86 / Conformal q_factor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/>
                <w:sz w:val="18"/>
              </w:rPr>
              <w:t>packages/shared/scenarios/model_validation.json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/>
                <w:sz w:val="18"/>
              </w:rPr>
              <w:t>Cross-dataset z-distance 5/5 OOD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/>
                <w:sz w:val="18"/>
              </w:rPr>
              <w:t>data/processed/cross_dataset_mape.json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/>
                <w:sz w:val="18"/>
              </w:rPr>
              <w:t>TCO 5760 / 8640 / 29000 / 19400 (對齊 §G.3 表)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/>
                <w:sz w:val="18"/>
              </w:rPr>
              <w:t>apps/web/src/lib/tco.ts 常數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/>
                <w:sz w:val="18"/>
              </w:rPr>
              <w:t>Tier-3 admission rule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/>
                <w:sz w:val="18"/>
              </w:rPr>
              <w:t>scripts/generate_twin_scenarios.py::status_for_device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Microsoft JhengHei" w:hAnsi="Microsoft JhengHei"/>
                <w:sz w:val="18"/>
              </w:rPr>
              <w:t>1000 台 fleet 模擬</w:t>
            </w:r>
          </w:p>
        </w:tc>
        <w:tc>
          <w:tcPr>
            <w:tcW w:type="dxa" w:w="4819"/>
          </w:tcPr>
          <w:p>
            <w:r/>
            <w:r>
              <w:rPr>
                <w:rFonts w:ascii="Microsoft JhengHei" w:hAnsi="Microsoft JhengHei"/>
                <w:sz w:val="18"/>
              </w:rPr>
              <w:t>apps/web/public/scenarios/fleet_devices.json</w:t>
            </w:r>
          </w:p>
        </w:tc>
      </w:tr>
    </w:tbl>
    <w:p/>
    <w:p>
      <w:pPr>
        <w:spacing w:after="120"/>
        <w:ind w:left="283"/>
      </w:pPr>
      <w:r>
        <w:rPr>
          <w:rFonts w:ascii="Microsoft JhengHei" w:hAnsi="Microsoft JhengHei"/>
          <w:i/>
          <w:sz w:val="18"/>
        </w:rPr>
        <w:t>競賽期間若業師在現場 demo 質疑任何一個數字,可直接打開 GitHub 對應檔案點 raw view、或 Live demo 對應頁面 — 兩條路徑都即時可驗。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Microsoft JhengHei" w:hAnsi="Microsoft JhengHei"/>
          <w:color w:val="1F2937"/>
        </w:rPr>
        <w:t>修訂歷史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版本</w:t>
            </w:r>
          </w:p>
        </w:tc>
        <w:tc>
          <w:tcPr>
            <w:tcW w:type="dxa" w:w="3213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日期</w:t>
            </w:r>
          </w:p>
        </w:tc>
        <w:tc>
          <w:tcPr>
            <w:tcW w:type="dxa" w:w="3213"/>
            <w:shd w:val="clear" w:color="auto" w:fill="E8EEF7"/>
          </w:tcPr>
          <w:p>
            <w:r/>
            <w:r>
              <w:rPr>
                <w:rFonts w:ascii="Microsoft JhengHei" w:hAnsi="Microsoft JhengHei"/>
                <w:b/>
                <w:sz w:val="18"/>
              </w:rPr>
              <w:t>主要修訂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v2.0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2026-04-22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原始草稿 (W2 末)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v2.1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2026-04-29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三層分離式 → 三層電氣分層 (E.1);LSTM 訓練資料集改 Severson + NASA + CALCE;13S → 15S LFP 配置;BMS + Edge AI 整合至 STM32N6 單晶片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v2.2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2026-05-03</w:t>
            </w:r>
          </w:p>
        </w:tc>
        <w:tc>
          <w:tcPr>
            <w:tcW w:type="dxa" w:w="3213"/>
          </w:tcPr>
          <w:p>
            <w:r/>
            <w:r>
              <w:rPr>
                <w:rFonts w:ascii="Microsoft JhengHei" w:hAnsi="Microsoft JhengHei"/>
                <w:sz w:val="18"/>
              </w:rPr>
              <w:t>封面加 Live demo URL;§E.3 改寫為「已開發並部署」三件套含 vercel URL;§F.4 加 Q6 (MAPE 8.38 % 實證) + Q7 (跨化學限制);附件 B 全面修訂加入 measured 數字;新增附件 D 技術交付物實證 (D.1–D.6 共 6 節);所有 §X 引用對齊 v2.1 PDF 真實章節編號 (7 條原 cross-reference 錯誤更正)。團隊 GitHub 倉庫含 reproducibility CI 與 1100 行技術白皮書,初賽期間私有,複賽前公開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