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0"/>
        <w:jc w:val="center"/>
      </w:pPr>
      <w:r>
        <w:rPr>
          <w:rFonts w:ascii="Microsoft JhengHei" w:cs="Microsoft JhengHei" w:eastAsia="Microsoft JhengHei" w:hAnsi="Microsoft JhengHei"/>
          <w:color w:val="595959"/>
          <w:sz w:val="24"/>
          <w:szCs w:val="24"/>
        </w:rPr>
        <w:t xml:space="preserve">第二十三屆 ATCC 全國大專院校行銷企劃競賽</w:t>
      </w:r>
    </w:p>
    <w:p>
      <w:pPr>
        <w:spacing w:after="480" w:before="60"/>
        <w:jc w:val="center"/>
      </w:pPr>
      <w:r>
        <w:rPr>
          <w:rFonts w:ascii="Microsoft JhengHei" w:cs="Microsoft JhengHei" w:eastAsia="Microsoft JhengHei" w:hAnsi="Microsoft JhengHei"/>
          <w:color w:val="595959"/>
          <w:sz w:val="24"/>
          <w:szCs w:val="24"/>
        </w:rPr>
        <w:t xml:space="preserve">Sysgration 系統電/電統能源組 — 議題 C13</w:t>
      </w:r>
    </w:p>
    <w:p>
      <w:pPr>
        <w:spacing w:after="120" w:before="24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56"/>
          <w:szCs w:val="56"/>
        </w:rPr>
        <w:t xml:space="preserve">Sysblade HyperBuffer™</w:t>
      </w:r>
    </w:p>
    <w:p>
      <w:pPr>
        <w:spacing w:after="360" w:before="0"/>
        <w:jc w:val="center"/>
      </w:pPr>
      <w:r>
        <w:rPr>
          <w:rFonts w:ascii="Microsoft JhengHei" w:cs="Microsoft JhengHei" w:eastAsia="Microsoft JhengHei" w:hAnsi="Microsoft JhengHei"/>
          <w:color w:val="2E75B6"/>
          <w:sz w:val="30"/>
          <w:szCs w:val="30"/>
        </w:rPr>
        <w:t xml:space="preserve">AI 時代的混合能量緩衝 BBU × 智能維運平台</w:t>
      </w:r>
    </w:p>
    <w:p>
      <w:r>
        <w:rPr>
          <w:color w:val="164FC8"/>
        </w:rPr>
        <w:t>Live demo: https://sysblade-atcc.vercel.app</w:t>
      </w:r>
    </w:p>
    <w:p>
      <w:r>
        <w:rPr>
          <w:color w:val="164FC8"/>
        </w:rPr>
        <w:t>GitHub: https://github.com/aericheng/atcc-sysblade</w:t>
      </w:r>
    </w:p>
    <w:p>
      <w:r>
        <w:rPr>
          <w:b/>
          <w:color w:val="C81616"/>
        </w:rPr>
        <w:t>v2.2 修訂版 (2026-05-06) — 軟體 demo 三件套已 live + 6 個關鍵數字 measured</w:t>
      </w:r>
    </w:p>
    <w:p>
      <w:pPr>
        <w:spacing w:after="120" w:before="12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95959"/>
          <w:sz w:val="22"/>
          <w:szCs w:val="22"/>
        </w:rPr>
        <w:t xml:space="preserve">以 LFP + LIC 混合儲能解決 GB200/GB300 毫秒級電力波動</w:t>
      </w:r>
    </w:p>
    <w:p>
      <w:pPr>
        <w:spacing w:after="800" w:before="6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95959"/>
          <w:sz w:val="22"/>
          <w:szCs w:val="22"/>
        </w:rPr>
        <w:t xml:space="preserve">結合 OCP Mt. Diablo HVDC 路徑與 AI 數位孿生軟體層的差異化方案</w:t>
      </w:r>
    </w:p>
    <w:p>
      <w:pPr>
        <w:spacing w:after="60" w:before="360"/>
        <w:jc w:val="center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初賽完整版企劃書</w:t>
      </w:r>
    </w:p>
    <w:p>
      <w:pPr>
        <w:spacing w:after="600" w:before="60"/>
        <w:jc w:val="center"/>
      </w:pPr>
      <w:r>
        <w:rPr>
          <w:rFonts w:ascii="Microsoft JhengHei" w:cs="Microsoft JhengHei" w:eastAsia="Microsoft JhengHei" w:hAnsi="Microsoft JhengHei"/>
          <w:b/>
          <w:bCs/>
          <w:color w:val="C00000"/>
          <w:sz w:val="22"/>
          <w:szCs w:val="22"/>
        </w:rPr>
        <w:t xml:space="preserve">v2.1 修訂版 · 已通過完整技術與邏輯驗證</w:t>
      </w:r>
    </w:p>
    <w:p>
      <w:pPr>
        <w:spacing w:after="60" w:before="480"/>
        <w:jc w:val="center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提案隊伍:________________  隊長:________________</w:t>
      </w:r>
    </w:p>
    <w:p>
      <w:pPr>
        <w:spacing w:after="60" w:before="60"/>
        <w:jc w:val="center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學校:________________  指導老師:________________</w:t>
      </w:r>
    </w:p>
    <w:p>
      <w:pPr>
        <w:spacing w:after="60" w:before="60"/>
        <w:jc w:val="center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繳交日期:2026 / 05 / 05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2"/>
          <w:szCs w:val="32"/>
        </w:rPr>
        <w:t xml:space="preserve">A. 摘要 (Executive Summary)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本企劃針對 AI 機櫃毫秒級電力波動此一公開但未被解決的痛點,提出 Sysblade HyperBuffer — 一套以 LFP 磷酸鋰鐵電池與 LIC 鋰離子電容 (Lithium-ion Capacitor) 構成之混合能量緩衝 BBU,並搭配 AI 電池數位孿生 (Battery Digital Twin) 軟體平台,提供從硬體到 SaaS 的完整解決方案。</w:t>
      </w: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b/>
          <w:bCs/>
          <w:color w:val="323E4F"/>
          <w:sz w:val="23"/>
          <w:szCs w:val="23"/>
        </w:rPr>
        <w:t xml:space="preserve">市場規模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根據 Intel Market Research 報告 [2],北美 AI 機房儲能電池市場將自 2026 年的 USD 8.98 億成長至 2034 年的 USD 323.88 億 (CAGR 74.3%);Emergen Research [1] 則保守估計 AI BBU 市場 2034 年為 USD 35 億,北美佔 40%。GB200/GB300 機櫃在訓練 LLM 時於毫秒區間 (1–50 ms) 出現 ±30% 功率擺動 [3][4],是傳統純電池 BBU 無法平滑的關鍵缺口。</w:t>
      </w: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b/>
          <w:bCs/>
          <w:color w:val="323E4F"/>
          <w:sz w:val="23"/>
          <w:szCs w:val="23"/>
        </w:rPr>
        <w:t xml:space="preserve">差異化技術三點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LIC 處理毫秒級瞬態 (能量需求 ≈ 5 kJ/櫃,以低 DoD 操作延伸循環壽命),LFP 處理 30–90 秒備援;借鏡 NVIDIA GB300 PSU 內電容平滑方案 [3] 將該架構外延至機架級 BBU,目標降低電網側峰值需求 30% 並延長電池循環壽命約 25% [13][16]。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OCP Mt. Diablo (Diablo 400) v0.7.0 介面相容設計 [5][6],機構預留 ±400V HVDC 升級路徑,避免「54V 無縫升級至 800V」這種違反電池化學的承諾。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嵌入式 Battery Digital Twin (基於 PyBaMM [14] + Severson 2019 TRI 資料集 [12] 主訓練 + NASA Prognostics [15] / CALCE 為輔),即時上傳 SOH 至客戶 DCIM,將三層售後服務以 site license 模式 SaaS 化。</w:t>
      </w: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b/>
          <w:bCs/>
          <w:color w:val="323E4F"/>
          <w:sz w:val="23"/>
          <w:szCs w:val="23"/>
        </w:rPr>
        <w:t xml:space="preserve">商業可行性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以系統電 Plano 德州廠 2025 Q4 量產時程 [8] 與 Pegatron NT$21 億策略合資 [9] 為基礎,ASP USD 1,080 / 套,BOM USD 643,硬體毛利 40.5%(含 SaaS site license 後綜合毛利約 45%)。三年累積營收目標 USD 1.32 億,5 年期 IRR 預估 22–28%,現金流轉正預期落於 2029 Q4。100 萬台幣行銷預算以 OCP Summit 提案 (40%) + 共同行銷 + 數位內容投放精準分配。</w:t>
      </w: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b/>
          <w:bCs/>
          <w:color w:val="323E4F"/>
          <w:sz w:val="23"/>
          <w:szCs w:val="23"/>
        </w:rPr>
        <w:t xml:space="preserve">一句話總結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000000"/>
          <w:sz w:val="22"/>
          <w:szCs w:val="22"/>
        </w:rPr>
        <w:t xml:space="preserve">我們不做更便宜的 BBU,我們做北美中大型 AI 機房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C00000"/>
          <w:sz w:val="22"/>
          <w:szCs w:val="22"/>
        </w:rPr>
        <w:t xml:space="preserve">唯一同時解決毫秒瞬態 + HVDC 過渡 + 維運可視化的整合方案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000000"/>
          <w:sz w:val="22"/>
          <w:szCs w:val="22"/>
        </w:rPr>
        <w:t xml:space="preserve">,把系統電從硬體 ODM 升級為 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1F3864"/>
          <w:sz w:val="22"/>
          <w:szCs w:val="22"/>
        </w:rPr>
        <w:t xml:space="preserve">Hardware-Defined, Software-Augmented 平台供應商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000000"/>
          <w:sz w:val="22"/>
          <w:szCs w:val="22"/>
        </w:rPr>
        <w:t xml:space="preserve">。</w:t>
      </w:r>
    </w:p>
    <w:p>
      <w:r>
        <w:rPr>
          <w:b/>
        </w:rPr>
        <w:t>v2.2 已交付 measured 重點(對應附件 D 完整實證):</w:t>
      </w:r>
    </w:p>
    <w:p>
      <w:r>
        <w:t>• v2.2 measured 數字 — RUL 預測達 8.38 % MAPE(bagged-GBT,首次低於 v2.1 附件 B「&lt; 10 %」承諾,Severson paper 9.1 % 對齊基線);LSTM fleet 部署 19.10 % MAPE 跨兩個 regime 誠實揭露</w:t>
      </w:r>
    </w:p>
    <w:p>
      <w:r>
        <w:t>• INT8 量化實證 — LSTM ONNX 從 219 KB 壓到 63 KB(3.49× compression measured)、Δ MAPE 僅 +0.10 pp、R² 0.86 不變,屬 STM32N6 NPU 部署 go/no-go 證據</w:t>
      </w:r>
    </w:p>
    <w:p>
      <w:r>
        <w:t>• 獨立物理交叉驗證 — Rainflow + Wang 2011 第二條物理路徑於 worst-case GB200 工作點驗證 LIC 削峰使 LFP per-Ah 損傷下降 5.5 %(η = 0.945),不再單靠 Attia/Severson 統計外推</w:t>
      </w:r>
    </w:p>
    <w:p>
      <w:r>
        <w:t>• 軟體 demo 三件套已 live — /twin 數位孿生、/tco 計算器、/dashboard 機隊儀表板均部署於 Vercel,/dashboard 並支援 row click drilldown(SOH / RUL / 熱與操作層 metrics)</w:t>
      </w:r>
    </w:p>
    <w:p>
      <w:r>
        <w:t>• Repo 公開展示 — github.com/aericheng/atcc-sysblade,CI 自動 cross-check 25 條數字 vs JSON ground truth,確保白皮書數字未被事後調整</w:t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2"/>
          <w:szCs w:val="32"/>
        </w:rPr>
        <w:t xml:space="preserve">B. 背景與目的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6"/>
          <w:szCs w:val="26"/>
        </w:rPr>
        <w:t xml:space="preserve">B.1 三大產業驅動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(1) AI 機櫃功率密度暴增:NVIDIA GB200 NVL72 機櫃功耗 120 kW,下世代 GB300 路徑將推升至單櫃 1 MW 等級 [3];OCP Mt. Diablo 規範 busbar 設計可支撐 1.1 MW 平均負載 [5]。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(2) 毫秒級電力波動成為新瓶頸:Microsoft Azure 於 arXiv 2508.14318 公開論文 [4] 指出,LLM 訓練在「計算-同步」週期切換時造成數十 ms 的功率擺動,可達電網瞬時需求的 ±30%;NVIDIA GB300 已在 PSU 中整合電容儲能以實現 30% 削峰 [3]。傳統 BBU 僅應對「秒級停電備援」,無法回應毫秒瞬態。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(3) 電力資源是新的稀缺品:Gartner 預測 2027 年將有 40% 既有 AI 機房因電力不足受限 [11],AI 增量伺服器年用電量將達 500 TWh,較 2023 年 2.6 倍。每 kWh 與每秒備援都是「直接黃金」。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6"/>
          <w:szCs w:val="26"/>
        </w:rPr>
        <w:t xml:space="preserve">B.2 本企劃目的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協助系統電/電統能源在 2026–2029 年三年期間,於北美 AI 機房 BBU 市場以「差異化整合方案」搶下 5% 市佔,避開 Schneider Electric × NVIDIA 800VDC 聯盟 [17]、Vertiv Trinergy / OneCore 等大廠的「規模戰」與「全棧戰」,改打「中型客戶高配合度 ODM × 軟體賦能」的縫隙策略。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6"/>
          <w:szCs w:val="26"/>
        </w:rPr>
        <w:t xml:space="preserve">B.3 與系統電現有戰略的對齊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德州 Plano 廠 2025 Q4 量產 [8],符合《美國優先採購法》與關稅豁免政策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Pegatron 私募 NT$21 億入股 [9],提供 AI 伺服器整機通路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系統電 2024 年報 [19] 顯示 BBU 已是核心成長動能,本案以 50% 營收貢獻假設進行模擬,與公司公開法說口徑一致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2"/>
          <w:szCs w:val="32"/>
        </w:rPr>
        <w:t xml:space="preserve">C. 現況分析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6"/>
          <w:szCs w:val="26"/>
        </w:rPr>
        <w:t xml:space="preserve">C.1 市場規模與地理集中度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根據 JLL Year-End 2025 Report [10],全美在建資料中心容量達 35 GW,其中德州 6.5 GW (18.6%) + 北維吉尼亞 ~5.3 GW (15%),兩地合計 ~33% 為第一級戰場。Texas 已超車 Virginia 成為全美興建中專案數最多的州 (140 案 vs 136 案,2026 Q1 數據)。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0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市場區塊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2026E (USD)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2034E (USD)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CAGR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北美 AI 機房儲能電池 [2]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8.98 億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323.88 億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20"/>
                <w:szCs w:val="20"/>
              </w:rPr>
              <w:t xml:space="preserve">74.3%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全球 AI BBU [1]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12 億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35 億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11.5%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北美 AI BBU (40% 全球) [1]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4.8 億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14 億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11.5%</w:t>
            </w:r>
          </w:p>
        </w:tc>
      </w:tr>
    </w:tbl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/>
          <w:iCs/>
          <w:color w:val="000000"/>
          <w:sz w:val="18"/>
          <w:szCs w:val="18"/>
        </w:rPr>
        <w:t xml:space="preserve">註:兩家機構數字差異主因「儲能電池」涵蓋更廣 (含 BESS/UPS/BBU),BBU 為其子集。本案以 Emergen Research 北美 BBU 數字 (USD 14 億 @2034) 作為 SAM,目標 5% 市佔率對應 USD 7,000 萬年營收,保守且可驗證。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6"/>
          <w:szCs w:val="26"/>
        </w:rPr>
        <w:t xml:space="preserve">C.2 技術現況:54V → ±400V 不是升級,是換代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OCP ORV3 v1.4 BBU 規格 [7] 採 48V 標稱、最高 60V 直流。若以 LFP 化學體系 (3.2V 標稱) 配置,合理串聯數為 15S(3.2V × 15 = 48V,最高充電電壓 3.65V × 15 ≈ 54.75V,落在 60V 上限內);若採 NMC (3.7V 標稱) 則為 13S。本案選用 LFP 故採 15S 配置。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OCP Diablo 400 v0.7.0 [5] 採 ±400 VDC,需重新設計電池堆疊 (15S → 108S,增加 7 倍 BMS 通道)、絕緣等級 (UL 1973 → UL 1989 stationary battery)、DC-DC 拓撲與機械結構,與 ORV3 BBU 完全不同產品。Schneider × NVIDIA 4 月 2025 已合作推出 800 VDC sidecar [17],宣示 800V 為 1 MW+ 機櫃方向。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系統電的合理戰略不是「同一台 BBU 跨電壓」,而是 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C00000"/>
          <w:sz w:val="22"/>
          <w:szCs w:val="22"/>
        </w:rPr>
        <w:t xml:space="preserve">「兩代產品共用機構介面與軟體層」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。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6"/>
          <w:szCs w:val="26"/>
        </w:rPr>
        <w:t xml:space="preserve">C.3 競爭分析:避開全棧戰,鎖定中型客戶縫隙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00"/>
        <w:gridCol w:w="2400"/>
        <w:gridCol w:w="25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對手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優勢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可被攻擊的弱點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Sysblade 對應策略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Schneider × NVIDIA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800 VDC sidecar、生態整合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綁定 NVIDIA、僅服 Tier-1 hyperscaler、客製成本高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鎖定 Tier-2/3(CoreWeave、Lambda、Equinix)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Vertiv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Trinergy / OneCore 5MW+ UPS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以 UPS 機房思維出發、機架級 BBU 非主力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專注 rack-level,避開 facility-level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Eaton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XLR 48V supercap 硬體 [18]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僅賣電容單體、缺整合 BBU 方案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整合 LFP+LIC 雙模,提供「系統」而非「元件」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AESKY / Dynapac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價格戰、規模快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無軟體、無 OCP 認證路徑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以 Battery Twin 數據服務拉開技術級距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KULR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OCP Platinum、安全電芯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規模小、無在地生產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以德州廠在地交期 3 週反制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2"/>
          <w:szCs w:val="32"/>
        </w:rPr>
        <w:t xml:space="preserve">D. 目標設定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6"/>
          <w:szCs w:val="26"/>
        </w:rPr>
        <w:t xml:space="preserve">D.1 質化目標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技術定位:成為北美第一個提供「混合儲能 + 數位孿生」整合方案的 ODM/OEM 廠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品牌升級:從 Sysgration「BBU 製造商」轉型為「Sysblade Intelligence Platform 提供者」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永續承諾:以延長電池循環壽命 30% [13] 為核心,對齊客戶 ESG 報告與碳排揭露需求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客戶滲透:與 5 家 Tier-1/2 hyperscaler 達成 PoC 簽約,建立 OCP Spec 制定者地位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6"/>
          <w:szCs w:val="26"/>
        </w:rPr>
        <w:t xml:space="preserve">D.2 量化目標 (2026 Q3 – 2029 Q4)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900"/>
        <w:gridCol w:w="1900"/>
        <w:gridCol w:w="1900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指標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2027F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2028F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2029F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Sysblade 出貨台數 (千台)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35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75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年營收 (USD 百萬)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38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83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北美 AI BBU 市佔率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2.5%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6.5%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20"/>
                <w:szCs w:val="20"/>
              </w:rPr>
              <w:t xml:space="preserve">12%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綜合毛利率 (硬體 + SaaS)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38%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42%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46%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Tier-1 hyperscaler PoC 進度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1 PoC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2 簽約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3 簽約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OCP sub-spec 貢獻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草案投稿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1 件採納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2 件採納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SaaS site license 客戶數 (家)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32</w:t>
            </w:r>
          </w:p>
        </w:tc>
      </w:tr>
    </w:tbl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2"/>
          <w:szCs w:val="32"/>
        </w:rPr>
        <w:t xml:space="preserve">E. 企劃提案與策略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6"/>
          <w:szCs w:val="26"/>
        </w:rPr>
        <w:t xml:space="preserve">E.1 核心產品:Sysblade HyperBuffer 三層電氣分層架構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我們捨棄原「三層分離式架構」中違反備援設備可靠度原則的「物理拆解」概念,改以「電氣分層 (Electrical Tiering)」實現真正的差異化:同一個 12U 機箱內,根據時間尺度與能量密度需求,讓不同特性的儲能元件各司其職。</w:t>
      </w: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b/>
          <w:bCs/>
          <w:color w:val="323E4F"/>
          <w:sz w:val="23"/>
          <w:szCs w:val="23"/>
        </w:rPr>
        <w:t xml:space="preserve">Tier-A 瞬態緩衝層 (LIC, Lithium-ion Capacitor)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採 Eaton XLR 系列或同等級之 LIC 模組 [18],能量密度約 30 Wh/kg,功率密度可達 5 kW/kg。負責 1–100 ms 區間瞬態補償。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000000"/>
          <w:sz w:val="22"/>
          <w:szCs w:val="22"/>
        </w:rPr>
        <w:t xml:space="preserve">容量計算邏輯: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單櫃 120 kW × 30% 擺幅 × 100 ms 持續 = 3.6 kJ 最小需求;計入 30% 安全裕度 + 多次連續觸發補償,有效需求 ~5 kJ/櫃。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000000"/>
          <w:sz w:val="22"/>
          <w:szCs w:val="22"/>
        </w:rPr>
        <w:t xml:space="preserve">硬體配置: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 顆 200F/48V Eaton XLR 模組併聯 (BOM USD 150)。實際可用能量遠超 5 kJ 需求,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C00000"/>
          <w:sz w:val="22"/>
          <w:szCs w:val="22"/>
        </w:rPr>
        <w:t xml:space="preserve">此「過配」為刻意設計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,目的有四: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ESR 降低:單顆 ESR 約 0.5 mΩ,雙顆併聯後 ESR 減半,瞬態 200A 放電壓降從 0.1V 降為 0.05V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低 DoD 延壽:5 kJ / 345 kJ ≈ 1.5% DoD,LIC 工作於「淺充淺放」區間,規格 100 萬次循環可實際延伸至 10⁷ 次以上,跨越 BBU 10 年服役期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N+1 冗餘:單顆故障系統仍可運作,符合資料中心可靠度要求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市售模組顆粒度:無法買到剛好 5 kJ 的客製品,Eaton XLR 是市售最小可採購單元</w:t>
      </w: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b/>
          <w:bCs/>
          <w:color w:val="323E4F"/>
          <w:sz w:val="23"/>
          <w:szCs w:val="23"/>
        </w:rPr>
        <w:t xml:space="preserve">Tier-B 短時備援層 (LFP, 磷酸鋰鐵)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採車規 LFP 整合 pack (2.5 kWh, 15S 配置)。15S 為 LFP 化學體系 (3.2V 標稱) 達 48V 標稱所需的合理串聯數 (3.2 × 15 = 48V),最高充電 3.65 × 15 = 54.75V 落在 OCP ORV3 v1.4 60V 上限內 [7]。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電芯來源優先選用 Microvast (Texas)、KORE Power (Arizona) 或日韓系,避開 BABA Act 與 CFIUS 風險;提供 30–90 秒鎖機 (graceful shutdown) 能源,符合 OCP ORV3 BBU rev 1.4 [7] 與下一代 ORV3+ HVDC ready 規範。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000000"/>
          <w:sz w:val="22"/>
          <w:szCs w:val="22"/>
        </w:rPr>
        <w:t xml:space="preserve">備援時間驗算: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2.5 kWh ÷ 120 kW = 75 秒理論最大值;實務以 80% DoD 操作 → 60 秒有效備援,落在規格 30–90 秒區間內。</w:t>
      </w: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b/>
          <w:bCs/>
          <w:color w:val="323E4F"/>
          <w:sz w:val="23"/>
          <w:szCs w:val="23"/>
        </w:rPr>
        <w:t xml:space="preserve">Tier-C 智能管理層 (BMS + Edge AI MCU)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000000"/>
          <w:sz w:val="22"/>
          <w:szCs w:val="22"/>
        </w:rPr>
        <w:t xml:space="preserve">MCU 選型:STM32N6 系列 (ST 2024 推出)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,單晶片整合 Cortex-M55 主核 + Helium MVE 向量延伸 + Neural-ART NPU,BOM USD 38。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STM32N6 在單一 SoC 內同時提供:(1) 即時 BMS 控制 (cell balancing、過充過放保護);(2) 本地 ML 推論執行 SOH/RUL 預測;(3) OpenBMC 韌體與 OCP DC-SCM 介面。相較於原版「STM32H7 + 獨立 NPU」雙晶片方案,STM32N6 降低 BOM、減少 PCB 面積、降低互連 EMI。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選擇邊緣推論而非雲端的關鍵理由:BBU 是備援設備,網路斷線時更需要正常工作。SOH 推論延遲必須在 ms 級,雲端往返不可行。Sysblade 採「雲端訓練、邊緣推論」混合策略:模型在雲端用全機隊資料訓練,推論放本地,定期 OTA 更新權重。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6"/>
          <w:szCs w:val="26"/>
        </w:rPr>
        <w:t xml:space="preserve">E.2 技術依據與創新點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000000"/>
          <w:sz w:val="22"/>
          <w:szCs w:val="22"/>
        </w:rPr>
        <w:t xml:space="preserve">(1) 借鏡公開方案、外延至機架級: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NVIDIA GB300 PSU 內已導入電容儲能以平滑訓練負載 [3],Microsoft arXiv [4] 與 YMIN 技術文 [16] 公開指出 LIC + Battery 雙模為當前最適架構。我們的差異化在於把該架構從「PSU 內」外延到「機架 12U BBU」,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C00000"/>
          <w:sz w:val="22"/>
          <w:szCs w:val="22"/>
        </w:rPr>
        <w:t xml:space="preserve">讓既有 ORV3 機房不需更換 PSU 即可獲得瞬態保護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。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000000"/>
          <w:sz w:val="22"/>
          <w:szCs w:val="22"/>
        </w:rPr>
        <w:t xml:space="preserve">(2) OCP HVDC Ready 介面預留: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機構尺寸對齊 ORV3 12U BBU shelf,後背板預留 ±400V 直流匯流接點,Diablo 400 標準 [5] 釋出後可在 90 天內出新功率模組,無需更換機構。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000000"/>
          <w:sz w:val="22"/>
          <w:szCs w:val="22"/>
        </w:rPr>
        <w:t xml:space="preserve">(3) AI 數位孿生 (Sysblade Intelligence Platform):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基於 PyBaMM [14] DFN (Doyle-Fuller-Newman) 物理模型,搭配 PyTorch LSTM 訓練 SOH/RUL 預測器。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000000"/>
          <w:sz w:val="22"/>
          <w:szCs w:val="22"/>
        </w:rPr>
        <w:t xml:space="preserve">主訓練資料集為 Severson 2019 TRI dataset (124 顆 LFP cells) [12]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,輔以 NASA Prognostics [15] 與 CALCE 資料增加退化模式多樣性,實機部署後以客戶機隊資料持續微調 (continual learning)。誤差目標 MAPE &lt; 10% (對標 Severson [12] 9.1% 早期預測誤差;Attia 2020 [13] 達 9.0%)。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6"/>
          <w:szCs w:val="26"/>
        </w:rPr>
        <w:t xml:space="preserve">E.3 與程式選手協作的軟體生態系 (差異化武器)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我們的工程選手 (具 Python ML + React/Next.js) 將開發三件套: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(a) TCO Calculator (sysblade.com/tco):B2B 業務工具,輸入機櫃數、電價、現用 BBU 規格,秒算 5 年 TCO 與 CO₂ 減排。Vercel / Next.js 部署,~1 週可上線。LinkedIn 廣告直接導流,把行銷 10% 預算變「可轉化」。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(b) Battery Digital Twin Demo:用 PyBaMM 模擬 LFP+LIC 在 Microsoft Azure 公開 LLM 訓練 trace 下的瞬態響應與 SOH 退化曲線,搭 LSTM RUL 模型 (PyTorch)。決賽現場可即時演示。3–4 週工期,可行性 80%。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(c) Fleet Health Dashboard (Mock):Grafana + InfluxDB 模擬 1,000 台 Sysblade 機隊狀態,視覺化「即時監控/主動維修/預測維運」三層服務。對應企劃的售後服務承諾。2 週工期。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商業意義:硬體毛利 40.5% + SaaS site license (年費 USD 25k/site/year,與機台數脫鉤) 約 75% 毛利,混合毛利 2029 年達 46%,比純硬體公司多出約 5 ppt 估值溢價。GitHub 公開部分模組可作為 OCP Contribution,形成「標準參與者」實質證據。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6"/>
          <w:szCs w:val="26"/>
        </w:rPr>
        <w:t xml:space="preserve">E.4 推廣策略:100 萬台幣預算配置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3300"/>
        <w:gridCol w:w="200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預算 NT$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具體執行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KPI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OCP Global Summit (San Jose) 參展 + 提案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20"/>
                <w:szCs w:val="20"/>
              </w:rPr>
              <w:t xml:space="preserve">400,000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攤位 + 1 場 Tech Talk + Diablo 400 子規格 (BBU buffer interface) 提案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≥ 30 場 1-on-1 客戶會議;2 件 spec 提案被技術委員會接受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白皮書 + 專業媒體 (DCD / EE Times)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250,000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發布 2 份白皮書:『Hybrid Buffer for AI Rack』、『TCO Modeling for Edge AI BBU』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3,000 份白皮書下載;1 篇 DCD 報導露出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PoC 試用補貼 + 客戶參訪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200,000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免費寄送 2 套 demo 機 + 機票補貼至德州廠參訪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2 件 Tier-1 PoC 簽訂;NPS ≥ 60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LinkedIn 精準廣告 + sysblade.com TCO Calculator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100,000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CTO / VP Infrastructure 受眾,導流到 TCO Calculator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CPL ≤ USD 50;MQL ≥ 200 件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共同行銷 (Co-Marketing with Pegatron / MDC 業者)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50,000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與 MDC 製造商共同發布解決方案 brief,分攤通路展會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3 件聯名案例上線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總計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年度 MQL 200+ → SQL 40+ → 簽約 5+</w:t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6"/>
          <w:szCs w:val="26"/>
        </w:rPr>
        <w:t xml:space="preserve">E.5 熱與電磁設計:避免「組裝噩夢」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LIC 在毫秒級放電會產生數百 W 瞬時熱負載,與 LFP pack 共置於 12U 機箱必須處理熱耦合與 EMI 干擾。設計要點分三層:</w:t>
      </w: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b/>
          <w:bCs/>
          <w:color w:val="323E4F"/>
          <w:sz w:val="23"/>
          <w:szCs w:val="23"/>
        </w:rPr>
        <w:t xml:space="preserve">熱分區 (Thermal Zoning)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LIC 模組獨立風道與導風板,與 LFP pack 之間以 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C00000"/>
          <w:sz w:val="22"/>
          <w:szCs w:val="22"/>
        </w:rPr>
        <w:t xml:space="preserve">1.5 mm 熱重導向鋁板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(thermal redirecting plate,鋁本身為熱導體,作用為快速擴散熱量到 LIC 自有風道,而非阻熱)+ 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C00000"/>
          <w:sz w:val="22"/>
          <w:szCs w:val="22"/>
        </w:rPr>
        <w:t xml:space="preserve">陶瓷阻熱塗層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(實質阻熱層)隔離。整體採 N+1 風扇配置,配合 SmartFan PWM 控制;最高負載下 LIC 表面溫度目標 &lt; 65°C,LFP pack &lt; 45°C。</w:t>
      </w: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b/>
          <w:bCs/>
          <w:color w:val="323E4F"/>
          <w:sz w:val="23"/>
          <w:szCs w:val="23"/>
        </w:rPr>
        <w:t xml:space="preserve">EMI / EMC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LIC 高 di/dt 切換為 EMI 主來源,DC-DC 採 GaN HEMT 軟切換 (LLC 或 PSFB 拓撲) + Common-mode choke + 三層 PCB 完整地平面。GaN HEMT 650V 等級可同時涵蓋 48V 與 ±400V 兩代產品(共用拓撲,降低設計成本)。合規目標:FCC Part 15 Class A、EN 55032 Class A、OCP ORV3 機架 EMC 規範一次到位。</w:t>
      </w: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b/>
          <w:bCs/>
          <w:color w:val="323E4F"/>
          <w:sz w:val="23"/>
          <w:szCs w:val="23"/>
        </w:rPr>
        <w:t xml:space="preserve">熱失控防護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LFP cell 級 PTC + 模組級陶瓷阻熱層 + 機箱級 aerogel 防火襯,符合 UL 1973 abuse test (熱失控傳播時間 &gt; 30 min),並可選配 Americase ORV3 防火外箱再加倍提升消防審查 PASS 率。LFP 化學本身熱失控起溫 &gt; 270°C,遠高於 NMC 的 ~210°C,是資料中心 BBU 應用的安全首選。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2"/>
          <w:szCs w:val="32"/>
        </w:rPr>
        <w:t xml:space="preserve">F. 執行方式與時程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6"/>
          <w:szCs w:val="26"/>
        </w:rPr>
        <w:t xml:space="preserve">F.1 18 個月關鍵里程碑 (2026 Q3 – 2027 Q4)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000"/>
        <w:gridCol w:w="2400"/>
        <w:gridCol w:w="220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時程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硬體 / 系統電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軟體 / Sysblade 平台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市場 / GTM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2026 Q3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FTO 專利檢索;架構規格凍結;Cell 供應商 RFQ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TCO Calculator MVP 上線;Battery Twin 模型骨架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OCP APAC Summit 提案投稿;白皮書草稿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2026 Q4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EVT 工程板出板;LIC + LFP 整合原型 PoC;熱與 EMC 模擬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Battery Twin Demo 完成;Dashboard mock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OCP Global Summit (San Jose) 攤位 + Tech Talk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2027 Q1–Q2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DVT/PVT 階段;Burn-in 48 hr;UL 1973 + IEC 62619 送測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Battery Twin SaaS Beta;接 Pegatron 整機 telemetry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Tier-1 PoC 出貨 (Microsoft Azure / Meta)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2027 Q3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UL 認證取得;Diablo 400 v1.0 介面驗證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SaaS GA;OCP DC-SCM Telemetry sub-spec 提案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Tier-2 (CoreWeave、Lambda) PoC 簽約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20"/>
                <w:szCs w:val="20"/>
              </w:rPr>
              <w:t xml:space="preserve">2027 Q4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德州廠首批量產 (MP1) 出貨 12k 台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Battery Twin v1.0 GA;首三家 site license 簽約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公開營收里程碑;2028 Q1 Tier-1 規模化出貨</w:t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6"/>
          <w:szCs w:val="26"/>
        </w:rPr>
        <w:t xml:space="preserve">F.2 組織與分工 (建議學生團隊)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PM / Strategy:對外與業師 / 系統電窗口、控進度、財務模型維護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Hardware Lead:對接電芯 (LFP) 與 LIC 模組供應商,繪製 BOM、機構拆解圖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Software Lead (程式選手):負責 (a) TCO Calculator (b) Battery Twin Demo (c) Dashboard。技術棧:Python (PyBaMM, PyTorch, FastAPI) + Next.js + Vercel + Grafana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Marketing / Content:白皮書、LinkedIn 內容、OCP Summit 簡報、demo 影片錄製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6"/>
          <w:szCs w:val="26"/>
        </w:rPr>
        <w:t xml:space="preserve">F.3 風險與緩解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LIC 成本上升 → 若 LIC 漲價 &gt;20%,回退至「電池+小容量電容」混合,BOM 仍可控於 USD 470 以內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專利 FTO 風險 → Vertiv / Eaton 在混合儲能已有部分專利。OCP Summit 前完成 FTO 報告,必要時與 KULR 共同申請防禦性專利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OCP 規格延宕 → Mt. Diablo v0.7.0 已於 2026/3/1 公布 [5],v1.0 預期 2026 Q4。我們的設計鎖定 v0.7.0,向後相容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德州廠毛利承壓 → 在地組裝成本較亞洲高 ~12%,以 ASP 溢價 (USD 1,080 vs 行業均 USD 720) 與美國優先採購法關稅豁免吸收,並以軟體 site license 補貼總體毛利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6"/>
          <w:szCs w:val="26"/>
        </w:rPr>
        <w:t xml:space="preserve">F.4 業師質詢預演 (Camp Q&amp;A 沙盤推演)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以下五題模擬系統電跨部門業師(財務 / 市場 / 競爭 / 工程)之尖銳提問,附強勢回應:</w:t>
      </w: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b/>
          <w:bCs/>
          <w:color w:val="323E4F"/>
          <w:sz w:val="23"/>
          <w:szCs w:val="23"/>
        </w:rPr>
        <w:t xml:space="preserve">Q1 (財務):德州廠毛利承壓,本案 40.5% 硬體毛利如何兌現?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BOM USD 643 已含在地組裝 +12% 溢出 (USD 38) 與 PCBA 測試 + 保固提列 (USD 25),並以 ASP USD 1,080 拉開差距。其中 USD 80 為 1 年 SaaS bundle,邊際毛利約 75%。SaaS site license 從 2028 年起續約推升綜合毛利:2028 年 42%、2029 年 46%。系統電 2024 年報 [19] 既有產品線毛利 25–30%,本案高出 16 ppt 主要來自混合儲能 (LIC) 溢價、軟體層、與避開規模戰的客戶選擇 (鎖 Tier-2/3,不打壓最低標)。</w:t>
      </w: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b/>
          <w:bCs/>
          <w:color w:val="323E4F"/>
          <w:sz w:val="23"/>
          <w:szCs w:val="23"/>
        </w:rPr>
        <w:t xml:space="preserve">Q2 (市場):中型客戶市場真的養得起一條 BBU 產線嗎?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北美 AI BBU 2029 年 USD 8.8 億 [1] (CAGR 11.5%),Tier-2/3 (CoreWeave、Lambda、Equinix、Digital Realty) 約佔 35–40%,SAM 約 USD 3.2 億。本案 2029 目標 USD 8,250 萬約佔總 NA 市場 9.4%、佔 Tier-2/3 segment 25%;疊加 Tier-1 PoC 帶單 USD 30M+,三年累積 USD 133M 仍處保守區間。Microsoft Azure [4] 與 Meta [20] 公開的 transient 痛點報告,意味著中型客戶比 hyperscaler 更需要「現成混合方案」(自研成本對中型客戶不划算)。</w:t>
      </w: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b/>
          <w:bCs/>
          <w:color w:val="323E4F"/>
          <w:sz w:val="23"/>
          <w:szCs w:val="23"/>
        </w:rPr>
        <w:t xml:space="preserve">Q3 (競爭):若 Schneider 或 Vertiv 也降價做模組化 BBU,系統電怎麼活?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兩巨頭核心毛利在 facility-level UPS / busway,rack-level BBU 對其屬「補位品」,缺乏精打細算的 BOM 控制誘因。我們的護城河有三:(1) 德州廠 3 週交期 vs 巨頭 8–12 週客製週期;(2) Battery Twin 軟體層轉換成本(客戶資料一旦上 Sysblade 平台,遷移成本極高);(3) OCP sub-spec 貢獻者地位讓我們同步前行而非追趕。若巨頭仍降價,可啟動 Pegatron 整機綁售方案,把 BBU 變「附件」與整櫃利潤捆綁。</w:t>
      </w: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b/>
          <w:bCs/>
          <w:color w:val="323E4F"/>
          <w:sz w:val="23"/>
          <w:szCs w:val="23"/>
        </w:rPr>
        <w:t xml:space="preserve">Q4 (工程):LIC 容量 5 kJ 需求,為何配置市售模組總可用能量達 345 kJ?是否過度設計?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此「容量過配」為刻意工程選擇,有四個目的:(1) ESR 降低:雙顆併聯讓 ESR 從 0.5 mΩ 降至 0.25 mΩ,瞬態 200A 放電壓降減半,提升瞬態響應品質。(2) 低 DoD 延伸壽命:5 kJ / 345 kJ = 1.5% DoD,LIC 工作於「淺充淺放」區間,規格 100 萬次循環可實際達到 10⁷ 次,跨越 BBU 10 年服役期不需中途更換。(3) N+1 冗餘:單顆故障系統仍可運作。(4) 模組顆粒度:Eaton XLR 200F/48V 是市售最小可採購單元,客製 5 kJ 模組 NRE 成本 USD 50k+ 不划算。</w:t>
      </w:r>
    </w:p>
    <w:p>
      <w:pPr>
        <w:pStyle w:val="Heading3"/>
        <w:spacing w:after="100" w:before="180"/>
      </w:pPr>
      <w:r>
        <w:rPr>
          <w:rFonts w:ascii="Microsoft JhengHei" w:cs="Microsoft JhengHei" w:eastAsia="Microsoft JhengHei" w:hAnsi="Microsoft JhengHei"/>
          <w:b/>
          <w:bCs/>
          <w:color w:val="323E4F"/>
          <w:sz w:val="23"/>
          <w:szCs w:val="23"/>
        </w:rPr>
        <w:t xml:space="preserve">Q5 (工程):LIC 在 BBU 機箱內的熱與 EMI 怎麼解決?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(熱) LIC 與 LFP 採物理分區風道 + 1.5 mm 熱重導向鋁板(快速擴散熱量到 LIC 自有風道)+ 陶瓷阻熱塗層(實質阻熱),最大負載下 LIC 表面 &lt; 65°C、LFP &lt; 45°C,已通過 ANSYS Icepak 預模擬;量產前以 EVT 樣機 + 熱影像驗證。(EMI) DC-DC 採 GaN HEMT 軟切換 + Common-mode choke + 三層 PCB 完整地平面,可滿足 FCC Part 15 Class A、EN 55032 Class A,併入 OCP ORV3 EMC 規格。整體額外散熱與屏蔽 BOM 增量已含在 USD 95 的 DC-DC + 機構 + 散熱項下。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2"/>
          <w:szCs w:val="32"/>
        </w:rPr>
        <w:t xml:space="preserve">G. 成本與效益評估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6"/>
          <w:szCs w:val="26"/>
        </w:rPr>
        <w:t xml:space="preserve">G.1 單台 BOM 與毛利結構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500"/>
        <w:gridCol w:w="4000"/>
      </w:tblGrid>
      <w:tr>
        <w:trPr>
          <w:tblHeader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USD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備註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LFP 整合 pack (2.5 kWh, 15S, 車規)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280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Microvast/KORE Power 等北美/日韓系電芯,含 pack 機構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LIC 模組 (2× Eaton XLR 200F/48V)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150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過配為刻意設計:ESR 降低 + 低 DoD 延壽 + N+1 冗餘 [18]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BMS + Edge AI MCU (STM32N6)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38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Cortex-M55 + Neural-ART NPU 單晶片;含 SOH 推論 + OpenBMC 介面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DC-DC + 機構 + 熱/EMI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95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ORV3 12U 規格 + GaN HEMT 650V + 阻熱層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組裝 + Burn-in 48 hr (德州 Plano)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38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較亞洲 +12%,符合 BABA Act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認證攤提 (UL 1973 + IEC 62619)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17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3 年攤銷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PCBA 測試 + 包裝 + 保固準備金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25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3% revenue 保固提列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BOM 小計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643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ASP (平均售價)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20"/>
                <w:szCs w:val="20"/>
              </w:rPr>
              <w:t xml:space="preserve">1,080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較市場均價 USD 720 溢價 50%(含 1 年 SaaS)</w:t>
            </w:r>
          </w:p>
        </w:tc>
      </w:tr>
      <w:t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硬體毛利率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20"/>
                <w:szCs w:val="20"/>
              </w:rPr>
              <w:t xml:space="preserve">40.5%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(1080-643)/1080</w:t>
            </w:r>
          </w:p>
        </w:tc>
      </w:tr>
    </w:tbl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計算式:Hardware GM = (ASP 1,080 − COGS 643) / 1,080 ≈ 40.5%。疊加 SaaS site license (年費 USD 25k/site,邊際毛利 ~75%) 後,2029 年綜合毛利率約 46%。系統電 2024 年報 [19] 既有產品線毛利約 25–30%,本案 + 16 ppt 主因為混合儲能溢價 + 軟體 + 在地組裝豁免關稅。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6"/>
          <w:szCs w:val="26"/>
        </w:rPr>
        <w:t xml:space="preserve">G.2 三年營收、現金流與 IRR 模型 (2027–2029)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假設參數:產線 6.5 條 × 單線年產能 NT$10 億 [19],本案 50% 營收貢獻;稼動率 50%、良率 80%(與系統電法說口徑一致)。Sysblade 量產自 2027 Q4 啟動(時程已較原版延後 6 個月以反映設計凍結 + UL 認證真實工期),故 2027 全年僅 H2 出貨。SaaS site license 採年費 USD 25k/site/year,與機台數脫鉤。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年度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出貨千台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硬體營收 (USD M)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SaaS (USD M)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EBIT margin / EBIT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2027F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13.0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0.08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8% / 1.0M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2028F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35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37.8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0.30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14% / 5.3M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2029F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75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82.5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0.80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19% / 15.8M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3 年累積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122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20"/>
                <w:szCs w:val="20"/>
              </w:rPr>
              <w:t xml:space="preserve">133.3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1.18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EBIT 22.1M</w:t>
            </w:r>
          </w:p>
        </w:tc>
      </w:tr>
    </w:tbl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投入估算:研發 USD 18M (3 年攤) + 認證 USD 5M + 行銷 100 萬台幣/年 ≈ USD 0.1M + 產線改造 USD 8M = 累計 USD 31M。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000000"/>
          <w:sz w:val="22"/>
          <w:szCs w:val="22"/>
        </w:rPr>
        <w:t xml:space="preserve">Payback 與 IRR: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 年累積 EBIT 22.1M 對 31M 投入 → 簡單回收期約 3.5 年;以 5 年期推估 (2030–2031 年營收續成長至 USD 200M+),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C00000"/>
          <w:sz w:val="22"/>
          <w:szCs w:val="22"/>
        </w:rPr>
        <w:t xml:space="preserve">IRR 約 22–28%,現金流轉正預期於 2029 Q4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。本案不採用乘上稼動率與良率折扣的「實務 ROI」舊公式(容易被質疑重複折扣),改以業界 IRR 標準呈現。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  <w:color w:val="2E75B6"/>
          <w:sz w:val="26"/>
          <w:szCs w:val="26"/>
        </w:rPr>
        <w:t xml:space="preserve">G.3 客戶 TCO 節省 (10 年期,單櫃 100 kW 級)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1800"/>
        <w:gridCol w:w="180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傳統 BBU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Sysblade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差異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初次採購 (8 台/櫃)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USD 5,760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USD 8,640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C00000"/>
                <w:sz w:val="20"/>
                <w:szCs w:val="20"/>
              </w:rPr>
              <w:t xml:space="preserve">+2,880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電池組更換 (10 年內 1.5 次 vs 1 次)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USD 8,640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USD 5,760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B050"/>
                <w:sz w:val="20"/>
                <w:szCs w:val="20"/>
              </w:rPr>
              <w:t xml:space="preserve">−2,880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瞬態事件造成節能重啟與壽命衰減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USD 4,800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USD 1,200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B050"/>
                <w:sz w:val="20"/>
                <w:szCs w:val="20"/>
              </w:rPr>
              <w:t xml:space="preserve">−3,600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維運人力 (預測維運自動化)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USD 5,000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USD 2,000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B050"/>
                <w:sz w:val="20"/>
                <w:szCs w:val="20"/>
              </w:rPr>
              <w:t xml:space="preserve">−3,000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HVDC 升級重建 (Diablo 400 過渡)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USD 4,800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20"/>
                <w:szCs w:val="20"/>
              </w:rPr>
              <w:t xml:space="preserve">USD 1,800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B050"/>
                <w:sz w:val="20"/>
                <w:szCs w:val="20"/>
              </w:rPr>
              <w:t xml:space="preserve">−3,000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10 年 TCO 合計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USD 29,000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USD 19,400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20"/>
                <w:szCs w:val="20"/>
              </w:rPr>
              <w:t xml:space="preserve">−9,600 (−33%)</w:t>
            </w:r>
          </w:p>
        </w:tc>
      </w:tr>
    </w:tbl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000000"/>
          <w:sz w:val="22"/>
          <w:szCs w:val="22"/>
        </w:rPr>
        <w:t xml:space="preserve">結論: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客戶單櫃 10 年總持有成本下降 USD 9,600 (33%),較原企劃 43.7% 假設更保守、項目可逐筆檢視。「電池更換次數 1.5 vs 1」係依 LFP 在 BBU 浮充應用實測 8–12 年壽命估算;「瞬態壽命衰減」採 Severson [12] 推導之循環損耗模型,避免高估「停機事件」金額。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2"/>
          <w:szCs w:val="32"/>
        </w:rPr>
        <w:t xml:space="preserve">附件 A. 主要參考資料</w:t>
      </w:r>
    </w:p>
    <w:p>
      <w:pPr>
        <w:spacing w:after="60" w:before="60"/>
      </w:pPr>
      <w:r>
        <w:rPr>
          <w:rFonts w:ascii="Consolas" w:cs="Consolas" w:eastAsia="Consolas" w:hAnsi="Consolas"/>
          <w:b/>
          <w:bCs/>
          <w:color w:val="1F3864"/>
          <w:sz w:val="20"/>
          <w:szCs w:val="20"/>
        </w:rPr>
        <w:t xml:space="preserve">[1] 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Emergen Research, AI Data Center BBU Power Supply Market 2024-2034</w:t>
      </w:r>
    </w:p>
    <w:p>
      <w:pPr>
        <w:spacing w:after="60" w:before="60"/>
      </w:pPr>
      <w:r>
        <w:rPr>
          <w:rFonts w:ascii="Consolas" w:cs="Consolas" w:eastAsia="Consolas" w:hAnsi="Consolas"/>
          <w:b/>
          <w:bCs/>
          <w:color w:val="1F3864"/>
          <w:sz w:val="20"/>
          <w:szCs w:val="20"/>
        </w:rPr>
        <w:t xml:space="preserve">[2] 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Intel Market Research, NA AI Computing Center Energy Storage Battery Outlook 2026-2034</w:t>
      </w:r>
    </w:p>
    <w:p>
      <w:pPr>
        <w:spacing w:after="60" w:before="60"/>
      </w:pPr>
      <w:r>
        <w:rPr>
          <w:rFonts w:ascii="Consolas" w:cs="Consolas" w:eastAsia="Consolas" w:hAnsi="Consolas"/>
          <w:b/>
          <w:bCs/>
          <w:color w:val="1F3864"/>
          <w:sz w:val="20"/>
          <w:szCs w:val="20"/>
        </w:rPr>
        <w:t xml:space="preserve">[3] 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NVIDIA, How New GB300 NVL72 Features Provide Steady Power for AI</w:t>
      </w:r>
    </w:p>
    <w:p>
      <w:pPr>
        <w:spacing w:after="60" w:before="60"/>
      </w:pPr>
      <w:r>
        <w:rPr>
          <w:rFonts w:ascii="Consolas" w:cs="Consolas" w:eastAsia="Consolas" w:hAnsi="Consolas"/>
          <w:b/>
          <w:bCs/>
          <w:color w:val="1F3864"/>
          <w:sz w:val="20"/>
          <w:szCs w:val="20"/>
        </w:rPr>
        <w:t xml:space="preserve">[4] 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Microsoft Azure, Power Stabilization for AI Training Datacenters (arXiv 2508.14318)</w:t>
      </w:r>
    </w:p>
    <w:p>
      <w:pPr>
        <w:spacing w:after="60" w:before="60"/>
      </w:pPr>
      <w:r>
        <w:rPr>
          <w:rFonts w:ascii="Consolas" w:cs="Consolas" w:eastAsia="Consolas" w:hAnsi="Consolas"/>
          <w:b/>
          <w:bCs/>
          <w:color w:val="1F3864"/>
          <w:sz w:val="20"/>
          <w:szCs w:val="20"/>
        </w:rPr>
        <w:t xml:space="preserve">[5] 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OCP, Diablo 400 Project: Rack and Power Base Spec v0.7.0 (Mar 2026)</w:t>
      </w:r>
    </w:p>
    <w:p>
      <w:pPr>
        <w:spacing w:after="60" w:before="60"/>
      </w:pPr>
      <w:r>
        <w:rPr>
          <w:rFonts w:ascii="Consolas" w:cs="Consolas" w:eastAsia="Consolas" w:hAnsi="Consolas"/>
          <w:b/>
          <w:bCs/>
          <w:color w:val="1F3864"/>
          <w:sz w:val="20"/>
          <w:szCs w:val="20"/>
        </w:rPr>
        <w:t xml:space="preserve">[6] 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Microsoft Azure Blog, Mt Diablo - Disaggregated Power Fueling Next AI Platforms</w:t>
      </w:r>
    </w:p>
    <w:p>
      <w:pPr>
        <w:spacing w:after="60" w:before="60"/>
      </w:pPr>
      <w:r>
        <w:rPr>
          <w:rFonts w:ascii="Consolas" w:cs="Consolas" w:eastAsia="Consolas" w:hAnsi="Consolas"/>
          <w:b/>
          <w:bCs/>
          <w:color w:val="1F3864"/>
          <w:sz w:val="20"/>
          <w:szCs w:val="20"/>
        </w:rPr>
        <w:t xml:space="preserve">[7] 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OCP, Open Rack V3 48V BBU Module Spec rev 1.4</w:t>
      </w:r>
    </w:p>
    <w:p>
      <w:pPr>
        <w:spacing w:after="60" w:before="60"/>
      </w:pPr>
      <w:r>
        <w:rPr>
          <w:rFonts w:ascii="Consolas" w:cs="Consolas" w:eastAsia="Consolas" w:hAnsi="Consolas"/>
          <w:b/>
          <w:bCs/>
          <w:color w:val="1F3864"/>
          <w:sz w:val="20"/>
          <w:szCs w:val="20"/>
        </w:rPr>
        <w:t xml:space="preserve">[8] 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DIGITIMES, Sysgration targets double-digit growth in AI server BBU 2026</w:t>
      </w:r>
    </w:p>
    <w:p>
      <w:pPr>
        <w:spacing w:after="60" w:before="60"/>
      </w:pPr>
      <w:r>
        <w:rPr>
          <w:rFonts w:ascii="Consolas" w:cs="Consolas" w:eastAsia="Consolas" w:hAnsi="Consolas"/>
          <w:b/>
          <w:bCs/>
          <w:color w:val="1F3864"/>
          <w:sz w:val="20"/>
          <w:szCs w:val="20"/>
        </w:rPr>
        <w:t xml:space="preserve">[9] 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DIGITIMES, Pegatron partners with Sysgration to expand BBU for US-made AI servers</w:t>
      </w:r>
    </w:p>
    <w:p>
      <w:pPr>
        <w:spacing w:after="60" w:before="60"/>
      </w:pPr>
      <w:r>
        <w:rPr>
          <w:rFonts w:ascii="Consolas" w:cs="Consolas" w:eastAsia="Consolas" w:hAnsi="Consolas"/>
          <w:b/>
          <w:bCs/>
          <w:color w:val="1F3864"/>
          <w:sz w:val="20"/>
          <w:szCs w:val="20"/>
        </w:rPr>
        <w:t xml:space="preserve">[10] 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JLL, North America Data Center Year-End 2025 Report</w:t>
      </w:r>
    </w:p>
    <w:p>
      <w:pPr>
        <w:spacing w:after="60" w:before="60"/>
      </w:pPr>
      <w:r>
        <w:rPr>
          <w:rFonts w:ascii="Consolas" w:cs="Consolas" w:eastAsia="Consolas" w:hAnsi="Consolas"/>
          <w:b/>
          <w:bCs/>
          <w:color w:val="1F3864"/>
          <w:sz w:val="20"/>
          <w:szCs w:val="20"/>
        </w:rPr>
        <w:t xml:space="preserve">[11] 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Gartner, Power Shortages Will Restrict 40% of AI Data Centers by 2027 (Nov 2024)</w:t>
      </w:r>
    </w:p>
    <w:p>
      <w:pPr>
        <w:spacing w:after="60" w:before="60"/>
      </w:pPr>
      <w:r>
        <w:rPr>
          <w:rFonts w:ascii="Consolas" w:cs="Consolas" w:eastAsia="Consolas" w:hAnsi="Consolas"/>
          <w:b/>
          <w:bCs/>
          <w:color w:val="1F3864"/>
          <w:sz w:val="20"/>
          <w:szCs w:val="20"/>
        </w:rPr>
        <w:t xml:space="preserve">[12] 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Severson, Attia et al., Data-driven prediction of battery cycle life, Nature Energy (2019)</w:t>
      </w:r>
    </w:p>
    <w:p>
      <w:pPr>
        <w:spacing w:after="60" w:before="60"/>
      </w:pPr>
      <w:r>
        <w:rPr>
          <w:rFonts w:ascii="Consolas" w:cs="Consolas" w:eastAsia="Consolas" w:hAnsi="Consolas"/>
          <w:b/>
          <w:bCs/>
          <w:color w:val="1F3864"/>
          <w:sz w:val="20"/>
          <w:szCs w:val="20"/>
        </w:rPr>
        <w:t xml:space="preserve">[13] 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Attia, Grover et al., Closed-loop optimization of fast-charging protocols, Nature 578 (2020)</w:t>
      </w:r>
    </w:p>
    <w:p>
      <w:pPr>
        <w:spacing w:after="60" w:before="60"/>
      </w:pPr>
      <w:r>
        <w:rPr>
          <w:rFonts w:ascii="Consolas" w:cs="Consolas" w:eastAsia="Consolas" w:hAnsi="Consolas"/>
          <w:b/>
          <w:bCs/>
          <w:color w:val="1F3864"/>
          <w:sz w:val="20"/>
          <w:szCs w:val="20"/>
        </w:rPr>
        <w:t xml:space="preserve">[14] 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PyBaMM (Python Battery Mathematical Modelling) Open-Source Library</w:t>
      </w:r>
    </w:p>
    <w:p>
      <w:pPr>
        <w:spacing w:after="60" w:before="60"/>
      </w:pPr>
      <w:r>
        <w:rPr>
          <w:rFonts w:ascii="Consolas" w:cs="Consolas" w:eastAsia="Consolas" w:hAnsi="Consolas"/>
          <w:b/>
          <w:bCs/>
          <w:color w:val="1F3864"/>
          <w:sz w:val="20"/>
          <w:szCs w:val="20"/>
        </w:rPr>
        <w:t xml:space="preserve">[15] 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NASA Prognostics Center of Excellence — Li-ion Battery Aging Datasets</w:t>
      </w:r>
    </w:p>
    <w:p>
      <w:pPr>
        <w:spacing w:after="60" w:before="60"/>
      </w:pPr>
      <w:r>
        <w:rPr>
          <w:rFonts w:ascii="Consolas" w:cs="Consolas" w:eastAsia="Consolas" w:hAnsi="Consolas"/>
          <w:b/>
          <w:bCs/>
          <w:color w:val="1F3864"/>
          <w:sz w:val="20"/>
          <w:szCs w:val="20"/>
        </w:rPr>
        <w:t xml:space="preserve">[16] 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YMIN, Millisecond-level transient power gaps: Why hybrid LIC + BBU?</w:t>
      </w:r>
    </w:p>
    <w:p>
      <w:pPr>
        <w:spacing w:after="60" w:before="60"/>
      </w:pPr>
      <w:r>
        <w:rPr>
          <w:rFonts w:ascii="Consolas" w:cs="Consolas" w:eastAsia="Consolas" w:hAnsi="Consolas"/>
          <w:b/>
          <w:bCs/>
          <w:color w:val="1F3864"/>
          <w:sz w:val="20"/>
          <w:szCs w:val="20"/>
        </w:rPr>
        <w:t xml:space="preserve">[17] 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Schneider Electric × NVIDIA, 800VDC sidecar for megawatt-scale AI rack (Apr 2025)</w:t>
      </w:r>
    </w:p>
    <w:p>
      <w:pPr>
        <w:spacing w:after="60" w:before="60"/>
      </w:pPr>
      <w:r>
        <w:rPr>
          <w:rFonts w:ascii="Consolas" w:cs="Consolas" w:eastAsia="Consolas" w:hAnsi="Consolas"/>
          <w:b/>
          <w:bCs/>
          <w:color w:val="1F3864"/>
          <w:sz w:val="20"/>
          <w:szCs w:val="20"/>
        </w:rPr>
        <w:t xml:space="preserve">[18] 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Eaton XLR 48V Hybrid Supercapacitor Module Datasheet</w:t>
      </w:r>
    </w:p>
    <w:p>
      <w:pPr>
        <w:spacing w:after="60" w:before="60"/>
      </w:pPr>
      <w:r>
        <w:rPr>
          <w:rFonts w:ascii="Consolas" w:cs="Consolas" w:eastAsia="Consolas" w:hAnsi="Consolas"/>
          <w:b/>
          <w:bCs/>
          <w:color w:val="1F3864"/>
          <w:sz w:val="20"/>
          <w:szCs w:val="20"/>
        </w:rPr>
        <w:t xml:space="preserve">[19] 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Sysgration 2024 Annual Report (Public Filing)</w:t>
      </w:r>
    </w:p>
    <w:p>
      <w:pPr>
        <w:spacing w:after="60" w:before="60"/>
      </w:pPr>
      <w:r>
        <w:rPr>
          <w:rFonts w:ascii="Consolas" w:cs="Consolas" w:eastAsia="Consolas" w:hAnsi="Consolas"/>
          <w:b/>
          <w:bCs/>
          <w:color w:val="1F3864"/>
          <w:sz w:val="20"/>
          <w:szCs w:val="20"/>
        </w:rPr>
        <w:t xml:space="preserve">[20] 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Meta Engineering, Meta's Infrastructure Evolution and the Advent of AI (2025)</w:t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2"/>
          <w:szCs w:val="32"/>
        </w:rPr>
        <w:t xml:space="preserve">附件 B. 軟體技術棧 (程式選手實作清單)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(a) TCO Calculator:Next.js 14 + Vercel + Tailwind。輸入欄:機櫃數、電價、現用 BBU 規格 → 輸出:5 年 TCO、ROI、CO₂ 節省。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(b) Battery Digital Twin:Python 3.11 + PyBaMM (DFN model) + PyTorch LSTM。資料源:Severson 2019 TRI dataset (124 LFP cells, 主訓練) [12] + NASA Prognostics PCoE [15] + CALCE 資料 (輔助多樣性) + Microsoft Azure Public VM Workload Trace (作為功率剖面參考)。輸出 SOH/RUL,誤差目標 MAPE &lt; 10% (Severson [12] 早期 9.1% 為對標,未上實機資料前不承諾 &lt; 5%)。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(c) Fleet Dashboard (Mock):Grafana + InfluxDB + 模擬 telemetry generator。視覺化 1,000 台機隊。標註「Simulated Data」。</w:t>
      </w:r>
    </w:p>
    <w:p>
      <w:pPr>
        <w:pStyle w:val="Heading1"/>
        <w:spacing w:after="180" w:before="3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32"/>
          <w:szCs w:val="32"/>
        </w:rPr>
        <w:t xml:space="preserve">附件 C. 計算假設與保守性說明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市場:Emergen Research [1] 全球 USD 35 億 × 北美 40% = USD 14 億 (2034);以 CAGR 11.5% 線性回推 2029 ≈ USD 8.8 億。本案 2029 目標 USD 8,250 萬約佔 9.4%,未達 12% 目標承諾的「合理上限」,屬保守可達。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IRR 22–28% 已含三年研發攤提 + UL 認證 + 行銷 + 產線改造合計 USD 31M 投入;不採用「稼動率×良率」雙重折扣公式,避免重複扣除既已含於營收與 EBIT margin 中之效率因子。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ASP USD 1,080 含首年 SaaS bundle (USD 80 cost basis);裸機 ASP USD 1,000,仍較 ORV3 reference design 業界均價 USD 720 溢價 39%,溢價來源為混合儲能 (LIC + LFP) + 軟體層 + 在地組裝關稅豁免。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LIC 容量計算:3.6 kJ 最小需求 = GB200 NVL72 機櫃 120 kW × 30% 擺幅 × 100 ms 持續時間 [4][16];保守裕度 30% 與多次連續觸發補償後配置 ~5 kJ。市售模組(Eaton XLR 200F/48V × 2)實際可用能量 345 kJ,過配為刻意設計(ESR 降低 + 低 DoD 延壽 + N+1 冗餘 + 模組顆粒度限制)。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LFP 串聯數:採 15S 配置(3.2V × 15 = 48V 標稱、3.65V × 15 = 54.75V 最高充電),為 LFP 化學體系達 OCP ORV3 48V 標稱所需的合理配置(13S 為 NMC 配置)。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電池更換頻率 (10 年 1.5 次 vs 1 次) 假設:傳統 NMC BBU 浮充壽命 6–8 年,本案 LFP 8–12 年,差異約 0.5 次更換。原版「2 次 vs 1 次」未考量浮充應用循環極少之事實,本版已修正。</w:t>
      </w:r>
    </w:p>
    <w:p>
      <w:pPr>
        <w:pStyle w:val="Heading1"/>
      </w:pPr>
      <w:r>
        <w:rPr>
          <w:b w:val="0"/>
        </w:rPr>
        <w:t>附件 D. v2.2 技術交付物實證</w:t>
      </w:r>
    </w:p>
    <w:p>
      <w:r>
        <w:rPr>
          <w:b w:val="0"/>
        </w:rPr>
        <w:t>本附件記錄 v2.1 → v2.2 期間實際完成的技術交付物與 measured 數據,所有報告 JSON / 量化檔均存於公開 GitHub repo,可直接核驗。</w:t>
      </w:r>
    </w:p>
    <w:p>
      <w:pPr>
        <w:pStyle w:val="Heading2"/>
      </w:pPr>
      <w:r>
        <w:rPr>
          <w:b/>
        </w:rPr>
        <w:t>D.1 RUL 預測管線 measured 數字</w:t>
      </w:r>
    </w:p>
    <w:p>
      <w:r>
        <w:rPr>
          <w:b w:val="0"/>
        </w:rPr>
        <w:t>Severson 2019 公開 124 顆 LFP 18650 cell;HDF5 解析路徑取出 138 顆有 ≥ 100 cycle 觀測。13-feature paper-aligned Full model 跨 5 種 regressor × 4 個 cell filter 全 sweep,結果存 data/processed/severson_model_eval.json:</w:t>
      </w:r>
    </w:p>
    <w:p>
      <w:r>
        <w:rPr>
          <w:b w:val="0"/>
        </w:rPr>
        <w:t>• Random split (10-seed median):bagged-GBT (K=24) + xstrict cell filter (cycle_life ≥ 400, n=134) MAPE 8.38 %、R² 0.890、per-seed [5.93, 12.91],7/10 seeds &lt; 10 % — 首次達 v2.1 附件 B 軟體技術棧「&lt; 10 % MAPE」承諾</w:t>
      </w:r>
    </w:p>
    <w:p>
      <w:r>
        <w:rPr>
          <w:b w:val="0"/>
        </w:rPr>
        <w:t>• Cross-batch (b1+b2 → b3 新 protocol):bagged-OLS + xstrict MAPE 13.87 %、R² +0.207 — GBT 在 cross-batch 反退化(17–22 %)因 protocol-specific 過擬合,部署 routing 規則為「同 protocol 用 bagged-GBT、新 protocol fall back bagged-OLS」</w:t>
      </w:r>
    </w:p>
    <w:p>
      <w:r>
        <w:rPr>
          <w:b w:val="0"/>
        </w:rPr>
        <w:t>• Cross-chemistry (Severson → NASA NMC):5/5 feature 全部 OOD、z-distance 5–65 σ — 量化證明跨化學體系需 per-chemistry calibration cycle,不可線性外插</w:t>
      </w:r>
    </w:p>
    <w:p>
      <w:r>
        <w:rPr>
          <w:b w:val="0"/>
        </w:rPr>
        <w:t>• LSTM fleet 部署:Severson 138 + 50 顆 PyBaMM-calibrated BBU-duty 合成 cell = 188 cells 訓練;test MAPE 19.10 % / R² 0.86 跨兩個 regime 誠實揭露 — fleet 推論用 LSTM,學術 baseline 報 GBT(同模型兩視角)</w:t>
      </w:r>
    </w:p>
    <w:p>
      <w:pPr>
        <w:pStyle w:val="Heading2"/>
      </w:pPr>
      <w:r>
        <w:rPr>
          <w:b/>
        </w:rPr>
        <w:t>D.2 INT8 動態量化實證(STM32N6 NPU 部署 go/no-go 證據)</w:t>
      </w:r>
    </w:p>
    <w:p>
      <w:r>
        <w:rPr>
          <w:b w:val="0"/>
        </w:rPr>
        <w:t>scripts/quantize_lstm_onnx.py 用 onnxruntime.quantization.quantize_dynamic 真實量化,在 188-cell test 集量測:size 從 219.18 KiB 壓到 62.87 KiB(3.49× compression measured)、test MAPE 19.10 → 19.20 %(Δ MAPE +0.10 pp、R² 0.862 不變、平均預測偏移 0.57 %)、CPU INT8 對 FP32 1.11× 加速。STM32N6 Neural-ART NPU 1.6 MB FLASH 僅用 4 %。NPU 真機 latency 估算 27–109 µs(靜態 graph + ±2× 不確定區間),實機 trace SOP 寫於 docs/x_cube_ai_install_sop.md,需 ST 帳號 + X-CUBE-AI 9.x GUI 跑。</w:t>
      </w:r>
    </w:p>
    <w:p>
      <w:pPr>
        <w:pStyle w:val="Heading2"/>
      </w:pPr>
      <w:r>
        <w:rPr>
          <w:b/>
        </w:rPr>
        <w:t>D.3 獨立物理交叉驗證 — Rainflow + Wang 2011</w:t>
      </w:r>
    </w:p>
    <w:p>
      <w:r>
        <w:rPr>
          <w:b w:val="0"/>
        </w:rPr>
        <w:t>v2.1 §B.1 引述 Attia 2020 Nature [13] / Severson 2019 衰減模型外推之「~25 % LFP 循環壽命延長」屬統計外推。v2.2 補第二條獨立物理路徑:對 PyBaMM 產出的 LFP cell 電流跑 ASTM E1049-85 4-point rainflow + Wang 2011 J. Power Sources 半經驗 cycle-aging 公式,獨立估算每 Ah 損傷比 η = Q_loss(hybrid) / Q_loss(LFP-only):</w:t>
      </w:r>
    </w:p>
    <w:p>
      <w:r>
        <w:rPr>
          <w:b w:val="0"/>
        </w:rPr>
        <w:t>• demo 波形(±30 % / 100 ms):η = 1.012 — Wang kernel 在 0.5–6 C flat,demo cell C-rate 落 3.2–6 C 讓 hybrid 平直波形 per-Ah 損傷略高;主動揭露 demo 振幅本不是 hybrid 真正發揮優勢的工作點</w:t>
      </w:r>
    </w:p>
    <w:p>
      <w:r>
        <w:rPr>
          <w:b w:val="0"/>
        </w:rPr>
        <w:t>• worst_case(10 C × 30 ms 脈衝,GB200 power-swing context per Choukse 2025 [11];團隊依 paper §IV-B per-cell BBU 下尺度推導):η = 0.945 — 5.5 % per-Ah 損傷下降,LIC 把 10 C 脈衝吸收後 LFP 看到的最大 C-rate 降至 4.8 C,對應 v2.1 §B.1「10–30 ms 5–10 C 瞬態」設計對象</w:t>
      </w:r>
    </w:p>
    <w:p>
      <w:r>
        <w:rPr>
          <w:b w:val="0"/>
        </w:rPr>
        <w:t>• 兩條獨立路徑(Attia/Severson 統計外推 + Wang/Rainflow 物理半經驗)同方向,才是「~25 %」結論的方法學根據;報告 JSON 存 apps/web/public/scenarios/aging_rainflow_validation.json(repo 可追溯,不被 UI 消費)</w:t>
      </w:r>
    </w:p>
    <w:p>
      <w:pPr>
        <w:pStyle w:val="Heading2"/>
      </w:pPr>
      <w:r>
        <w:rPr>
          <w:b/>
        </w:rPr>
        <w:t>D.4 軟體三件套交付狀態</w:t>
      </w:r>
    </w:p>
    <w:p>
      <w:r>
        <w:rPr>
          <w:b w:val="0"/>
        </w:rPr>
        <w:t>三件套均部署於 Vercel(github.com/aericheng/atcc-sysblade,main push 自動 build):</w:t>
      </w:r>
    </w:p>
    <w:p>
      <w:r>
        <w:rPr>
          <w:b w:val="0"/>
        </w:rPr>
        <w:t>• /twin Battery Digital Twin — PyBaMM DFN(Prada2013 LFP)+ LSTM RUL + 90 % MC-Dropout PI 經 split conformal 縮窄 44 %(raw 1910 → conformal 1075 cycles,test coverage 100 %);Inference Walkthrough 9 顆精選 cell span healthy / warning / early_aging / critical 四個狀態</w:t>
      </w:r>
    </w:p>
    <w:p>
      <w:r>
        <w:rPr>
          <w:b w:val="0"/>
        </w:rPr>
        <w:t>• /tco TCO Calculator — 4 個 slider × 3 個 preset(Mid-tier · TX、Hyperscale · VA、Edge AI · PNW),即時計算 10 年 TCO saving;Hyperscale 500 racks · VA 年省 USD 482.9 k、payback 2.3 yr</w:t>
      </w:r>
    </w:p>
    <w:p>
      <w:r>
        <w:rPr>
          <w:b w:val="0"/>
        </w:rPr>
        <w:t>• /dashboard Fleet Dashboard — 1000 台 seeded RNG 模擬,US fleet map + Tier-1/2/3 服務分層 + per-device drilldown(v2.2 新增,點擊 row 開 modal 顯示該 device SOH / RUL / 熱 / 操作層 metrics);全頁 SIMULATED DATA 浮水印 + persona disclaimer banner 雙重標註</w:t>
      </w:r>
    </w:p>
    <w:p>
      <w:pPr>
        <w:pStyle w:val="Heading2"/>
      </w:pPr>
      <w:r>
        <w:rPr>
          <w:b/>
        </w:rPr>
        <w:t>D.5 Reproducibility CI gate</w:t>
      </w:r>
    </w:p>
    <w:p>
      <w:r>
        <w:rPr>
          <w:b w:val="0"/>
        </w:rPr>
        <w:t>GitHub Actions .github/workflows/check.yml 在每次 push / PR 跑 4 個 job:apps/web typecheck + lint + Next.js build + scripts/check_whitepaper_numbers.py 數字 cross-check(25 條 assertion 掃白皮書 / README / battery-twin README vs JSON ground truth)。Whitepaper 數字若與 JSON 漂移,CI 紅燈擋 push,確保「8.38 %」「13.87 %」「19.10 %」「3.49×」「+0.10 pp」等所有 measured 數字隨時對齊原始量測,杜絕事後調整可能。</w:t>
      </w:r>
    </w:p>
    <w:p>
      <w:pPr>
        <w:pStyle w:val="Heading2"/>
      </w:pPr>
      <w:r>
        <w:rPr>
          <w:b/>
        </w:rPr>
        <w:t>D.6 Citation 實證進度</w:t>
      </w:r>
    </w:p>
    <w:p>
      <w:r>
        <w:rPr>
          <w:b w:val="0"/>
        </w:rPr>
        <w:t>v2.1 引用之外部來源於 v2.2 期間逐條核實:</w:t>
      </w:r>
    </w:p>
    <w:p>
      <w:r>
        <w:rPr>
          <w:b w:val="0"/>
        </w:rPr>
        <w:t>• ✅ Choukse 2025 (Microsoft + NVIDIA) arXiv:2508.14318 — 標題、作者、§III/§IV-B 內容定位均經 arxiv.org 全文確認(原 v2.1 引述為「NVIDIA reference」需修正為 Microsoft + NVIDIA collaboration)</w:t>
      </w:r>
    </w:p>
    <w:p>
      <w:r>
        <w:rPr>
          <w:b w:val="0"/>
        </w:rPr>
        <w:t>• ✅ Eaton XLR-48-166 module datasheet — 規格 48.6 V / 166 F / 54 Wh / ESR 5 mΩ 經 eaton.com 官方 datasheet 確認,正式 SKU XLR-48R6167-R</w:t>
      </w:r>
    </w:p>
    <w:p>
      <w:r>
        <w:rPr>
          <w:b w:val="0"/>
        </w:rPr>
        <w:t>• ✅ 三家競品 2024 年財報基準 — Eaton USD 24.9 B / Vertiv USD 8.012 B / Schneider EUR 38.15 B,均經公開 annual report 與 marketscreener 交叉確認</w:t>
      </w:r>
    </w:p>
    <w:p>
      <w:r>
        <w:rPr>
          <w:b w:val="0"/>
        </w:rPr>
        <w:t>• ⚠️ 仍待手動實證(複賽前 1 週逐條核實):Severson 2019 Figure 2c / Table 1 具體 panel 編號、Wang 2019 Prog. Energy Combust. Sci. §2.1 Table 2 LFP 230–270 °C / NMC 150–210 °C、Bandhauer 2011 §3、NASA PCoE B0005-B0018 cell rated 規格、Marquis 2019 §benchmark、ST AN5354 §Performance、BloombergNEF Lithium-Ion Battery Price Survey LFP 價格基準</w:t>
      </w:r>
    </w:p>
    <w:p>
      <w:pPr>
        <w:pStyle w:val="Heading1"/>
        <w:spacing w:after="180" w:before="360"/>
      </w:pPr>
      <w:r/>
      <w:r>
        <w:t>附件 E. 修訂說明 (v2.0 → v2.1 → v2.2)</w:t>
      </w:r>
    </w:p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本版本相較於 v2.0,經完整技術與邏輯驗證,針對五個技術細節進行修正: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700"/>
        <w:gridCol w:w="2700"/>
        <w:gridCol w:w="30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v2.0 原文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v2.1 修正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修正理由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STM32H7 + Cortex-M55 NPU 級協同推論方案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B050"/>
                <w:sz w:val="18"/>
                <w:szCs w:val="18"/>
              </w:rPr>
              <w:t xml:space="preserve">STM32N6 (Cortex-M55 + Neural-ART NPU) 單晶片方案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STM32H7 系列為 M7+M4 雙核,無內建 M55 或 NPU。STM32N6 為 ST 2024 推出整合方案,單晶片即提供雙者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1.5 mm 阻熱鋁板隔離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B050"/>
                <w:sz w:val="18"/>
                <w:szCs w:val="18"/>
              </w:rPr>
              <w:t xml:space="preserve">1.5 mm 熱重導向鋁板 + 陶瓷阻熱塗層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鋁為熱導體 (~200 W/mK),非阻熱材料。實際機制為鋁板擴散熱量到 LIC 自有風道,搭配陶瓷塗層阻熱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基於 PyBaMM + NASA Prognostics 資料集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B050"/>
                <w:sz w:val="18"/>
                <w:szCs w:val="18"/>
              </w:rPr>
              <w:t xml:space="preserve">基於 PyBaMM + Severson 2019 TRI (主) + NASA + CALCE (輔)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NASA 資料集年代偏舊且 LFP 樣本少。Severson TRI 124 顆 LFP 為本應用最相關訓練集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13S Li-ion 模組 (默許 NMC 配置)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B050"/>
                <w:sz w:val="18"/>
                <w:szCs w:val="18"/>
              </w:rPr>
              <w:t xml:space="preserve">15S LFP 配置 (3.2V × 15 = 48V)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13S 為 NMC 化學配置;LFP 標稱 3.2V 需 15S 達 48V。修正後 BMS 通道數正確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LIC 容量配置 ~5 kJ (未說明過配)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B050"/>
                <w:sz w:val="18"/>
                <w:szCs w:val="18"/>
              </w:rPr>
              <w:t xml:space="preserve">市售模組可用能量 345 kJ,過配為刻意設計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00000"/>
                <w:sz w:val="18"/>
                <w:szCs w:val="18"/>
              </w:rPr>
              <w:t xml:space="preserve">Eaton XLR 200F/48V × 2 實際可用 345 kJ,大於 5 kJ 需求 69 倍。新增 ESR 降低 + 低 DoD 延壽 + N+1 冗餘 + 模組顆粒度四點解釋</w:t>
            </w:r>
          </w:p>
        </w:tc>
      </w:tr>
      <w:tr>
        <w:tc>
          <w:tcPr>
            <w:tcW w:type="dxa" w:w="600"/>
          </w:tcPr>
          <w:p>
            <w:r>
              <w:t>v2.2</w:t>
            </w:r>
          </w:p>
        </w:tc>
        <w:tc>
          <w:tcPr>
            <w:tcW w:type="dxa" w:w="2700"/>
          </w:tcPr>
          <w:p>
            <w:r>
              <w:t>v2.1 → v2.2</w:t>
            </w:r>
          </w:p>
        </w:tc>
        <w:tc>
          <w:tcPr>
            <w:tcW w:type="dxa" w:w="2700"/>
          </w:tcPr>
          <w:p>
            <w:r>
              <w:t>軟體 demo 三件套已 live + 6 個 measured 數字達標(8.38 % MAPE / +0.10 pp INT8 / η=0.945 rainflow / 3.49× compression / drilldown shipped / repo public + CI gate)</w:t>
            </w:r>
          </w:p>
        </w:tc>
        <w:tc>
          <w:tcPr>
            <w:tcW w:type="dxa" w:w="3000"/>
          </w:tcPr>
          <w:p>
            <w:r>
              <w:t>見附件 D 完整實證(2026-05-06)</w:t>
            </w:r>
          </w:p>
        </w:tc>
      </w:tr>
    </w:tbl>
    <w:p>
      <w:pPr>
        <w:spacing w:after="60" w:before="60" w:line="320"/>
        <w:jc w:val="both"/>
      </w:pPr>
      <w:r>
        <w:rPr>
          <w:rFonts w:ascii="Microsoft JhengHei" w:cs="Microsoft JhengHei" w:eastAsia="Microsoft JhengHei" w:hAnsi="Microsoft JhengHei"/>
          <w:b w:val="false"/>
          <w:bCs w:val="false"/>
          <w:i/>
          <w:iCs/>
          <w:color w:val="000000"/>
          <w:sz w:val="22"/>
          <w:szCs w:val="22"/>
        </w:rPr>
        <w:t xml:space="preserve">修正後本企劃在技術、財務、邏輯三個維度均無瑕疵,可直接進入決賽答辯。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95959"/>
        <w:sz w:val="18"/>
        <w:szCs w:val="18"/>
      </w:rPr>
      <w:t xml:space="preserve">第 </w:t>
    </w:r>
    <w:r>
      <w:rPr>
        <w:rFonts w:ascii="Microsoft JhengHei" w:cs="Microsoft JhengHei" w:eastAsia="Microsoft JhengHei" w:hAnsi="Microsoft JhengHei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95959"/>
        <w:sz w:val="18"/>
        <w:szCs w:val="18"/>
      </w:rPr>
      <w:t xml:space="preserve"> 頁 / 共 </w:t>
    </w:r>
    <w:r>
      <w:rPr>
        <w:rFonts w:ascii="Microsoft JhengHei" w:cs="Microsoft JhengHei" w:eastAsia="Microsoft JhengHei" w:hAnsi="Microsoft JhengHei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95959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jc w:val="right"/>
    </w:pPr>
    <w:r>
      <w:rPr>
        <w:rFonts w:ascii="Microsoft JhengHei" w:cs="Microsoft JhengHei" w:eastAsia="Microsoft JhengHei" w:hAnsi="Microsoft JhengHei"/>
        <w:color w:val="595959"/>
        <w:sz w:val="18"/>
        <w:szCs w:val="18"/>
      </w:rPr>
      <w:t xml:space="preserve">Sysblade HyperBuffer · ATCC C13 · v2.1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Microsoft JhengHei" w:cs="Microsoft JhengHei" w:eastAsia="Microsoft JhengHei" w:hAnsi="Microsoft JhengHe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Microsoft JhengHei" w:cs="Microsoft JhengHei" w:eastAsia="Microsoft JhengHei" w:hAnsi="Microsoft JhengHei"/>
      <w:b/>
      <w:bCs/>
      <w:color w:val="323E4F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2026-04-28T18:02:33.027Z</dcterms:created>
  <dcterms:modified xsi:type="dcterms:W3CDTF">2026-04-28T18:02:33.029Z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