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E9B" w:rsidRPr="008B06E8" w:rsidRDefault="00700860" w:rsidP="008B06E8">
      <w:pPr>
        <w:pStyle w:val="Heading1"/>
        <w:rPr>
          <w:sz w:val="36"/>
          <w:szCs w:val="36"/>
        </w:rPr>
      </w:pPr>
      <w:bookmarkStart w:id="0" w:name="_Toc336808267"/>
      <w:r>
        <w:rPr>
          <w:sz w:val="36"/>
          <w:szCs w:val="36"/>
        </w:rPr>
        <w:t>Incident Response Plan</w:t>
      </w:r>
      <w:bookmarkEnd w:id="0"/>
    </w:p>
    <w:p w:rsidR="00982E9B" w:rsidRDefault="00C43434" w:rsidP="00982E9B">
      <w:pPr>
        <w:pStyle w:val="Heading3"/>
      </w:pPr>
      <w:bookmarkStart w:id="1" w:name="_Toc336804815"/>
      <w:bookmarkStart w:id="2" w:name="_Toc336806203"/>
      <w:bookmarkStart w:id="3" w:name="_Toc336808268"/>
      <w:proofErr w:type="gramStart"/>
      <w:r>
        <w:t xml:space="preserve">1  </w:t>
      </w:r>
      <w:r w:rsidR="008B06E8">
        <w:t>I</w:t>
      </w:r>
      <w:r w:rsidR="00982E9B">
        <w:t>ntroduction</w:t>
      </w:r>
      <w:proofErr w:type="gramEnd"/>
      <w:r w:rsidR="00982E9B">
        <w:t xml:space="preserve"> &amp; </w:t>
      </w:r>
      <w:r w:rsidR="008B06E8">
        <w:t>O</w:t>
      </w:r>
      <w:r w:rsidR="00982E9B">
        <w:t>verview</w:t>
      </w:r>
      <w:bookmarkEnd w:id="1"/>
      <w:bookmarkEnd w:id="2"/>
      <w:bookmarkEnd w:id="3"/>
    </w:p>
    <w:p w:rsidR="00837228" w:rsidRPr="00783F45" w:rsidRDefault="00700860">
      <w:pPr>
        <w:rPr>
          <w:sz w:val="22"/>
          <w:szCs w:val="22"/>
        </w:rPr>
      </w:pPr>
      <w:r>
        <w:rPr>
          <w:sz w:val="22"/>
          <w:szCs w:val="22"/>
        </w:rPr>
        <w:t>This document outlines the specifics for the company Incident Response Plan. It contains instructions and guidelines on how to handle security related issues when they arrive. Employees should be aware of the following procedures and act appropriately if and when a security incident occurs.</w:t>
      </w:r>
    </w:p>
    <w:p w:rsidR="006E75F9" w:rsidRDefault="00C43434" w:rsidP="00783F45">
      <w:pPr>
        <w:pStyle w:val="Heading2"/>
      </w:pPr>
      <w:proofErr w:type="gramStart"/>
      <w:r>
        <w:t xml:space="preserve">2  </w:t>
      </w:r>
      <w:r w:rsidR="00700860">
        <w:t>Incident</w:t>
      </w:r>
      <w:proofErr w:type="gramEnd"/>
      <w:r w:rsidR="00700860">
        <w:t xml:space="preserve"> Response Procedures</w:t>
      </w:r>
    </w:p>
    <w:p w:rsidR="00700860" w:rsidRDefault="00700860" w:rsidP="00700860">
      <w:r>
        <w:t>Incident response is broken down into five (5) main categories which include the following:</w:t>
      </w:r>
    </w:p>
    <w:p w:rsidR="00700860" w:rsidRPr="00112377" w:rsidRDefault="00700860" w:rsidP="00112377">
      <w:pPr>
        <w:pStyle w:val="ListParagraph"/>
        <w:numPr>
          <w:ilvl w:val="0"/>
          <w:numId w:val="5"/>
        </w:numPr>
        <w:spacing w:before="200" w:after="200" w:line="276" w:lineRule="auto"/>
        <w:rPr>
          <w:sz w:val="22"/>
          <w:szCs w:val="22"/>
        </w:rPr>
      </w:pPr>
      <w:r w:rsidRPr="00112377">
        <w:rPr>
          <w:sz w:val="22"/>
          <w:szCs w:val="22"/>
        </w:rPr>
        <w:t>Preparing for an incident</w:t>
      </w:r>
    </w:p>
    <w:p w:rsidR="00700860" w:rsidRPr="00FD212D" w:rsidRDefault="00700860" w:rsidP="00FD212D">
      <w:pPr>
        <w:pStyle w:val="Style1"/>
      </w:pPr>
      <w:r w:rsidRPr="00FD212D">
        <w:t>Detecting an incident</w:t>
      </w:r>
      <w:bookmarkStart w:id="4" w:name="_GoBack"/>
      <w:bookmarkEnd w:id="4"/>
    </w:p>
    <w:p w:rsidR="00700860" w:rsidRPr="00112377" w:rsidRDefault="00700860" w:rsidP="00112377">
      <w:pPr>
        <w:pStyle w:val="ListParagraph"/>
        <w:numPr>
          <w:ilvl w:val="0"/>
          <w:numId w:val="5"/>
        </w:numPr>
        <w:spacing w:before="200" w:after="200" w:line="276" w:lineRule="auto"/>
        <w:rPr>
          <w:sz w:val="22"/>
          <w:szCs w:val="22"/>
        </w:rPr>
      </w:pPr>
      <w:r w:rsidRPr="00112377">
        <w:rPr>
          <w:sz w:val="22"/>
          <w:szCs w:val="22"/>
        </w:rPr>
        <w:t>Responding to and containing an incident</w:t>
      </w:r>
    </w:p>
    <w:p w:rsidR="00700860" w:rsidRPr="00112377" w:rsidRDefault="00700860" w:rsidP="00112377">
      <w:pPr>
        <w:pStyle w:val="ListParagraph"/>
        <w:numPr>
          <w:ilvl w:val="0"/>
          <w:numId w:val="5"/>
        </w:numPr>
        <w:spacing w:before="200" w:after="200" w:line="276" w:lineRule="auto"/>
        <w:rPr>
          <w:sz w:val="22"/>
          <w:szCs w:val="22"/>
        </w:rPr>
      </w:pPr>
      <w:r w:rsidRPr="00112377">
        <w:rPr>
          <w:sz w:val="22"/>
          <w:szCs w:val="22"/>
        </w:rPr>
        <w:t>Recovery from an incident</w:t>
      </w:r>
    </w:p>
    <w:p w:rsidR="00700860" w:rsidRPr="00112377" w:rsidRDefault="00700860" w:rsidP="00112377">
      <w:pPr>
        <w:pStyle w:val="ListParagraph"/>
        <w:numPr>
          <w:ilvl w:val="0"/>
          <w:numId w:val="5"/>
        </w:numPr>
        <w:spacing w:before="200" w:after="200" w:line="276" w:lineRule="auto"/>
        <w:rPr>
          <w:sz w:val="22"/>
          <w:szCs w:val="22"/>
        </w:rPr>
      </w:pPr>
      <w:r w:rsidRPr="00112377">
        <w:rPr>
          <w:sz w:val="22"/>
          <w:szCs w:val="22"/>
        </w:rPr>
        <w:t>Post-incident activities and awareness</w:t>
      </w:r>
    </w:p>
    <w:p w:rsidR="00700860" w:rsidRPr="004F7516" w:rsidRDefault="00C43434" w:rsidP="00700860">
      <w:pPr>
        <w:pStyle w:val="Heading3"/>
      </w:pPr>
      <w:proofErr w:type="gramStart"/>
      <w:r>
        <w:t xml:space="preserve">3  </w:t>
      </w:r>
      <w:r w:rsidR="00700860" w:rsidRPr="004F7516">
        <w:t>Preparing</w:t>
      </w:r>
      <w:proofErr w:type="gramEnd"/>
      <w:r w:rsidR="00700860" w:rsidRPr="004F7516">
        <w:t xml:space="preserve"> for an Incident</w:t>
      </w:r>
    </w:p>
    <w:p w:rsidR="00700860" w:rsidRPr="00112377" w:rsidRDefault="00700860" w:rsidP="00700860">
      <w:pPr>
        <w:contextualSpacing/>
        <w:rPr>
          <w:rFonts w:cs="Times New Roman"/>
          <w:sz w:val="22"/>
          <w:szCs w:val="22"/>
        </w:rPr>
      </w:pPr>
      <w:r w:rsidRPr="00112377">
        <w:rPr>
          <w:rFonts w:cs="Times New Roman"/>
          <w:sz w:val="22"/>
          <w:szCs w:val="22"/>
        </w:rPr>
        <w:t>All employees should be aware of common security threats and computer incidents that may potentially compromise the organization’s network infrastructure, cause harm to other related systems or pose a significant financial, operational or business threat to the organization as a whole. This plan should be viewed as a set of procedures for examining a computer security incident. There are numerous security threats and computer incidents that are potentially detrimental to any organization, such as the following:</w:t>
      </w:r>
    </w:p>
    <w:p w:rsidR="00700860" w:rsidRPr="00112377" w:rsidRDefault="00700860" w:rsidP="00112377">
      <w:pPr>
        <w:pStyle w:val="ListParagraph"/>
        <w:numPr>
          <w:ilvl w:val="0"/>
          <w:numId w:val="6"/>
        </w:numPr>
        <w:spacing w:before="200" w:after="200" w:line="276" w:lineRule="auto"/>
        <w:rPr>
          <w:sz w:val="22"/>
          <w:szCs w:val="22"/>
        </w:rPr>
      </w:pPr>
      <w:r w:rsidRPr="00112377">
        <w:rPr>
          <w:sz w:val="22"/>
          <w:szCs w:val="22"/>
        </w:rPr>
        <w:t xml:space="preserve">Malicious or careless employees </w:t>
      </w:r>
    </w:p>
    <w:p w:rsidR="00700860" w:rsidRPr="00112377" w:rsidRDefault="00700860" w:rsidP="00112377">
      <w:pPr>
        <w:pStyle w:val="ListParagraph"/>
        <w:numPr>
          <w:ilvl w:val="0"/>
          <w:numId w:val="6"/>
        </w:numPr>
        <w:spacing w:before="200" w:after="200" w:line="276" w:lineRule="auto"/>
        <w:rPr>
          <w:sz w:val="22"/>
          <w:szCs w:val="22"/>
        </w:rPr>
      </w:pPr>
      <w:r w:rsidRPr="00112377">
        <w:rPr>
          <w:sz w:val="22"/>
          <w:szCs w:val="22"/>
        </w:rPr>
        <w:t xml:space="preserve">Malware (computer virus, worm, </w:t>
      </w:r>
      <w:r w:rsidR="001E7FBF" w:rsidRPr="00112377">
        <w:rPr>
          <w:sz w:val="22"/>
          <w:szCs w:val="22"/>
        </w:rPr>
        <w:t>Trojan</w:t>
      </w:r>
      <w:r w:rsidRPr="00112377">
        <w:rPr>
          <w:sz w:val="22"/>
          <w:szCs w:val="22"/>
        </w:rPr>
        <w:t xml:space="preserve"> horse, rootkit, spyware</w:t>
      </w:r>
      <w:r w:rsidR="00CF125D" w:rsidRPr="00112377">
        <w:rPr>
          <w:sz w:val="22"/>
          <w:szCs w:val="22"/>
        </w:rPr>
        <w:t xml:space="preserve">, etc.) </w:t>
      </w:r>
    </w:p>
    <w:p w:rsidR="00700860" w:rsidRPr="00112377" w:rsidRDefault="00700860" w:rsidP="00112377">
      <w:pPr>
        <w:pStyle w:val="ListParagraph"/>
        <w:numPr>
          <w:ilvl w:val="0"/>
          <w:numId w:val="6"/>
        </w:numPr>
        <w:spacing w:before="200" w:after="200" w:line="276" w:lineRule="auto"/>
        <w:rPr>
          <w:sz w:val="22"/>
          <w:szCs w:val="22"/>
        </w:rPr>
      </w:pPr>
      <w:r w:rsidRPr="00112377">
        <w:rPr>
          <w:sz w:val="22"/>
          <w:szCs w:val="22"/>
        </w:rPr>
        <w:t>Social engineering</w:t>
      </w:r>
    </w:p>
    <w:p w:rsidR="00700860" w:rsidRPr="00112377" w:rsidRDefault="00700860" w:rsidP="00112377">
      <w:pPr>
        <w:pStyle w:val="ListParagraph"/>
        <w:numPr>
          <w:ilvl w:val="0"/>
          <w:numId w:val="6"/>
        </w:numPr>
        <w:spacing w:before="200" w:after="200" w:line="276" w:lineRule="auto"/>
        <w:rPr>
          <w:sz w:val="22"/>
          <w:szCs w:val="22"/>
        </w:rPr>
      </w:pPr>
      <w:r w:rsidRPr="00112377">
        <w:rPr>
          <w:sz w:val="22"/>
          <w:szCs w:val="22"/>
        </w:rPr>
        <w:t>Spam</w:t>
      </w:r>
    </w:p>
    <w:p w:rsidR="00700860" w:rsidRPr="00112377" w:rsidRDefault="00700860" w:rsidP="00112377">
      <w:pPr>
        <w:pStyle w:val="ListParagraph"/>
        <w:numPr>
          <w:ilvl w:val="0"/>
          <w:numId w:val="6"/>
        </w:numPr>
        <w:spacing w:before="200" w:after="200" w:line="276" w:lineRule="auto"/>
        <w:rPr>
          <w:sz w:val="22"/>
          <w:szCs w:val="22"/>
        </w:rPr>
      </w:pPr>
      <w:r w:rsidRPr="00112377">
        <w:rPr>
          <w:sz w:val="22"/>
          <w:szCs w:val="22"/>
        </w:rPr>
        <w:t>Spoofing and phishing</w:t>
      </w:r>
    </w:p>
    <w:p w:rsidR="00700860" w:rsidRPr="00112377" w:rsidRDefault="00700860" w:rsidP="00112377">
      <w:pPr>
        <w:pStyle w:val="ListParagraph"/>
        <w:numPr>
          <w:ilvl w:val="0"/>
          <w:numId w:val="6"/>
        </w:numPr>
        <w:spacing w:before="200" w:after="200" w:line="276" w:lineRule="auto"/>
        <w:rPr>
          <w:sz w:val="22"/>
          <w:szCs w:val="22"/>
        </w:rPr>
      </w:pPr>
      <w:r w:rsidRPr="00112377">
        <w:rPr>
          <w:sz w:val="22"/>
          <w:szCs w:val="22"/>
        </w:rPr>
        <w:t>Denial of service</w:t>
      </w:r>
    </w:p>
    <w:p w:rsidR="00700860" w:rsidRPr="00112377" w:rsidRDefault="00700860" w:rsidP="00112377">
      <w:pPr>
        <w:pStyle w:val="ListParagraph"/>
        <w:numPr>
          <w:ilvl w:val="0"/>
          <w:numId w:val="6"/>
        </w:numPr>
        <w:spacing w:before="200" w:after="200" w:line="276" w:lineRule="auto"/>
        <w:rPr>
          <w:sz w:val="22"/>
          <w:szCs w:val="22"/>
        </w:rPr>
      </w:pPr>
      <w:r w:rsidRPr="00112377">
        <w:rPr>
          <w:sz w:val="22"/>
          <w:szCs w:val="22"/>
        </w:rPr>
        <w:t>Distributed denial of service</w:t>
      </w:r>
    </w:p>
    <w:p w:rsidR="00700860" w:rsidRPr="00112377" w:rsidRDefault="00700860" w:rsidP="00112377">
      <w:pPr>
        <w:pStyle w:val="ListParagraph"/>
        <w:numPr>
          <w:ilvl w:val="0"/>
          <w:numId w:val="6"/>
        </w:numPr>
        <w:spacing w:before="200" w:after="200" w:line="276" w:lineRule="auto"/>
        <w:rPr>
          <w:sz w:val="22"/>
          <w:szCs w:val="22"/>
        </w:rPr>
      </w:pPr>
      <w:r w:rsidRPr="00112377">
        <w:rPr>
          <w:sz w:val="22"/>
          <w:szCs w:val="22"/>
        </w:rPr>
        <w:t>Man-in-the-middle attacks</w:t>
      </w:r>
    </w:p>
    <w:p w:rsidR="00700860" w:rsidRPr="00112377" w:rsidRDefault="00700860" w:rsidP="00112377">
      <w:pPr>
        <w:pStyle w:val="ListParagraph"/>
        <w:numPr>
          <w:ilvl w:val="0"/>
          <w:numId w:val="6"/>
        </w:numPr>
        <w:spacing w:before="200" w:after="200" w:line="276" w:lineRule="auto"/>
        <w:rPr>
          <w:sz w:val="22"/>
          <w:szCs w:val="22"/>
        </w:rPr>
      </w:pPr>
      <w:r w:rsidRPr="00112377">
        <w:rPr>
          <w:sz w:val="22"/>
          <w:szCs w:val="22"/>
        </w:rPr>
        <w:t>Additional network attacks, including hacking and other common attack vectors</w:t>
      </w:r>
    </w:p>
    <w:p w:rsidR="00700860" w:rsidRPr="00112377" w:rsidRDefault="00700860" w:rsidP="00112377">
      <w:pPr>
        <w:pStyle w:val="ListParagraph"/>
        <w:numPr>
          <w:ilvl w:val="0"/>
          <w:numId w:val="6"/>
        </w:numPr>
        <w:spacing w:before="200" w:after="200" w:line="276" w:lineRule="auto"/>
        <w:rPr>
          <w:sz w:val="22"/>
          <w:szCs w:val="22"/>
        </w:rPr>
      </w:pPr>
      <w:r w:rsidRPr="00112377">
        <w:rPr>
          <w:sz w:val="22"/>
          <w:szCs w:val="22"/>
        </w:rPr>
        <w:t>Physical and environmental conditions resulting in threats to the organization’s system resources</w:t>
      </w:r>
    </w:p>
    <w:p w:rsidR="00700860" w:rsidRPr="009D4360" w:rsidRDefault="005E54FC" w:rsidP="00700860">
      <w:pPr>
        <w:rPr>
          <w:rFonts w:cs="Times New Roman"/>
          <w:i/>
          <w:sz w:val="22"/>
          <w:szCs w:val="22"/>
        </w:rPr>
      </w:pPr>
      <w:proofErr w:type="gramStart"/>
      <w:r>
        <w:rPr>
          <w:rFonts w:cs="Times New Roman"/>
          <w:sz w:val="22"/>
          <w:szCs w:val="22"/>
        </w:rPr>
        <w:t xml:space="preserve">3.1  </w:t>
      </w:r>
      <w:r w:rsidR="00700860" w:rsidRPr="00112377">
        <w:rPr>
          <w:rFonts w:cs="Times New Roman"/>
          <w:sz w:val="22"/>
          <w:szCs w:val="22"/>
        </w:rPr>
        <w:t>Adequately</w:t>
      </w:r>
      <w:proofErr w:type="gramEnd"/>
      <w:r w:rsidR="00700860" w:rsidRPr="00112377">
        <w:rPr>
          <w:rFonts w:cs="Times New Roman"/>
          <w:sz w:val="22"/>
          <w:szCs w:val="22"/>
        </w:rPr>
        <w:t xml:space="preserve"> preparing for an incident requires security personnel to be aware of common threats to systems and to implement safeguards and control mechanisms that protect system resources within</w:t>
      </w:r>
      <w:r w:rsidR="00CF125D" w:rsidRPr="00112377">
        <w:rPr>
          <w:rFonts w:cs="Times New Roman"/>
          <w:sz w:val="22"/>
          <w:szCs w:val="22"/>
        </w:rPr>
        <w:t xml:space="preserve"> the company</w:t>
      </w:r>
      <w:r w:rsidR="00700860" w:rsidRPr="009D4360">
        <w:rPr>
          <w:rFonts w:cs="Times New Roman"/>
          <w:sz w:val="22"/>
          <w:szCs w:val="22"/>
        </w:rPr>
        <w:t>.</w:t>
      </w:r>
      <w:r w:rsidR="00C108FF" w:rsidRPr="009D4360">
        <w:rPr>
          <w:rFonts w:cs="Times New Roman"/>
          <w:sz w:val="22"/>
          <w:szCs w:val="22"/>
        </w:rPr>
        <w:t xml:space="preserve">  Testing the IR plan is done annually (see </w:t>
      </w:r>
      <w:r w:rsidR="007D1DDE" w:rsidRPr="009D4360">
        <w:rPr>
          <w:rFonts w:cs="Times New Roman"/>
          <w:i/>
          <w:sz w:val="22"/>
          <w:szCs w:val="22"/>
        </w:rPr>
        <w:t>Incident Response Test and Exercise Procedure).</w:t>
      </w:r>
    </w:p>
    <w:p w:rsidR="00CF125D" w:rsidRPr="009D4360" w:rsidRDefault="00CF125D" w:rsidP="00700860">
      <w:pPr>
        <w:rPr>
          <w:rFonts w:cs="Times New Roman"/>
          <w:sz w:val="22"/>
          <w:szCs w:val="22"/>
        </w:rPr>
      </w:pPr>
    </w:p>
    <w:p w:rsidR="00700860" w:rsidRPr="00112377" w:rsidRDefault="005E54FC" w:rsidP="00700860">
      <w:pPr>
        <w:rPr>
          <w:rFonts w:cs="Times New Roman"/>
          <w:sz w:val="22"/>
          <w:szCs w:val="22"/>
        </w:rPr>
      </w:pPr>
      <w:proofErr w:type="gramStart"/>
      <w:r>
        <w:rPr>
          <w:rFonts w:cs="Times New Roman"/>
          <w:sz w:val="22"/>
          <w:szCs w:val="22"/>
        </w:rPr>
        <w:t xml:space="preserve">3.2  </w:t>
      </w:r>
      <w:r w:rsidR="00700860" w:rsidRPr="00112377">
        <w:rPr>
          <w:rFonts w:cs="Times New Roman"/>
          <w:sz w:val="22"/>
          <w:szCs w:val="22"/>
        </w:rPr>
        <w:t>A</w:t>
      </w:r>
      <w:proofErr w:type="gramEnd"/>
      <w:r w:rsidR="00700860" w:rsidRPr="00112377">
        <w:rPr>
          <w:rFonts w:cs="Times New Roman"/>
          <w:sz w:val="22"/>
          <w:szCs w:val="22"/>
        </w:rPr>
        <w:t xml:space="preserve"> vital component of preparing for an incident is ensuring that all personnel have relevant security training pertinent to their roles and responsibilities</w:t>
      </w:r>
      <w:r w:rsidR="00CF125D" w:rsidRPr="00112377">
        <w:rPr>
          <w:rFonts w:cs="Times New Roman"/>
          <w:sz w:val="22"/>
          <w:szCs w:val="22"/>
        </w:rPr>
        <w:t>.</w:t>
      </w:r>
      <w:r w:rsidR="00700860" w:rsidRPr="00112377">
        <w:rPr>
          <w:rFonts w:cs="Times New Roman"/>
          <w:sz w:val="22"/>
          <w:szCs w:val="22"/>
        </w:rPr>
        <w:t xml:space="preserve"> Additionally, all system components and other </w:t>
      </w:r>
      <w:r w:rsidR="00CF125D" w:rsidRPr="00112377">
        <w:rPr>
          <w:rFonts w:cs="Times New Roman"/>
          <w:sz w:val="22"/>
          <w:szCs w:val="22"/>
        </w:rPr>
        <w:t>IT</w:t>
      </w:r>
      <w:r w:rsidR="00700860" w:rsidRPr="00112377">
        <w:rPr>
          <w:rFonts w:cs="Times New Roman"/>
          <w:sz w:val="22"/>
          <w:szCs w:val="22"/>
        </w:rPr>
        <w:t xml:space="preserve"> </w:t>
      </w:r>
      <w:r w:rsidR="00700860" w:rsidRPr="00112377">
        <w:rPr>
          <w:rFonts w:cs="Times New Roman"/>
          <w:sz w:val="22"/>
          <w:szCs w:val="22"/>
        </w:rPr>
        <w:lastRenderedPageBreak/>
        <w:t>resources deemed critical must be securely hardened with best of breed hardening and configurations standards at all times. Sources used may include, but are not limited to the following:</w:t>
      </w:r>
    </w:p>
    <w:p w:rsidR="00700860" w:rsidRPr="00112377" w:rsidRDefault="00700860" w:rsidP="00112377">
      <w:pPr>
        <w:pStyle w:val="ListParagraph"/>
        <w:numPr>
          <w:ilvl w:val="0"/>
          <w:numId w:val="7"/>
        </w:numPr>
        <w:spacing w:before="200" w:after="200" w:line="276" w:lineRule="auto"/>
        <w:rPr>
          <w:sz w:val="22"/>
          <w:szCs w:val="22"/>
        </w:rPr>
      </w:pPr>
      <w:r w:rsidRPr="00112377">
        <w:rPr>
          <w:sz w:val="22"/>
          <w:szCs w:val="22"/>
        </w:rPr>
        <w:t>NIST  (</w:t>
      </w:r>
      <w:hyperlink r:id="rId7" w:history="1">
        <w:r w:rsidR="00975617" w:rsidRPr="00975617">
          <w:rPr>
            <w:sz w:val="22"/>
            <w:szCs w:val="22"/>
          </w:rPr>
          <w:t>http://www.nist.gov</w:t>
        </w:r>
      </w:hyperlink>
      <w:r w:rsidRPr="00975617">
        <w:rPr>
          <w:sz w:val="22"/>
          <w:szCs w:val="22"/>
        </w:rPr>
        <w:t>)</w:t>
      </w:r>
    </w:p>
    <w:p w:rsidR="00700860" w:rsidRPr="00112377" w:rsidRDefault="00700860" w:rsidP="00112377">
      <w:pPr>
        <w:pStyle w:val="ListParagraph"/>
        <w:numPr>
          <w:ilvl w:val="0"/>
          <w:numId w:val="7"/>
        </w:numPr>
        <w:spacing w:before="200" w:after="200" w:line="276" w:lineRule="auto"/>
        <w:rPr>
          <w:sz w:val="22"/>
          <w:szCs w:val="22"/>
        </w:rPr>
      </w:pPr>
      <w:r w:rsidRPr="00112377">
        <w:rPr>
          <w:sz w:val="22"/>
          <w:szCs w:val="22"/>
        </w:rPr>
        <w:t>SANS (</w:t>
      </w:r>
      <w:hyperlink r:id="rId8" w:history="1">
        <w:r w:rsidRPr="00112377">
          <w:rPr>
            <w:sz w:val="22"/>
            <w:szCs w:val="22"/>
          </w:rPr>
          <w:t>http://www.sans.org</w:t>
        </w:r>
      </w:hyperlink>
      <w:r w:rsidRPr="00112377">
        <w:rPr>
          <w:sz w:val="22"/>
          <w:szCs w:val="22"/>
        </w:rPr>
        <w:t>)</w:t>
      </w:r>
    </w:p>
    <w:p w:rsidR="00700860" w:rsidRPr="00112377" w:rsidRDefault="00700860" w:rsidP="00112377">
      <w:pPr>
        <w:pStyle w:val="ListParagraph"/>
        <w:numPr>
          <w:ilvl w:val="0"/>
          <w:numId w:val="7"/>
        </w:numPr>
        <w:spacing w:before="200" w:after="200" w:line="276" w:lineRule="auto"/>
        <w:rPr>
          <w:sz w:val="22"/>
          <w:szCs w:val="22"/>
        </w:rPr>
      </w:pPr>
      <w:r w:rsidRPr="00112377">
        <w:rPr>
          <w:sz w:val="22"/>
          <w:szCs w:val="22"/>
        </w:rPr>
        <w:t>CERT (</w:t>
      </w:r>
      <w:hyperlink r:id="rId9" w:history="1">
        <w:r w:rsidRPr="00112377">
          <w:rPr>
            <w:sz w:val="22"/>
            <w:szCs w:val="22"/>
          </w:rPr>
          <w:t>http://www.cisecurity.org</w:t>
        </w:r>
      </w:hyperlink>
      <w:r w:rsidRPr="00112377">
        <w:rPr>
          <w:sz w:val="22"/>
          <w:szCs w:val="22"/>
        </w:rPr>
        <w:t>)</w:t>
      </w:r>
    </w:p>
    <w:p w:rsidR="00700860" w:rsidRPr="00112377" w:rsidRDefault="00700860" w:rsidP="00112377">
      <w:pPr>
        <w:pStyle w:val="ListParagraph"/>
        <w:numPr>
          <w:ilvl w:val="0"/>
          <w:numId w:val="7"/>
        </w:numPr>
        <w:spacing w:before="200" w:after="200" w:line="276" w:lineRule="auto"/>
        <w:rPr>
          <w:sz w:val="22"/>
          <w:szCs w:val="22"/>
        </w:rPr>
      </w:pPr>
      <w:r w:rsidRPr="00112377">
        <w:rPr>
          <w:sz w:val="22"/>
          <w:szCs w:val="22"/>
        </w:rPr>
        <w:t>ISACA (</w:t>
      </w:r>
      <w:hyperlink r:id="rId10" w:history="1">
        <w:r w:rsidRPr="00112377">
          <w:rPr>
            <w:sz w:val="22"/>
            <w:szCs w:val="22"/>
          </w:rPr>
          <w:t>http://www.isaca.org</w:t>
        </w:r>
      </w:hyperlink>
      <w:r w:rsidRPr="00112377">
        <w:rPr>
          <w:sz w:val="22"/>
          <w:szCs w:val="22"/>
        </w:rPr>
        <w:t>)</w:t>
      </w:r>
    </w:p>
    <w:p w:rsidR="00700860" w:rsidRPr="00112377" w:rsidRDefault="00700860" w:rsidP="00112377">
      <w:pPr>
        <w:pStyle w:val="ListParagraph"/>
        <w:numPr>
          <w:ilvl w:val="0"/>
          <w:numId w:val="7"/>
        </w:numPr>
        <w:spacing w:before="200" w:after="200" w:line="276" w:lineRule="auto"/>
        <w:rPr>
          <w:sz w:val="22"/>
          <w:szCs w:val="22"/>
        </w:rPr>
      </w:pPr>
      <w:r w:rsidRPr="00112377">
        <w:rPr>
          <w:sz w:val="22"/>
          <w:szCs w:val="22"/>
        </w:rPr>
        <w:t>BITS &amp; Shared Assessments (</w:t>
      </w:r>
      <w:hyperlink r:id="rId11" w:history="1">
        <w:r w:rsidRPr="00112377">
          <w:rPr>
            <w:sz w:val="22"/>
            <w:szCs w:val="22"/>
          </w:rPr>
          <w:t>http://www.sharedassessments.org</w:t>
        </w:r>
      </w:hyperlink>
      <w:r w:rsidRPr="00112377">
        <w:rPr>
          <w:sz w:val="22"/>
          <w:szCs w:val="22"/>
        </w:rPr>
        <w:t>)</w:t>
      </w:r>
    </w:p>
    <w:p w:rsidR="00CF125D" w:rsidRPr="00112377" w:rsidRDefault="005E54FC" w:rsidP="00700860">
      <w:pPr>
        <w:rPr>
          <w:rFonts w:cs="Times New Roman"/>
          <w:sz w:val="22"/>
          <w:szCs w:val="22"/>
        </w:rPr>
      </w:pPr>
      <w:proofErr w:type="gramStart"/>
      <w:r>
        <w:rPr>
          <w:rFonts w:cs="Times New Roman"/>
          <w:sz w:val="22"/>
          <w:szCs w:val="22"/>
        </w:rPr>
        <w:t xml:space="preserve">3.3  </w:t>
      </w:r>
      <w:r w:rsidR="00700860" w:rsidRPr="00112377">
        <w:rPr>
          <w:rFonts w:cs="Times New Roman"/>
          <w:sz w:val="22"/>
          <w:szCs w:val="22"/>
        </w:rPr>
        <w:t>The</w:t>
      </w:r>
      <w:proofErr w:type="gramEnd"/>
      <w:r w:rsidR="00700860" w:rsidRPr="00112377">
        <w:rPr>
          <w:rFonts w:cs="Times New Roman"/>
          <w:sz w:val="22"/>
          <w:szCs w:val="22"/>
        </w:rPr>
        <w:t xml:space="preserve"> numerous polic</w:t>
      </w:r>
      <w:r w:rsidR="00CF125D" w:rsidRPr="00112377">
        <w:rPr>
          <w:rFonts w:cs="Times New Roman"/>
          <w:sz w:val="22"/>
          <w:szCs w:val="22"/>
        </w:rPr>
        <w:t>ies</w:t>
      </w:r>
      <w:r w:rsidR="00700860" w:rsidRPr="00112377">
        <w:rPr>
          <w:rFonts w:cs="Times New Roman"/>
          <w:sz w:val="22"/>
          <w:szCs w:val="22"/>
        </w:rPr>
        <w:t xml:space="preserve"> and procedure</w:t>
      </w:r>
      <w:r w:rsidR="00CF125D" w:rsidRPr="00112377">
        <w:rPr>
          <w:rFonts w:cs="Times New Roman"/>
          <w:sz w:val="22"/>
          <w:szCs w:val="22"/>
        </w:rPr>
        <w:t>s</w:t>
      </w:r>
      <w:r w:rsidR="00700860" w:rsidRPr="00112377">
        <w:rPr>
          <w:rFonts w:cs="Times New Roman"/>
          <w:sz w:val="22"/>
          <w:szCs w:val="22"/>
        </w:rPr>
        <w:t xml:space="preserve"> outlined within th</w:t>
      </w:r>
      <w:r w:rsidR="00CF125D" w:rsidRPr="00112377">
        <w:rPr>
          <w:rFonts w:cs="Times New Roman"/>
          <w:sz w:val="22"/>
          <w:szCs w:val="22"/>
        </w:rPr>
        <w:t xml:space="preserve">e </w:t>
      </w:r>
      <w:r w:rsidR="00CF125D" w:rsidRPr="00112377">
        <w:rPr>
          <w:rFonts w:cs="Times New Roman"/>
          <w:i/>
          <w:sz w:val="22"/>
          <w:szCs w:val="22"/>
        </w:rPr>
        <w:t>PCI Information Security Policy</w:t>
      </w:r>
      <w:r w:rsidR="00700860" w:rsidRPr="00112377">
        <w:rPr>
          <w:rFonts w:cs="Times New Roman"/>
          <w:sz w:val="22"/>
          <w:szCs w:val="22"/>
        </w:rPr>
        <w:t xml:space="preserve"> document serve as an excellent resource for ensuring adequate safeguards are in place for these very systems and critical </w:t>
      </w:r>
      <w:r w:rsidR="00CF125D" w:rsidRPr="00112377">
        <w:rPr>
          <w:rFonts w:cs="Times New Roman"/>
          <w:sz w:val="22"/>
          <w:szCs w:val="22"/>
        </w:rPr>
        <w:t>IT</w:t>
      </w:r>
      <w:r w:rsidR="00700860" w:rsidRPr="00112377">
        <w:rPr>
          <w:rFonts w:cs="Times New Roman"/>
          <w:sz w:val="22"/>
          <w:szCs w:val="22"/>
        </w:rPr>
        <w:t xml:space="preserve"> resources.  Specifically, the Security Awareness Training initiatives provide excellent resources that allow employees to keep abreast of significant threats to company assets.</w:t>
      </w:r>
    </w:p>
    <w:p w:rsidR="00700860" w:rsidRPr="00112377" w:rsidRDefault="00700860" w:rsidP="00700860">
      <w:pPr>
        <w:rPr>
          <w:rFonts w:cs="Times New Roman"/>
          <w:sz w:val="22"/>
          <w:szCs w:val="22"/>
        </w:rPr>
      </w:pPr>
      <w:r w:rsidRPr="00112377">
        <w:rPr>
          <w:rFonts w:cs="Times New Roman"/>
          <w:sz w:val="22"/>
          <w:szCs w:val="22"/>
        </w:rPr>
        <w:t xml:space="preserve">  </w:t>
      </w:r>
    </w:p>
    <w:p w:rsidR="00700860" w:rsidRPr="00112377" w:rsidRDefault="005E54FC" w:rsidP="00700860">
      <w:pPr>
        <w:rPr>
          <w:rFonts w:cs="Times New Roman"/>
          <w:sz w:val="22"/>
          <w:szCs w:val="22"/>
        </w:rPr>
      </w:pPr>
      <w:proofErr w:type="gramStart"/>
      <w:r>
        <w:rPr>
          <w:rFonts w:cs="Times New Roman"/>
          <w:sz w:val="22"/>
          <w:szCs w:val="22"/>
        </w:rPr>
        <w:t xml:space="preserve">3.4  </w:t>
      </w:r>
      <w:r w:rsidR="00700860" w:rsidRPr="00112377">
        <w:rPr>
          <w:rFonts w:cs="Times New Roman"/>
          <w:sz w:val="22"/>
          <w:szCs w:val="22"/>
        </w:rPr>
        <w:t>Moreover</w:t>
      </w:r>
      <w:proofErr w:type="gramEnd"/>
      <w:r w:rsidR="00700860" w:rsidRPr="00112377">
        <w:rPr>
          <w:rFonts w:cs="Times New Roman"/>
          <w:sz w:val="22"/>
          <w:szCs w:val="22"/>
        </w:rPr>
        <w:t xml:space="preserve">, </w:t>
      </w:r>
      <w:r w:rsidR="00CF125D" w:rsidRPr="00112377">
        <w:rPr>
          <w:rFonts w:cs="Times New Roman"/>
          <w:sz w:val="22"/>
          <w:szCs w:val="22"/>
        </w:rPr>
        <w:t xml:space="preserve">an Incident </w:t>
      </w:r>
      <w:r w:rsidR="00700860" w:rsidRPr="00112377">
        <w:rPr>
          <w:rFonts w:cs="Times New Roman"/>
          <w:sz w:val="22"/>
          <w:szCs w:val="22"/>
        </w:rPr>
        <w:t>Response Team is to have clear roles and responsibilities for properly responding to any incident</w:t>
      </w:r>
      <w:r w:rsidR="00700860" w:rsidRPr="009D4360">
        <w:rPr>
          <w:rFonts w:cs="Times New Roman"/>
          <w:sz w:val="22"/>
          <w:szCs w:val="22"/>
        </w:rPr>
        <w:t xml:space="preserve">.  </w:t>
      </w:r>
      <w:r w:rsidR="00442CA0" w:rsidRPr="009D4360">
        <w:rPr>
          <w:rFonts w:cs="Times New Roman"/>
          <w:sz w:val="22"/>
          <w:szCs w:val="22"/>
        </w:rPr>
        <w:t xml:space="preserve">Members of the team are to be available 24/7 for incident response. </w:t>
      </w:r>
      <w:r w:rsidR="00700860" w:rsidRPr="009D4360">
        <w:rPr>
          <w:rFonts w:cs="Times New Roman"/>
          <w:sz w:val="22"/>
          <w:szCs w:val="22"/>
        </w:rPr>
        <w:t xml:space="preserve">Preparation is just as important as the response to the incident.  Other aspects of preparing for an incident include the necessary steps, processes and procedures to take once an incident has occurred. This also includes an understanding of what actions are to be taken with respective </w:t>
      </w:r>
      <w:r w:rsidR="00700860" w:rsidRPr="00112377">
        <w:rPr>
          <w:rFonts w:cs="Times New Roman"/>
          <w:sz w:val="22"/>
          <w:szCs w:val="22"/>
        </w:rPr>
        <w:t xml:space="preserve">third parties, if necessary, such as clients, law enforcement agencies, local/federal/state agencies, if necessary; as well as the media and any other third parties considered to be in scope. </w:t>
      </w:r>
    </w:p>
    <w:p w:rsidR="00CF125D" w:rsidRPr="004F7516" w:rsidRDefault="00C43434" w:rsidP="00CF125D">
      <w:pPr>
        <w:pStyle w:val="Heading3"/>
      </w:pPr>
      <w:proofErr w:type="gramStart"/>
      <w:r>
        <w:t xml:space="preserve">4  </w:t>
      </w:r>
      <w:r w:rsidR="00CF125D" w:rsidRPr="004F7516">
        <w:t>Detecting</w:t>
      </w:r>
      <w:proofErr w:type="gramEnd"/>
      <w:r w:rsidR="00CF125D" w:rsidRPr="004F7516">
        <w:t xml:space="preserve"> an Incident</w:t>
      </w:r>
    </w:p>
    <w:p w:rsidR="00CF125D" w:rsidRPr="00112377" w:rsidRDefault="00CF125D" w:rsidP="00CF125D">
      <w:pPr>
        <w:contextualSpacing/>
        <w:rPr>
          <w:rFonts w:cs="Times New Roman"/>
          <w:sz w:val="22"/>
          <w:szCs w:val="22"/>
        </w:rPr>
      </w:pPr>
      <w:r w:rsidRPr="00112377">
        <w:rPr>
          <w:rFonts w:cs="Times New Roman"/>
          <w:sz w:val="22"/>
          <w:szCs w:val="22"/>
        </w:rPr>
        <w:t xml:space="preserve">Detecting an incident requires a true commitment by all employees to be constantly aware of their surroundings for any type of social engineering, physical or environmental threat.  Additionally, detection also requires due diligence and consistency by authorized employees regarding the secure configuration and review of network and system logs, being aware of network traffic anomalies and any suspicious or disruptive network patterns or incidents.  Employees responsible for reviewing network and system logs (firewalls, routers, switches, IDS/IPS, operating systems, applications, databases, etc.) are, as a result of these reviews, to report any malicious, suspicious or disruptive event immediately to the Incident Response Team.  </w:t>
      </w:r>
    </w:p>
    <w:p w:rsidR="00CF125D" w:rsidRPr="00112377" w:rsidRDefault="00CF125D" w:rsidP="00CF125D">
      <w:pPr>
        <w:contextualSpacing/>
        <w:rPr>
          <w:rFonts w:cs="Times New Roman"/>
          <w:sz w:val="22"/>
          <w:szCs w:val="22"/>
        </w:rPr>
      </w:pPr>
    </w:p>
    <w:p w:rsidR="00CF125D" w:rsidRPr="00112377" w:rsidRDefault="005E54FC" w:rsidP="00CF125D">
      <w:pPr>
        <w:rPr>
          <w:rFonts w:cs="Times New Roman"/>
          <w:sz w:val="22"/>
          <w:szCs w:val="22"/>
        </w:rPr>
      </w:pPr>
      <w:proofErr w:type="gramStart"/>
      <w:r>
        <w:rPr>
          <w:rFonts w:cs="Times New Roman"/>
          <w:sz w:val="22"/>
          <w:szCs w:val="22"/>
        </w:rPr>
        <w:t xml:space="preserve">4.1  </w:t>
      </w:r>
      <w:r w:rsidR="00CF125D" w:rsidRPr="00112377">
        <w:rPr>
          <w:rFonts w:cs="Times New Roman"/>
          <w:sz w:val="22"/>
          <w:szCs w:val="22"/>
        </w:rPr>
        <w:t>The</w:t>
      </w:r>
      <w:proofErr w:type="gramEnd"/>
      <w:r w:rsidR="00CF125D" w:rsidRPr="00112377">
        <w:rPr>
          <w:rFonts w:cs="Times New Roman"/>
          <w:sz w:val="22"/>
          <w:szCs w:val="22"/>
        </w:rPr>
        <w:t xml:space="preserve"> Incident Response Team can only respond to a given incident if they are made aware of the issue.  Detection, therefore, is a vital component of the Incident Response Plan. Accordingly, all system components and additional IT resources deemed critical are to be inventoried in a manner that describes the naming convention of the device, the use of the device, who has system administrative rights of these devices, which logging and audit trail mechanisms are in place and who reviews these logging and audit trails on a consistent basis. </w:t>
      </w:r>
    </w:p>
    <w:p w:rsidR="00CF125D" w:rsidRPr="004F7516" w:rsidRDefault="00C43434" w:rsidP="00CF125D">
      <w:pPr>
        <w:pStyle w:val="Heading3"/>
      </w:pPr>
      <w:proofErr w:type="gramStart"/>
      <w:r>
        <w:t xml:space="preserve">5  </w:t>
      </w:r>
      <w:r w:rsidR="00CF125D" w:rsidRPr="004F7516">
        <w:t>Responding</w:t>
      </w:r>
      <w:proofErr w:type="gramEnd"/>
      <w:r w:rsidR="00CF125D" w:rsidRPr="004F7516">
        <w:t xml:space="preserve"> to and Containing an Incident</w:t>
      </w:r>
    </w:p>
    <w:p w:rsidR="00CF125D" w:rsidRPr="00112377" w:rsidRDefault="00CF125D" w:rsidP="00CF125D">
      <w:pPr>
        <w:contextualSpacing/>
        <w:rPr>
          <w:rFonts w:cs="Times New Roman"/>
          <w:sz w:val="22"/>
          <w:szCs w:val="22"/>
        </w:rPr>
      </w:pPr>
      <w:r w:rsidRPr="00112377">
        <w:rPr>
          <w:rFonts w:cs="Times New Roman"/>
          <w:sz w:val="22"/>
          <w:szCs w:val="22"/>
        </w:rPr>
        <w:t xml:space="preserve">Any incident deemed to be a relevant threat to the organization requires a rapid response from authorized personnel, such as the Incident Response Team.  This rapid response will follow a standard course of action designed to minimize the impact of the incident to the organization’s critical network and system infrastructure.    </w:t>
      </w:r>
    </w:p>
    <w:p w:rsidR="00CF125D" w:rsidRPr="00112377" w:rsidRDefault="00CF125D" w:rsidP="00CF125D">
      <w:pPr>
        <w:rPr>
          <w:rFonts w:cs="Times New Roman"/>
          <w:sz w:val="22"/>
          <w:szCs w:val="22"/>
        </w:rPr>
      </w:pPr>
    </w:p>
    <w:p w:rsidR="0040535B" w:rsidRPr="00112377" w:rsidRDefault="0040535B" w:rsidP="0040535B">
      <w:pPr>
        <w:rPr>
          <w:rFonts w:cs="Times New Roman"/>
          <w:sz w:val="22"/>
          <w:szCs w:val="22"/>
        </w:rPr>
      </w:pPr>
      <w:r w:rsidRPr="00112377">
        <w:rPr>
          <w:rFonts w:cs="Times New Roman"/>
          <w:sz w:val="22"/>
          <w:szCs w:val="22"/>
        </w:rPr>
        <w:t>The following documented response mechanisms serve as the Standard Operating Procedures (SOP) for responding to any incident within the organization:</w:t>
      </w:r>
    </w:p>
    <w:p w:rsidR="0040535B" w:rsidRPr="009D4360" w:rsidRDefault="0040535B" w:rsidP="0040535B">
      <w:pPr>
        <w:pStyle w:val="ListParagraph"/>
        <w:numPr>
          <w:ilvl w:val="0"/>
          <w:numId w:val="10"/>
        </w:numPr>
        <w:spacing w:after="200" w:line="276" w:lineRule="auto"/>
        <w:rPr>
          <w:rFonts w:cs="Times New Roman"/>
          <w:sz w:val="22"/>
          <w:szCs w:val="22"/>
        </w:rPr>
      </w:pPr>
      <w:r w:rsidRPr="00112377">
        <w:rPr>
          <w:rFonts w:cs="Times New Roman"/>
          <w:sz w:val="22"/>
          <w:szCs w:val="22"/>
        </w:rPr>
        <w:lastRenderedPageBreak/>
        <w:t xml:space="preserve">For any incident that has been detected, the Incident Response Team is to be immediately </w:t>
      </w:r>
      <w:r w:rsidRPr="009D4360">
        <w:rPr>
          <w:rFonts w:cs="Times New Roman"/>
          <w:sz w:val="22"/>
          <w:szCs w:val="22"/>
        </w:rPr>
        <w:t>notified.</w:t>
      </w:r>
      <w:r w:rsidR="00AA14C0" w:rsidRPr="009D4360">
        <w:rPr>
          <w:rFonts w:cs="Times New Roman"/>
          <w:sz w:val="22"/>
          <w:szCs w:val="22"/>
        </w:rPr>
        <w:t xml:space="preserve"> Members of the team and their duties are contained in the </w:t>
      </w:r>
      <w:r w:rsidR="00AA14C0" w:rsidRPr="009D4360">
        <w:rPr>
          <w:rFonts w:cs="Times New Roman"/>
          <w:i/>
          <w:sz w:val="22"/>
          <w:szCs w:val="22"/>
        </w:rPr>
        <w:t>Incident Response Team List.</w:t>
      </w:r>
    </w:p>
    <w:p w:rsidR="0040535B" w:rsidRPr="00112377" w:rsidRDefault="0040535B" w:rsidP="0040535B">
      <w:pPr>
        <w:pStyle w:val="ListParagraph"/>
        <w:numPr>
          <w:ilvl w:val="0"/>
          <w:numId w:val="10"/>
        </w:numPr>
        <w:spacing w:after="200" w:line="276" w:lineRule="auto"/>
        <w:rPr>
          <w:rFonts w:cs="Times New Roman"/>
          <w:sz w:val="22"/>
          <w:szCs w:val="22"/>
        </w:rPr>
      </w:pPr>
      <w:r w:rsidRPr="00112377">
        <w:rPr>
          <w:rFonts w:cs="Times New Roman"/>
          <w:sz w:val="22"/>
          <w:szCs w:val="22"/>
        </w:rPr>
        <w:t xml:space="preserve">The Incident Response Team is to formally assume control and to identify the threat and its severity to the organization’s information systems.  </w:t>
      </w:r>
    </w:p>
    <w:p w:rsidR="0040535B" w:rsidRPr="00112377" w:rsidRDefault="0040535B" w:rsidP="0040535B">
      <w:pPr>
        <w:pStyle w:val="ListParagraph"/>
        <w:numPr>
          <w:ilvl w:val="0"/>
          <w:numId w:val="10"/>
        </w:numPr>
        <w:spacing w:after="200" w:line="276" w:lineRule="auto"/>
        <w:rPr>
          <w:rFonts w:cs="Times New Roman"/>
          <w:sz w:val="22"/>
          <w:szCs w:val="22"/>
        </w:rPr>
      </w:pPr>
      <w:r w:rsidRPr="00112377">
        <w:rPr>
          <w:rFonts w:cs="Times New Roman"/>
          <w:sz w:val="22"/>
          <w:szCs w:val="22"/>
        </w:rPr>
        <w:t xml:space="preserve">In identifying the threat, the Incident Response Team is to specifically identify which resources are at risk, both internal and external, and which harmful processes are currently running on resources that have been identified as </w:t>
      </w:r>
      <w:r w:rsidRPr="00112377">
        <w:rPr>
          <w:rFonts w:cs="Times New Roman"/>
          <w:i/>
          <w:sz w:val="22"/>
          <w:szCs w:val="22"/>
        </w:rPr>
        <w:t>at risk</w:t>
      </w:r>
      <w:r w:rsidRPr="00112377">
        <w:rPr>
          <w:rFonts w:cs="Times New Roman"/>
          <w:sz w:val="22"/>
          <w:szCs w:val="22"/>
        </w:rPr>
        <w:t>.</w:t>
      </w:r>
    </w:p>
    <w:p w:rsidR="0040535B" w:rsidRPr="00112377" w:rsidRDefault="0040535B" w:rsidP="0040535B">
      <w:pPr>
        <w:pStyle w:val="ListParagraph"/>
        <w:numPr>
          <w:ilvl w:val="0"/>
          <w:numId w:val="10"/>
        </w:numPr>
        <w:spacing w:after="200" w:line="276" w:lineRule="auto"/>
        <w:rPr>
          <w:rFonts w:cs="Times New Roman"/>
          <w:sz w:val="22"/>
          <w:szCs w:val="22"/>
        </w:rPr>
      </w:pPr>
      <w:r w:rsidRPr="00112377">
        <w:rPr>
          <w:rFonts w:cs="Times New Roman"/>
          <w:sz w:val="22"/>
          <w:szCs w:val="22"/>
        </w:rPr>
        <w:t xml:space="preserve">The Incident Response Team is to make a determination if the resources at risk (hardware, software, etc.) require physical or logical removal.  Resources which pose a significant threat to the continuity of the business are to be immediately removed or isolated, either physically or logically. </w:t>
      </w:r>
    </w:p>
    <w:p w:rsidR="0040535B" w:rsidRPr="00112377" w:rsidRDefault="0040535B" w:rsidP="0040535B">
      <w:pPr>
        <w:pStyle w:val="ListParagraph"/>
        <w:rPr>
          <w:rFonts w:cs="Times New Roman"/>
          <w:sz w:val="22"/>
          <w:szCs w:val="22"/>
        </w:rPr>
      </w:pPr>
    </w:p>
    <w:p w:rsidR="0040535B" w:rsidRPr="00112377" w:rsidRDefault="0040535B" w:rsidP="00112377">
      <w:pPr>
        <w:pStyle w:val="ListParagraph"/>
        <w:rPr>
          <w:rFonts w:cs="Times New Roman"/>
          <w:sz w:val="22"/>
          <w:szCs w:val="22"/>
        </w:rPr>
      </w:pPr>
      <w:r w:rsidRPr="00112377">
        <w:rPr>
          <w:rFonts w:cs="Times New Roman"/>
          <w:sz w:val="22"/>
          <w:szCs w:val="22"/>
        </w:rPr>
        <w:t>Resources which may require physical or logical removal or isolation may include, but ar</w:t>
      </w:r>
      <w:r w:rsidR="00112377" w:rsidRPr="00112377">
        <w:rPr>
          <w:rFonts w:cs="Times New Roman"/>
          <w:sz w:val="22"/>
          <w:szCs w:val="22"/>
        </w:rPr>
        <w:t>e not limited to the following:</w:t>
      </w:r>
    </w:p>
    <w:p w:rsidR="0040535B" w:rsidRPr="00464A6A" w:rsidRDefault="0040535B" w:rsidP="00464A6A">
      <w:pPr>
        <w:pStyle w:val="ListParagraph"/>
        <w:numPr>
          <w:ilvl w:val="0"/>
          <w:numId w:val="12"/>
        </w:numPr>
        <w:spacing w:after="200" w:line="276" w:lineRule="auto"/>
        <w:rPr>
          <w:rFonts w:cs="Times New Roman"/>
          <w:sz w:val="22"/>
          <w:szCs w:val="22"/>
        </w:rPr>
      </w:pPr>
      <w:r w:rsidRPr="00464A6A">
        <w:rPr>
          <w:rFonts w:cs="Times New Roman"/>
          <w:sz w:val="22"/>
          <w:szCs w:val="22"/>
        </w:rPr>
        <w:t>All IP addresses in use</w:t>
      </w:r>
    </w:p>
    <w:p w:rsidR="0040535B" w:rsidRPr="00464A6A" w:rsidRDefault="0040535B" w:rsidP="00464A6A">
      <w:pPr>
        <w:pStyle w:val="ListParagraph"/>
        <w:numPr>
          <w:ilvl w:val="0"/>
          <w:numId w:val="12"/>
        </w:numPr>
        <w:spacing w:after="200" w:line="276" w:lineRule="auto"/>
        <w:rPr>
          <w:rFonts w:cs="Times New Roman"/>
          <w:sz w:val="22"/>
          <w:szCs w:val="22"/>
        </w:rPr>
      </w:pPr>
      <w:r w:rsidRPr="00464A6A">
        <w:rPr>
          <w:rFonts w:cs="Times New Roman"/>
          <w:sz w:val="22"/>
          <w:szCs w:val="22"/>
        </w:rPr>
        <w:t>Firewalls, routers, switches, wireless access points</w:t>
      </w:r>
    </w:p>
    <w:p w:rsidR="0040535B" w:rsidRPr="00464A6A" w:rsidRDefault="0040535B" w:rsidP="00464A6A">
      <w:pPr>
        <w:pStyle w:val="ListParagraph"/>
        <w:numPr>
          <w:ilvl w:val="0"/>
          <w:numId w:val="12"/>
        </w:numPr>
        <w:spacing w:after="200" w:line="276" w:lineRule="auto"/>
        <w:rPr>
          <w:rFonts w:cs="Times New Roman"/>
          <w:sz w:val="22"/>
          <w:szCs w:val="22"/>
        </w:rPr>
      </w:pPr>
      <w:r w:rsidRPr="00464A6A">
        <w:rPr>
          <w:rFonts w:cs="Times New Roman"/>
          <w:sz w:val="22"/>
          <w:szCs w:val="22"/>
        </w:rPr>
        <w:t>Intrusion Detection Systems (IDS)/Intrusion Prevention Systems (IPS)</w:t>
      </w:r>
    </w:p>
    <w:p w:rsidR="0040535B" w:rsidRPr="00464A6A" w:rsidRDefault="0040535B" w:rsidP="00464A6A">
      <w:pPr>
        <w:pStyle w:val="ListParagraph"/>
        <w:numPr>
          <w:ilvl w:val="0"/>
          <w:numId w:val="12"/>
        </w:numPr>
        <w:spacing w:after="200" w:line="276" w:lineRule="auto"/>
        <w:rPr>
          <w:rFonts w:cs="Times New Roman"/>
          <w:sz w:val="22"/>
          <w:szCs w:val="22"/>
        </w:rPr>
      </w:pPr>
      <w:r w:rsidRPr="00464A6A">
        <w:rPr>
          <w:rFonts w:cs="Times New Roman"/>
          <w:sz w:val="22"/>
          <w:szCs w:val="22"/>
        </w:rPr>
        <w:t>Any enterprise-wide applications (CRM systems, etc.)</w:t>
      </w:r>
    </w:p>
    <w:p w:rsidR="0040535B" w:rsidRPr="00464A6A" w:rsidRDefault="0040535B" w:rsidP="00464A6A">
      <w:pPr>
        <w:pStyle w:val="ListParagraph"/>
        <w:numPr>
          <w:ilvl w:val="0"/>
          <w:numId w:val="12"/>
        </w:numPr>
        <w:spacing w:after="200" w:line="276" w:lineRule="auto"/>
        <w:rPr>
          <w:rFonts w:cs="Times New Roman"/>
          <w:sz w:val="22"/>
          <w:szCs w:val="22"/>
        </w:rPr>
      </w:pPr>
      <w:r w:rsidRPr="00464A6A">
        <w:rPr>
          <w:rFonts w:cs="Times New Roman"/>
          <w:sz w:val="22"/>
          <w:szCs w:val="22"/>
        </w:rPr>
        <w:t>Remote access</w:t>
      </w:r>
    </w:p>
    <w:p w:rsidR="0040535B" w:rsidRPr="00464A6A" w:rsidRDefault="0040535B" w:rsidP="00464A6A">
      <w:pPr>
        <w:pStyle w:val="ListParagraph"/>
        <w:numPr>
          <w:ilvl w:val="0"/>
          <w:numId w:val="12"/>
        </w:numPr>
        <w:spacing w:after="200" w:line="276" w:lineRule="auto"/>
        <w:rPr>
          <w:rFonts w:cs="Times New Roman"/>
          <w:sz w:val="22"/>
          <w:szCs w:val="22"/>
        </w:rPr>
      </w:pPr>
      <w:r w:rsidRPr="00464A6A">
        <w:rPr>
          <w:rFonts w:cs="Times New Roman"/>
          <w:sz w:val="22"/>
          <w:szCs w:val="22"/>
        </w:rPr>
        <w:t>Point-to-point secure data transmission methods</w:t>
      </w:r>
    </w:p>
    <w:p w:rsidR="0040535B" w:rsidRPr="00464A6A" w:rsidRDefault="0040535B" w:rsidP="00464A6A">
      <w:pPr>
        <w:pStyle w:val="ListParagraph"/>
        <w:numPr>
          <w:ilvl w:val="0"/>
          <w:numId w:val="12"/>
        </w:numPr>
        <w:spacing w:after="200" w:line="276" w:lineRule="auto"/>
        <w:rPr>
          <w:rFonts w:cs="Times New Roman"/>
          <w:sz w:val="22"/>
          <w:szCs w:val="22"/>
        </w:rPr>
      </w:pPr>
      <w:r w:rsidRPr="00464A6A">
        <w:rPr>
          <w:rFonts w:cs="Times New Roman"/>
          <w:sz w:val="22"/>
          <w:szCs w:val="22"/>
        </w:rPr>
        <w:t>Authentication servers (RADIUS)</w:t>
      </w:r>
    </w:p>
    <w:p w:rsidR="0040535B" w:rsidRPr="00464A6A" w:rsidRDefault="0040535B" w:rsidP="00464A6A">
      <w:pPr>
        <w:pStyle w:val="ListParagraph"/>
        <w:numPr>
          <w:ilvl w:val="0"/>
          <w:numId w:val="12"/>
        </w:numPr>
        <w:spacing w:after="200" w:line="276" w:lineRule="auto"/>
        <w:rPr>
          <w:rFonts w:cs="Times New Roman"/>
          <w:sz w:val="22"/>
          <w:szCs w:val="22"/>
        </w:rPr>
      </w:pPr>
      <w:r w:rsidRPr="00464A6A">
        <w:rPr>
          <w:rFonts w:cs="Times New Roman"/>
          <w:sz w:val="22"/>
          <w:szCs w:val="22"/>
        </w:rPr>
        <w:t>Servers (web, proxy, file, email, DNS, etc.)</w:t>
      </w:r>
    </w:p>
    <w:p w:rsidR="0040535B" w:rsidRPr="00464A6A" w:rsidRDefault="0040535B" w:rsidP="00464A6A">
      <w:pPr>
        <w:pStyle w:val="ListParagraph"/>
        <w:numPr>
          <w:ilvl w:val="0"/>
          <w:numId w:val="12"/>
        </w:numPr>
        <w:spacing w:after="200" w:line="276" w:lineRule="auto"/>
        <w:rPr>
          <w:rFonts w:cs="Times New Roman"/>
          <w:sz w:val="22"/>
          <w:szCs w:val="22"/>
        </w:rPr>
      </w:pPr>
      <w:r w:rsidRPr="00464A6A">
        <w:rPr>
          <w:rFonts w:cs="Times New Roman"/>
          <w:sz w:val="22"/>
          <w:szCs w:val="22"/>
        </w:rPr>
        <w:t>Operating systems</w:t>
      </w:r>
    </w:p>
    <w:p w:rsidR="0040535B" w:rsidRPr="00464A6A" w:rsidRDefault="0040535B" w:rsidP="00464A6A">
      <w:pPr>
        <w:pStyle w:val="ListParagraph"/>
        <w:numPr>
          <w:ilvl w:val="0"/>
          <w:numId w:val="12"/>
        </w:numPr>
        <w:spacing w:after="200" w:line="276" w:lineRule="auto"/>
        <w:rPr>
          <w:rFonts w:cs="Times New Roman"/>
          <w:sz w:val="22"/>
          <w:szCs w:val="22"/>
        </w:rPr>
      </w:pPr>
      <w:r w:rsidRPr="00464A6A">
        <w:rPr>
          <w:rFonts w:cs="Times New Roman"/>
          <w:sz w:val="22"/>
          <w:szCs w:val="22"/>
        </w:rPr>
        <w:t>Databases</w:t>
      </w:r>
    </w:p>
    <w:p w:rsidR="0040535B" w:rsidRPr="00464A6A" w:rsidRDefault="0040535B" w:rsidP="00464A6A">
      <w:pPr>
        <w:pStyle w:val="ListParagraph"/>
        <w:numPr>
          <w:ilvl w:val="0"/>
          <w:numId w:val="12"/>
        </w:numPr>
        <w:spacing w:after="200" w:line="276" w:lineRule="auto"/>
        <w:rPr>
          <w:rFonts w:cs="Times New Roman"/>
          <w:sz w:val="22"/>
          <w:szCs w:val="22"/>
        </w:rPr>
      </w:pPr>
      <w:r w:rsidRPr="00464A6A">
        <w:rPr>
          <w:rFonts w:cs="Times New Roman"/>
          <w:sz w:val="22"/>
          <w:szCs w:val="22"/>
        </w:rPr>
        <w:t>Applications</w:t>
      </w:r>
    </w:p>
    <w:p w:rsidR="0040535B" w:rsidRPr="00112377" w:rsidRDefault="0040535B" w:rsidP="0040535B">
      <w:pPr>
        <w:pStyle w:val="ListParagraph"/>
        <w:numPr>
          <w:ilvl w:val="0"/>
          <w:numId w:val="10"/>
        </w:numPr>
        <w:spacing w:after="200" w:line="276" w:lineRule="auto"/>
        <w:rPr>
          <w:rFonts w:cs="Times New Roman"/>
          <w:sz w:val="22"/>
          <w:szCs w:val="22"/>
        </w:rPr>
      </w:pPr>
      <w:r w:rsidRPr="00112377">
        <w:rPr>
          <w:rFonts w:cs="Times New Roman"/>
          <w:sz w:val="22"/>
          <w:szCs w:val="22"/>
        </w:rPr>
        <w:t>If the incident has affected the cardholder data environment in any way and has impacted the system components within this environment, it must be immediately reported to the major payment brands.</w:t>
      </w:r>
    </w:p>
    <w:p w:rsidR="0040535B" w:rsidRPr="00112377" w:rsidRDefault="0040535B" w:rsidP="0040535B">
      <w:pPr>
        <w:pStyle w:val="ListParagraph"/>
        <w:rPr>
          <w:rFonts w:cs="Times New Roman"/>
          <w:sz w:val="22"/>
          <w:szCs w:val="22"/>
        </w:rPr>
      </w:pPr>
    </w:p>
    <w:p w:rsidR="0040535B" w:rsidRDefault="0040535B" w:rsidP="0040535B">
      <w:pPr>
        <w:pStyle w:val="ListParagraph"/>
        <w:rPr>
          <w:rFonts w:cs="Times New Roman"/>
          <w:sz w:val="22"/>
          <w:szCs w:val="22"/>
        </w:rPr>
      </w:pPr>
      <w:r w:rsidRPr="00112377">
        <w:rPr>
          <w:rFonts w:cs="Times New Roman"/>
          <w:sz w:val="22"/>
          <w:szCs w:val="22"/>
        </w:rPr>
        <w:t>Listed below are links to the major payment brands, which also supply information on how to handle an incident that has resulted from a breach of the cardholder data environment. It is the policy of the company to formally acknowledge and adhere to these guidelines as set forth by the major payment brands.</w:t>
      </w:r>
    </w:p>
    <w:p w:rsidR="00112377" w:rsidRPr="00112377" w:rsidRDefault="00112377" w:rsidP="0040535B">
      <w:pPr>
        <w:pStyle w:val="ListParagraph"/>
        <w:rPr>
          <w:rFonts w:cs="Times New Roman"/>
          <w:sz w:val="22"/>
          <w:szCs w:val="22"/>
        </w:rPr>
      </w:pPr>
    </w:p>
    <w:tbl>
      <w:tblPr>
        <w:tblStyle w:val="TableGrid"/>
        <w:tblW w:w="0" w:type="auto"/>
        <w:tblInd w:w="18" w:type="dxa"/>
        <w:tblLook w:val="04A0" w:firstRow="1" w:lastRow="0" w:firstColumn="1" w:lastColumn="0" w:noHBand="0" w:noVBand="1"/>
      </w:tblPr>
      <w:tblGrid>
        <w:gridCol w:w="1890"/>
        <w:gridCol w:w="7668"/>
      </w:tblGrid>
      <w:tr w:rsidR="0040535B" w:rsidRPr="0040535B" w:rsidTr="00975617">
        <w:tc>
          <w:tcPr>
            <w:tcW w:w="1890" w:type="dxa"/>
            <w:shd w:val="clear" w:color="auto" w:fill="D9D9D9" w:themeFill="background1" w:themeFillShade="D9"/>
          </w:tcPr>
          <w:p w:rsidR="0040535B" w:rsidRPr="0040535B" w:rsidRDefault="0040535B" w:rsidP="0040535B">
            <w:pPr>
              <w:pStyle w:val="ListParagraph"/>
              <w:ind w:left="0"/>
              <w:jc w:val="center"/>
              <w:rPr>
                <w:rFonts w:cs="Times New Roman"/>
                <w:b/>
              </w:rPr>
            </w:pPr>
            <w:r w:rsidRPr="0040535B">
              <w:rPr>
                <w:rFonts w:cs="Times New Roman"/>
                <w:b/>
              </w:rPr>
              <w:t>Payment Brand</w:t>
            </w:r>
          </w:p>
        </w:tc>
        <w:tc>
          <w:tcPr>
            <w:tcW w:w="7668" w:type="dxa"/>
            <w:shd w:val="clear" w:color="auto" w:fill="D9D9D9" w:themeFill="background1" w:themeFillShade="D9"/>
            <w:vAlign w:val="center"/>
          </w:tcPr>
          <w:p w:rsidR="0040535B" w:rsidRPr="0040535B" w:rsidRDefault="0040535B" w:rsidP="0040535B">
            <w:pPr>
              <w:pStyle w:val="ListParagraph"/>
              <w:ind w:left="0"/>
              <w:jc w:val="center"/>
              <w:rPr>
                <w:rFonts w:cs="Times New Roman"/>
                <w:b/>
              </w:rPr>
            </w:pPr>
            <w:r w:rsidRPr="0040535B">
              <w:rPr>
                <w:rFonts w:cs="Times New Roman"/>
                <w:b/>
              </w:rPr>
              <w:t>Information on Incident Handling and Reporting</w:t>
            </w:r>
          </w:p>
        </w:tc>
      </w:tr>
      <w:tr w:rsidR="0040535B" w:rsidRPr="00975617" w:rsidTr="00975617">
        <w:tc>
          <w:tcPr>
            <w:tcW w:w="1890" w:type="dxa"/>
          </w:tcPr>
          <w:p w:rsidR="0040535B" w:rsidRPr="00975617" w:rsidRDefault="0040535B" w:rsidP="0040535B">
            <w:pPr>
              <w:pStyle w:val="ListParagraph"/>
              <w:ind w:left="0"/>
              <w:jc w:val="center"/>
              <w:rPr>
                <w:rFonts w:cs="Times New Roman"/>
                <w:sz w:val="22"/>
                <w:szCs w:val="22"/>
              </w:rPr>
            </w:pPr>
            <w:r w:rsidRPr="00975617">
              <w:rPr>
                <w:rFonts w:cs="Times New Roman"/>
                <w:sz w:val="22"/>
                <w:szCs w:val="22"/>
              </w:rPr>
              <w:t>Visa</w:t>
            </w:r>
          </w:p>
        </w:tc>
        <w:tc>
          <w:tcPr>
            <w:tcW w:w="7668" w:type="dxa"/>
          </w:tcPr>
          <w:p w:rsidR="0040535B" w:rsidRPr="00975617" w:rsidRDefault="00061A76" w:rsidP="0040535B">
            <w:pPr>
              <w:pStyle w:val="ListParagraph"/>
              <w:ind w:left="0"/>
              <w:rPr>
                <w:rFonts w:cs="Times New Roman"/>
                <w:sz w:val="22"/>
                <w:szCs w:val="22"/>
              </w:rPr>
            </w:pPr>
            <w:hyperlink r:id="rId12" w:history="1">
              <w:r w:rsidR="0040535B" w:rsidRPr="00975617">
                <w:rPr>
                  <w:sz w:val="22"/>
                  <w:szCs w:val="22"/>
                </w:rPr>
                <w:t>http://usa.visa.com/merchants/risk_management/cisp_if_compromised.html</w:t>
              </w:r>
            </w:hyperlink>
          </w:p>
        </w:tc>
      </w:tr>
      <w:tr w:rsidR="0040535B" w:rsidRPr="00975617" w:rsidTr="00975617">
        <w:tc>
          <w:tcPr>
            <w:tcW w:w="1890" w:type="dxa"/>
          </w:tcPr>
          <w:p w:rsidR="0040535B" w:rsidRPr="00975617" w:rsidRDefault="0040535B" w:rsidP="0040535B">
            <w:pPr>
              <w:pStyle w:val="ListParagraph"/>
              <w:ind w:left="0"/>
              <w:jc w:val="center"/>
              <w:rPr>
                <w:rFonts w:cs="Times New Roman"/>
                <w:sz w:val="22"/>
                <w:szCs w:val="22"/>
              </w:rPr>
            </w:pPr>
            <w:r w:rsidRPr="00975617">
              <w:rPr>
                <w:rFonts w:cs="Times New Roman"/>
                <w:sz w:val="22"/>
                <w:szCs w:val="22"/>
              </w:rPr>
              <w:t>MasterCard</w:t>
            </w:r>
          </w:p>
        </w:tc>
        <w:tc>
          <w:tcPr>
            <w:tcW w:w="7668" w:type="dxa"/>
          </w:tcPr>
          <w:p w:rsidR="0040535B" w:rsidRPr="00975617" w:rsidRDefault="00061A76" w:rsidP="0040535B">
            <w:pPr>
              <w:pStyle w:val="ListParagraph"/>
              <w:ind w:left="0"/>
              <w:rPr>
                <w:rFonts w:cs="Times New Roman"/>
                <w:sz w:val="22"/>
                <w:szCs w:val="22"/>
              </w:rPr>
            </w:pPr>
            <w:hyperlink r:id="rId13" w:history="1">
              <w:r w:rsidR="0040535B" w:rsidRPr="00975617">
                <w:rPr>
                  <w:sz w:val="22"/>
                  <w:szCs w:val="22"/>
                </w:rPr>
                <w:t>http://www.mastercard.com/us/merchant/security/fraud_prevention.html</w:t>
              </w:r>
            </w:hyperlink>
          </w:p>
        </w:tc>
      </w:tr>
      <w:tr w:rsidR="0040535B" w:rsidRPr="00975617" w:rsidTr="00975617">
        <w:tc>
          <w:tcPr>
            <w:tcW w:w="1890" w:type="dxa"/>
          </w:tcPr>
          <w:p w:rsidR="0040535B" w:rsidRPr="00975617" w:rsidRDefault="0040535B" w:rsidP="0040535B">
            <w:pPr>
              <w:pStyle w:val="ListParagraph"/>
              <w:ind w:left="0"/>
              <w:jc w:val="center"/>
              <w:rPr>
                <w:rFonts w:cs="Times New Roman"/>
                <w:sz w:val="22"/>
                <w:szCs w:val="22"/>
              </w:rPr>
            </w:pPr>
            <w:r w:rsidRPr="00975617">
              <w:rPr>
                <w:rFonts w:cs="Times New Roman"/>
                <w:sz w:val="22"/>
                <w:szCs w:val="22"/>
              </w:rPr>
              <w:t>American Express</w:t>
            </w:r>
          </w:p>
        </w:tc>
        <w:tc>
          <w:tcPr>
            <w:tcW w:w="7668" w:type="dxa"/>
          </w:tcPr>
          <w:p w:rsidR="0040535B" w:rsidRPr="00975617" w:rsidRDefault="00061A76" w:rsidP="0040535B">
            <w:pPr>
              <w:pStyle w:val="ListParagraph"/>
              <w:ind w:left="0"/>
              <w:rPr>
                <w:rFonts w:cs="Times New Roman"/>
                <w:sz w:val="22"/>
                <w:szCs w:val="22"/>
              </w:rPr>
            </w:pPr>
            <w:hyperlink r:id="rId14" w:history="1">
              <w:r w:rsidR="0040535B" w:rsidRPr="00975617">
                <w:rPr>
                  <w:sz w:val="22"/>
                  <w:szCs w:val="22"/>
                </w:rPr>
                <w:t>https://www.americanexpress.com/us/content/merchant/fraud-prevention.html</w:t>
              </w:r>
            </w:hyperlink>
          </w:p>
        </w:tc>
      </w:tr>
      <w:tr w:rsidR="0040535B" w:rsidRPr="00975617" w:rsidTr="00975617">
        <w:tc>
          <w:tcPr>
            <w:tcW w:w="1890" w:type="dxa"/>
          </w:tcPr>
          <w:p w:rsidR="0040535B" w:rsidRPr="00975617" w:rsidRDefault="0040535B" w:rsidP="0040535B">
            <w:pPr>
              <w:pStyle w:val="ListParagraph"/>
              <w:ind w:left="0"/>
              <w:jc w:val="center"/>
              <w:rPr>
                <w:rFonts w:cs="Times New Roman"/>
                <w:sz w:val="22"/>
                <w:szCs w:val="22"/>
              </w:rPr>
            </w:pPr>
            <w:r w:rsidRPr="00975617">
              <w:rPr>
                <w:rFonts w:cs="Times New Roman"/>
                <w:sz w:val="22"/>
                <w:szCs w:val="22"/>
              </w:rPr>
              <w:t>Discover</w:t>
            </w:r>
          </w:p>
        </w:tc>
        <w:tc>
          <w:tcPr>
            <w:tcW w:w="7668" w:type="dxa"/>
          </w:tcPr>
          <w:p w:rsidR="0040535B" w:rsidRPr="00975617" w:rsidRDefault="00061A76" w:rsidP="0040535B">
            <w:pPr>
              <w:pStyle w:val="ListParagraph"/>
              <w:ind w:left="0"/>
              <w:rPr>
                <w:rFonts w:cs="Times New Roman"/>
                <w:sz w:val="22"/>
                <w:szCs w:val="22"/>
              </w:rPr>
            </w:pPr>
            <w:hyperlink r:id="rId15" w:history="1">
              <w:r w:rsidR="0040535B" w:rsidRPr="00975617">
                <w:rPr>
                  <w:sz w:val="22"/>
                  <w:szCs w:val="22"/>
                </w:rPr>
                <w:t>http://www.discovernetwork.com/fraudsecurity/databreach.html</w:t>
              </w:r>
            </w:hyperlink>
          </w:p>
        </w:tc>
      </w:tr>
      <w:tr w:rsidR="0040535B" w:rsidRPr="00975617" w:rsidTr="00975617">
        <w:tc>
          <w:tcPr>
            <w:tcW w:w="1890" w:type="dxa"/>
          </w:tcPr>
          <w:p w:rsidR="0040535B" w:rsidRPr="00975617" w:rsidRDefault="0040535B" w:rsidP="0040535B">
            <w:pPr>
              <w:pStyle w:val="ListParagraph"/>
              <w:ind w:left="0"/>
              <w:jc w:val="center"/>
              <w:rPr>
                <w:rFonts w:cs="Times New Roman"/>
                <w:sz w:val="22"/>
                <w:szCs w:val="22"/>
              </w:rPr>
            </w:pPr>
            <w:r w:rsidRPr="00975617">
              <w:rPr>
                <w:rFonts w:cs="Times New Roman"/>
                <w:sz w:val="22"/>
                <w:szCs w:val="22"/>
              </w:rPr>
              <w:t>JCB</w:t>
            </w:r>
          </w:p>
        </w:tc>
        <w:tc>
          <w:tcPr>
            <w:tcW w:w="7668" w:type="dxa"/>
          </w:tcPr>
          <w:p w:rsidR="0040535B" w:rsidRPr="00975617" w:rsidRDefault="00061A76" w:rsidP="0040535B">
            <w:pPr>
              <w:pStyle w:val="ListParagraph"/>
              <w:ind w:left="0"/>
              <w:rPr>
                <w:rFonts w:cs="Times New Roman"/>
                <w:sz w:val="22"/>
                <w:szCs w:val="22"/>
              </w:rPr>
            </w:pPr>
            <w:hyperlink r:id="rId16" w:history="1">
              <w:r w:rsidR="0040535B" w:rsidRPr="00975617">
                <w:rPr>
                  <w:sz w:val="22"/>
                  <w:szCs w:val="22"/>
                </w:rPr>
                <w:t>http://www.jcb-global.com/english/jdsp/index.html</w:t>
              </w:r>
            </w:hyperlink>
          </w:p>
        </w:tc>
      </w:tr>
    </w:tbl>
    <w:p w:rsidR="0040535B" w:rsidRDefault="0040535B" w:rsidP="0040535B">
      <w:pPr>
        <w:pStyle w:val="ListParagraph"/>
        <w:rPr>
          <w:rFonts w:cs="Times New Roman"/>
        </w:rPr>
      </w:pPr>
    </w:p>
    <w:p w:rsidR="0040535B" w:rsidRPr="00112377" w:rsidRDefault="0040535B" w:rsidP="00ED659B">
      <w:pPr>
        <w:pStyle w:val="ListParagraph"/>
        <w:numPr>
          <w:ilvl w:val="0"/>
          <w:numId w:val="10"/>
        </w:numPr>
        <w:spacing w:after="200" w:line="276" w:lineRule="auto"/>
        <w:rPr>
          <w:rFonts w:cs="Times New Roman"/>
          <w:sz w:val="22"/>
          <w:szCs w:val="22"/>
        </w:rPr>
      </w:pPr>
      <w:r w:rsidRPr="00112377">
        <w:rPr>
          <w:rFonts w:cs="Times New Roman"/>
          <w:sz w:val="22"/>
          <w:szCs w:val="22"/>
        </w:rPr>
        <w:lastRenderedPageBreak/>
        <w:t xml:space="preserve">If the incident has in any way resulted in a criminal matter that may be readily identified, </w:t>
      </w:r>
      <w:r w:rsidR="00ED659B" w:rsidRPr="00112377">
        <w:rPr>
          <w:rFonts w:cs="Times New Roman"/>
          <w:sz w:val="22"/>
          <w:szCs w:val="22"/>
        </w:rPr>
        <w:t xml:space="preserve">it </w:t>
      </w:r>
      <w:r w:rsidRPr="00112377">
        <w:rPr>
          <w:rFonts w:cs="Times New Roman"/>
          <w:sz w:val="22"/>
          <w:szCs w:val="22"/>
        </w:rPr>
        <w:t>must</w:t>
      </w:r>
      <w:r w:rsidR="00ED659B" w:rsidRPr="00112377">
        <w:rPr>
          <w:rFonts w:cs="Times New Roman"/>
          <w:sz w:val="22"/>
          <w:szCs w:val="22"/>
        </w:rPr>
        <w:t xml:space="preserve"> be</w:t>
      </w:r>
      <w:r w:rsidRPr="00112377">
        <w:rPr>
          <w:rFonts w:cs="Times New Roman"/>
          <w:sz w:val="22"/>
          <w:szCs w:val="22"/>
        </w:rPr>
        <w:t xml:space="preserve"> immediately report</w:t>
      </w:r>
      <w:r w:rsidR="00ED659B" w:rsidRPr="00112377">
        <w:rPr>
          <w:rFonts w:cs="Times New Roman"/>
          <w:sz w:val="22"/>
          <w:szCs w:val="22"/>
        </w:rPr>
        <w:t>ed</w:t>
      </w:r>
      <w:r w:rsidRPr="00112377">
        <w:rPr>
          <w:rFonts w:cs="Times New Roman"/>
          <w:sz w:val="22"/>
          <w:szCs w:val="22"/>
        </w:rPr>
        <w:t xml:space="preserve"> to law enforcement officials. This may include, but is not limited to the following:</w:t>
      </w:r>
    </w:p>
    <w:p w:rsidR="0040535B" w:rsidRPr="00112377" w:rsidRDefault="0040535B" w:rsidP="00464A6A">
      <w:pPr>
        <w:pStyle w:val="ListParagraph"/>
        <w:numPr>
          <w:ilvl w:val="0"/>
          <w:numId w:val="12"/>
        </w:numPr>
        <w:spacing w:after="200" w:line="276" w:lineRule="auto"/>
        <w:rPr>
          <w:rFonts w:cs="Times New Roman"/>
          <w:sz w:val="22"/>
          <w:szCs w:val="22"/>
        </w:rPr>
      </w:pPr>
      <w:r w:rsidRPr="00112377">
        <w:rPr>
          <w:rFonts w:cs="Times New Roman"/>
          <w:sz w:val="22"/>
          <w:szCs w:val="22"/>
        </w:rPr>
        <w:t>Local law enforcement</w:t>
      </w:r>
    </w:p>
    <w:p w:rsidR="0040535B" w:rsidRPr="00112377" w:rsidRDefault="0040535B" w:rsidP="00464A6A">
      <w:pPr>
        <w:pStyle w:val="ListParagraph"/>
        <w:numPr>
          <w:ilvl w:val="0"/>
          <w:numId w:val="12"/>
        </w:numPr>
        <w:spacing w:after="200" w:line="276" w:lineRule="auto"/>
        <w:rPr>
          <w:rFonts w:cs="Times New Roman"/>
          <w:sz w:val="22"/>
          <w:szCs w:val="22"/>
        </w:rPr>
      </w:pPr>
      <w:r w:rsidRPr="00112377">
        <w:rPr>
          <w:rFonts w:cs="Times New Roman"/>
          <w:sz w:val="22"/>
          <w:szCs w:val="22"/>
        </w:rPr>
        <w:t>The United States Secret Service (for credit card fraud)</w:t>
      </w:r>
    </w:p>
    <w:p w:rsidR="0040535B" w:rsidRPr="00112377" w:rsidRDefault="0040535B" w:rsidP="00464A6A">
      <w:pPr>
        <w:pStyle w:val="ListParagraph"/>
        <w:numPr>
          <w:ilvl w:val="0"/>
          <w:numId w:val="12"/>
        </w:numPr>
        <w:spacing w:after="200" w:line="276" w:lineRule="auto"/>
        <w:rPr>
          <w:rFonts w:cs="Times New Roman"/>
          <w:sz w:val="22"/>
          <w:szCs w:val="22"/>
        </w:rPr>
      </w:pPr>
      <w:r w:rsidRPr="00112377">
        <w:rPr>
          <w:rFonts w:cs="Times New Roman"/>
          <w:sz w:val="22"/>
          <w:szCs w:val="22"/>
        </w:rPr>
        <w:t>The Federal Bureau of Investigation (FBI)</w:t>
      </w:r>
    </w:p>
    <w:p w:rsidR="0040535B" w:rsidRPr="00112377" w:rsidRDefault="0040535B" w:rsidP="0040535B">
      <w:pPr>
        <w:pStyle w:val="ListParagraph"/>
        <w:numPr>
          <w:ilvl w:val="0"/>
          <w:numId w:val="10"/>
        </w:numPr>
        <w:spacing w:after="200" w:line="276" w:lineRule="auto"/>
        <w:rPr>
          <w:rFonts w:cs="Times New Roman"/>
          <w:sz w:val="22"/>
          <w:szCs w:val="22"/>
        </w:rPr>
      </w:pPr>
      <w:r w:rsidRPr="00112377">
        <w:rPr>
          <w:rFonts w:cs="Times New Roman"/>
          <w:sz w:val="22"/>
          <w:szCs w:val="22"/>
        </w:rPr>
        <w:t>Investigating the incident is also a critical process within the Incident Response plan. Proper investigative techniques are to include, but are not limited to the following:</w:t>
      </w:r>
    </w:p>
    <w:p w:rsidR="0040535B" w:rsidRPr="00112377" w:rsidRDefault="0040535B" w:rsidP="0040535B">
      <w:pPr>
        <w:pStyle w:val="ListParagraph"/>
        <w:numPr>
          <w:ilvl w:val="0"/>
          <w:numId w:val="12"/>
        </w:numPr>
        <w:spacing w:after="200" w:line="276" w:lineRule="auto"/>
        <w:rPr>
          <w:rFonts w:cs="Times New Roman"/>
          <w:sz w:val="22"/>
          <w:szCs w:val="22"/>
        </w:rPr>
      </w:pPr>
      <w:r w:rsidRPr="00112377">
        <w:rPr>
          <w:rFonts w:cs="Times New Roman"/>
          <w:sz w:val="22"/>
          <w:szCs w:val="22"/>
        </w:rPr>
        <w:t>Understanding how the incident occurred and what led to the compromise</w:t>
      </w:r>
    </w:p>
    <w:p w:rsidR="0040535B" w:rsidRPr="00112377" w:rsidRDefault="0040535B" w:rsidP="0040535B">
      <w:pPr>
        <w:pStyle w:val="ListParagraph"/>
        <w:numPr>
          <w:ilvl w:val="0"/>
          <w:numId w:val="12"/>
        </w:numPr>
        <w:spacing w:after="200" w:line="276" w:lineRule="auto"/>
        <w:rPr>
          <w:rFonts w:cs="Times New Roman"/>
          <w:sz w:val="22"/>
          <w:szCs w:val="22"/>
        </w:rPr>
      </w:pPr>
      <w:r w:rsidRPr="00112377">
        <w:rPr>
          <w:rFonts w:cs="Times New Roman"/>
          <w:sz w:val="22"/>
          <w:szCs w:val="22"/>
        </w:rPr>
        <w:t xml:space="preserve">Reviewing all necessary system documentation, such as logs, audit trails, rule sets, configuration and hardening standards </w:t>
      </w:r>
    </w:p>
    <w:p w:rsidR="0040535B" w:rsidRPr="00112377" w:rsidRDefault="0040535B" w:rsidP="0040535B">
      <w:pPr>
        <w:pStyle w:val="ListParagraph"/>
        <w:numPr>
          <w:ilvl w:val="0"/>
          <w:numId w:val="12"/>
        </w:numPr>
        <w:spacing w:after="200" w:line="276" w:lineRule="auto"/>
        <w:rPr>
          <w:rFonts w:cs="Times New Roman"/>
          <w:sz w:val="22"/>
          <w:szCs w:val="22"/>
        </w:rPr>
      </w:pPr>
      <w:r w:rsidRPr="00112377">
        <w:rPr>
          <w:rFonts w:cs="Times New Roman"/>
          <w:sz w:val="22"/>
          <w:szCs w:val="22"/>
        </w:rPr>
        <w:t>I</w:t>
      </w:r>
      <w:r w:rsidR="00ED659B" w:rsidRPr="00112377">
        <w:rPr>
          <w:rFonts w:cs="Times New Roman"/>
          <w:sz w:val="22"/>
          <w:szCs w:val="22"/>
        </w:rPr>
        <w:t>nterviewing personnel</w:t>
      </w:r>
    </w:p>
    <w:p w:rsidR="0040535B" w:rsidRPr="00112377" w:rsidRDefault="0040535B" w:rsidP="0040535B">
      <w:pPr>
        <w:pStyle w:val="ListParagraph"/>
        <w:numPr>
          <w:ilvl w:val="0"/>
          <w:numId w:val="12"/>
        </w:numPr>
        <w:spacing w:after="200" w:line="276" w:lineRule="auto"/>
        <w:rPr>
          <w:rFonts w:cs="Times New Roman"/>
          <w:sz w:val="22"/>
          <w:szCs w:val="22"/>
        </w:rPr>
      </w:pPr>
      <w:r w:rsidRPr="00112377">
        <w:rPr>
          <w:rFonts w:cs="Times New Roman"/>
          <w:sz w:val="22"/>
          <w:szCs w:val="22"/>
        </w:rPr>
        <w:t>Examining third party providers and their respective products and services that are utilized within</w:t>
      </w:r>
      <w:r w:rsidR="00ED659B" w:rsidRPr="00112377">
        <w:rPr>
          <w:rFonts w:cs="Times New Roman"/>
          <w:sz w:val="22"/>
          <w:szCs w:val="22"/>
        </w:rPr>
        <w:t xml:space="preserve"> the</w:t>
      </w:r>
      <w:r w:rsidRPr="00112377">
        <w:rPr>
          <w:rFonts w:cs="Times New Roman"/>
          <w:sz w:val="22"/>
          <w:szCs w:val="22"/>
        </w:rPr>
        <w:t xml:space="preserve"> network architecture</w:t>
      </w:r>
    </w:p>
    <w:p w:rsidR="0040535B" w:rsidRPr="00112377" w:rsidRDefault="0040535B" w:rsidP="0040535B">
      <w:pPr>
        <w:pStyle w:val="ListParagraph"/>
        <w:numPr>
          <w:ilvl w:val="0"/>
          <w:numId w:val="12"/>
        </w:numPr>
        <w:spacing w:after="200" w:line="276" w:lineRule="auto"/>
        <w:rPr>
          <w:rFonts w:cs="Times New Roman"/>
          <w:sz w:val="22"/>
          <w:szCs w:val="22"/>
        </w:rPr>
      </w:pPr>
      <w:r w:rsidRPr="00112377">
        <w:rPr>
          <w:rFonts w:cs="Times New Roman"/>
          <w:sz w:val="22"/>
          <w:szCs w:val="22"/>
        </w:rPr>
        <w:t>If warranted, a third party resource for assisting in the investigation of the incident may be utilized (at management’s discretion)</w:t>
      </w:r>
    </w:p>
    <w:p w:rsidR="0040535B" w:rsidRPr="004F7516" w:rsidRDefault="00C43434" w:rsidP="00ED659B">
      <w:pPr>
        <w:pStyle w:val="Heading3"/>
      </w:pPr>
      <w:proofErr w:type="gramStart"/>
      <w:r>
        <w:t xml:space="preserve">6  </w:t>
      </w:r>
      <w:r w:rsidR="0040535B" w:rsidRPr="004F7516">
        <w:t>Recovery</w:t>
      </w:r>
      <w:proofErr w:type="gramEnd"/>
      <w:r w:rsidR="0040535B" w:rsidRPr="004F7516">
        <w:t xml:space="preserve"> from an Incident</w:t>
      </w:r>
    </w:p>
    <w:p w:rsidR="0040535B" w:rsidRPr="00112377" w:rsidRDefault="0040535B" w:rsidP="0040535B">
      <w:pPr>
        <w:contextualSpacing/>
        <w:rPr>
          <w:rFonts w:cs="Times New Roman"/>
          <w:sz w:val="22"/>
          <w:szCs w:val="22"/>
        </w:rPr>
      </w:pPr>
      <w:r w:rsidRPr="00112377">
        <w:rPr>
          <w:rFonts w:cs="Times New Roman"/>
          <w:sz w:val="22"/>
          <w:szCs w:val="22"/>
        </w:rPr>
        <w:t>Recovery procedures will include, but are not limited to the following:</w:t>
      </w:r>
    </w:p>
    <w:p w:rsidR="0040535B" w:rsidRPr="00112377" w:rsidRDefault="0040535B" w:rsidP="00112377">
      <w:pPr>
        <w:pStyle w:val="ListParagraph"/>
        <w:numPr>
          <w:ilvl w:val="0"/>
          <w:numId w:val="13"/>
        </w:numPr>
        <w:spacing w:before="200" w:after="200" w:line="276" w:lineRule="auto"/>
        <w:rPr>
          <w:sz w:val="22"/>
          <w:szCs w:val="22"/>
        </w:rPr>
      </w:pPr>
      <w:r w:rsidRPr="00112377">
        <w:rPr>
          <w:sz w:val="22"/>
          <w:szCs w:val="22"/>
        </w:rPr>
        <w:t>Restoring systems from clean backups</w:t>
      </w:r>
    </w:p>
    <w:p w:rsidR="0040535B" w:rsidRPr="00112377" w:rsidRDefault="00ED659B" w:rsidP="00112377">
      <w:pPr>
        <w:pStyle w:val="ListParagraph"/>
        <w:numPr>
          <w:ilvl w:val="0"/>
          <w:numId w:val="13"/>
        </w:numPr>
        <w:spacing w:before="200" w:after="200" w:line="276" w:lineRule="auto"/>
        <w:rPr>
          <w:sz w:val="22"/>
          <w:szCs w:val="22"/>
        </w:rPr>
      </w:pPr>
      <w:r w:rsidRPr="00112377">
        <w:rPr>
          <w:sz w:val="22"/>
          <w:szCs w:val="22"/>
        </w:rPr>
        <w:t>R</w:t>
      </w:r>
      <w:r w:rsidR="0040535B" w:rsidRPr="00112377">
        <w:rPr>
          <w:sz w:val="22"/>
          <w:szCs w:val="22"/>
        </w:rPr>
        <w:t>ebuilding systems as needed and warranted</w:t>
      </w:r>
    </w:p>
    <w:p w:rsidR="0040535B" w:rsidRPr="00112377" w:rsidRDefault="0040535B" w:rsidP="00112377">
      <w:pPr>
        <w:pStyle w:val="ListParagraph"/>
        <w:numPr>
          <w:ilvl w:val="0"/>
          <w:numId w:val="13"/>
        </w:numPr>
        <w:spacing w:before="200" w:after="200" w:line="276" w:lineRule="auto"/>
        <w:rPr>
          <w:sz w:val="22"/>
          <w:szCs w:val="22"/>
        </w:rPr>
      </w:pPr>
      <w:r w:rsidRPr="00112377">
        <w:rPr>
          <w:sz w:val="22"/>
          <w:szCs w:val="22"/>
        </w:rPr>
        <w:t>Replacing systems as needed</w:t>
      </w:r>
    </w:p>
    <w:p w:rsidR="0040535B" w:rsidRPr="00112377" w:rsidRDefault="0040535B" w:rsidP="00112377">
      <w:pPr>
        <w:pStyle w:val="ListParagraph"/>
        <w:numPr>
          <w:ilvl w:val="0"/>
          <w:numId w:val="13"/>
        </w:numPr>
        <w:spacing w:before="200" w:after="200" w:line="276" w:lineRule="auto"/>
        <w:rPr>
          <w:sz w:val="22"/>
          <w:szCs w:val="22"/>
        </w:rPr>
      </w:pPr>
      <w:r w:rsidRPr="00112377">
        <w:rPr>
          <w:sz w:val="22"/>
          <w:szCs w:val="22"/>
        </w:rPr>
        <w:t>Reconfiguring network security (stronger, more adaptive configuration and hardening rules) for all system components</w:t>
      </w:r>
    </w:p>
    <w:p w:rsidR="0040535B" w:rsidRPr="00112377" w:rsidRDefault="0040535B" w:rsidP="0040535B">
      <w:pPr>
        <w:rPr>
          <w:rFonts w:cs="Times New Roman"/>
          <w:sz w:val="22"/>
          <w:szCs w:val="22"/>
        </w:rPr>
      </w:pPr>
      <w:r w:rsidRPr="00112377">
        <w:rPr>
          <w:rFonts w:cs="Times New Roman"/>
          <w:sz w:val="22"/>
          <w:szCs w:val="22"/>
        </w:rPr>
        <w:t>The recovery procedures will be commensurate with the incident that has occurred.  This will be conducted on a case-by-case basis with all aspects of the recovery process fully documented.</w:t>
      </w:r>
    </w:p>
    <w:p w:rsidR="0040535B" w:rsidRPr="004F7516" w:rsidRDefault="00C43434" w:rsidP="00ED659B">
      <w:pPr>
        <w:pStyle w:val="Heading3"/>
      </w:pPr>
      <w:proofErr w:type="gramStart"/>
      <w:r>
        <w:t xml:space="preserve">7  </w:t>
      </w:r>
      <w:r w:rsidR="0040535B">
        <w:t>Post</w:t>
      </w:r>
      <w:proofErr w:type="gramEnd"/>
      <w:r w:rsidR="0040535B">
        <w:t>-</w:t>
      </w:r>
      <w:r w:rsidR="0040535B" w:rsidRPr="004F7516">
        <w:t>Incident Activities and Awareness</w:t>
      </w:r>
    </w:p>
    <w:p w:rsidR="0040535B" w:rsidRPr="00112377" w:rsidRDefault="0040535B" w:rsidP="0040535B">
      <w:pPr>
        <w:contextualSpacing/>
        <w:rPr>
          <w:rFonts w:cs="Times New Roman"/>
          <w:sz w:val="22"/>
          <w:szCs w:val="22"/>
        </w:rPr>
      </w:pPr>
      <w:r w:rsidRPr="00112377">
        <w:rPr>
          <w:rFonts w:cs="Times New Roman"/>
          <w:sz w:val="22"/>
          <w:szCs w:val="22"/>
        </w:rPr>
        <w:t>A formal and documented Incident Response Report</w:t>
      </w:r>
      <w:r w:rsidR="00ED659B" w:rsidRPr="00112377">
        <w:rPr>
          <w:rFonts w:cs="Times New Roman"/>
          <w:sz w:val="22"/>
          <w:szCs w:val="22"/>
        </w:rPr>
        <w:t xml:space="preserve"> </w:t>
      </w:r>
      <w:r w:rsidRPr="00112377">
        <w:rPr>
          <w:rFonts w:cs="Times New Roman"/>
          <w:sz w:val="22"/>
          <w:szCs w:val="22"/>
        </w:rPr>
        <w:t xml:space="preserve">is to be compiled and given to management within an acceptable time frame following the incident.  The </w:t>
      </w:r>
      <w:r w:rsidR="00ED659B" w:rsidRPr="00112377">
        <w:rPr>
          <w:rFonts w:cs="Times New Roman"/>
          <w:sz w:val="22"/>
          <w:szCs w:val="22"/>
        </w:rPr>
        <w:t>report</w:t>
      </w:r>
      <w:r w:rsidRPr="00112377">
        <w:rPr>
          <w:rFonts w:cs="Times New Roman"/>
          <w:sz w:val="22"/>
          <w:szCs w:val="22"/>
        </w:rPr>
        <w:t xml:space="preserve"> must contain the following elements</w:t>
      </w:r>
      <w:r w:rsidR="00ED659B" w:rsidRPr="00112377">
        <w:rPr>
          <w:rFonts w:cs="Times New Roman"/>
          <w:sz w:val="22"/>
          <w:szCs w:val="22"/>
        </w:rPr>
        <w:t>:</w:t>
      </w:r>
    </w:p>
    <w:p w:rsidR="0040535B" w:rsidRPr="00112377" w:rsidRDefault="0040535B" w:rsidP="00112377">
      <w:pPr>
        <w:pStyle w:val="ListParagraph"/>
        <w:numPr>
          <w:ilvl w:val="0"/>
          <w:numId w:val="14"/>
        </w:numPr>
        <w:spacing w:before="200" w:after="200" w:line="276" w:lineRule="auto"/>
        <w:rPr>
          <w:sz w:val="22"/>
          <w:szCs w:val="22"/>
        </w:rPr>
      </w:pPr>
      <w:r w:rsidRPr="00112377">
        <w:rPr>
          <w:sz w:val="22"/>
          <w:szCs w:val="22"/>
        </w:rPr>
        <w:t>Detailed description of the incident</w:t>
      </w:r>
    </w:p>
    <w:p w:rsidR="0040535B" w:rsidRPr="00112377" w:rsidRDefault="0040535B" w:rsidP="00112377">
      <w:pPr>
        <w:pStyle w:val="ListParagraph"/>
        <w:numPr>
          <w:ilvl w:val="0"/>
          <w:numId w:val="14"/>
        </w:numPr>
        <w:spacing w:before="200" w:after="200" w:line="276" w:lineRule="auto"/>
        <w:rPr>
          <w:sz w:val="22"/>
          <w:szCs w:val="22"/>
        </w:rPr>
      </w:pPr>
      <w:r w:rsidRPr="00112377">
        <w:rPr>
          <w:sz w:val="22"/>
          <w:szCs w:val="22"/>
        </w:rPr>
        <w:t>Response mechanisms undertaken</w:t>
      </w:r>
    </w:p>
    <w:p w:rsidR="0040535B" w:rsidRPr="00112377" w:rsidRDefault="0040535B" w:rsidP="00112377">
      <w:pPr>
        <w:pStyle w:val="ListParagraph"/>
        <w:numPr>
          <w:ilvl w:val="0"/>
          <w:numId w:val="14"/>
        </w:numPr>
        <w:spacing w:before="200" w:after="200" w:line="276" w:lineRule="auto"/>
        <w:rPr>
          <w:sz w:val="22"/>
          <w:szCs w:val="22"/>
        </w:rPr>
      </w:pPr>
      <w:r w:rsidRPr="00112377">
        <w:rPr>
          <w:sz w:val="22"/>
          <w:szCs w:val="22"/>
        </w:rPr>
        <w:t>Reporting activities to all relevant third parties as needed</w:t>
      </w:r>
    </w:p>
    <w:p w:rsidR="0040535B" w:rsidRPr="00112377" w:rsidRDefault="0040535B" w:rsidP="00112377">
      <w:pPr>
        <w:pStyle w:val="ListParagraph"/>
        <w:numPr>
          <w:ilvl w:val="0"/>
          <w:numId w:val="14"/>
        </w:numPr>
        <w:spacing w:before="200" w:after="200" w:line="276" w:lineRule="auto"/>
        <w:rPr>
          <w:sz w:val="22"/>
          <w:szCs w:val="22"/>
        </w:rPr>
      </w:pPr>
      <w:r w:rsidRPr="00112377">
        <w:rPr>
          <w:sz w:val="22"/>
          <w:szCs w:val="22"/>
        </w:rPr>
        <w:t xml:space="preserve">Recovery activities undertaken for restoring affected systems </w:t>
      </w:r>
    </w:p>
    <w:p w:rsidR="006E75F9" w:rsidRPr="007D1DDE" w:rsidRDefault="0040535B" w:rsidP="007D1DDE">
      <w:pPr>
        <w:pStyle w:val="ListParagraph"/>
        <w:numPr>
          <w:ilvl w:val="0"/>
          <w:numId w:val="14"/>
        </w:numPr>
        <w:spacing w:before="200" w:after="200" w:line="276" w:lineRule="auto"/>
        <w:rPr>
          <w:sz w:val="22"/>
          <w:szCs w:val="22"/>
        </w:rPr>
      </w:pPr>
      <w:r w:rsidRPr="00112377">
        <w:rPr>
          <w:sz w:val="22"/>
          <w:szCs w:val="22"/>
        </w:rPr>
        <w:t>A list of Lessons Learned from the incident and which initiative can</w:t>
      </w:r>
      <w:r w:rsidR="00ED659B" w:rsidRPr="00112377">
        <w:rPr>
          <w:sz w:val="22"/>
          <w:szCs w:val="22"/>
        </w:rPr>
        <w:t xml:space="preserve"> be</w:t>
      </w:r>
      <w:r w:rsidRPr="00112377">
        <w:rPr>
          <w:sz w:val="22"/>
          <w:szCs w:val="22"/>
        </w:rPr>
        <w:t xml:space="preserve"> take</w:t>
      </w:r>
      <w:r w:rsidR="00ED659B" w:rsidRPr="00112377">
        <w:rPr>
          <w:sz w:val="22"/>
          <w:szCs w:val="22"/>
        </w:rPr>
        <w:t>n</w:t>
      </w:r>
      <w:r w:rsidRPr="00112377">
        <w:rPr>
          <w:sz w:val="22"/>
          <w:szCs w:val="22"/>
        </w:rPr>
        <w:t xml:space="preserve"> to mitigate the likelihood of future incidents</w:t>
      </w:r>
    </w:p>
    <w:sectPr w:rsidR="006E75F9" w:rsidRPr="007D1DDE" w:rsidSect="00644748">
      <w:footerReference w:type="defaul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1A76" w:rsidRDefault="00061A76" w:rsidP="00FF69FC">
      <w:r>
        <w:separator/>
      </w:r>
    </w:p>
  </w:endnote>
  <w:endnote w:type="continuationSeparator" w:id="0">
    <w:p w:rsidR="00061A76" w:rsidRDefault="00061A76" w:rsidP="00FF6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9FC" w:rsidRDefault="00FF69FC">
    <w:pPr>
      <w:pStyle w:val="Footer"/>
    </w:pPr>
    <w:r w:rsidRPr="00C475F3">
      <w:rPr>
        <w:sz w:val="18"/>
        <w:szCs w:val="18"/>
      </w:rPr>
      <w:t xml:space="preserve">© COPYRIGHT </w:t>
    </w:r>
    <w:r>
      <w:rPr>
        <w:sz w:val="18"/>
        <w:szCs w:val="18"/>
      </w:rPr>
      <w:t>2012</w:t>
    </w:r>
    <w:r w:rsidRPr="00C475F3">
      <w:rPr>
        <w:sz w:val="18"/>
        <w:szCs w:val="18"/>
      </w:rPr>
      <w:t xml:space="preserve"> </w:t>
    </w:r>
    <w:r>
      <w:rPr>
        <w:sz w:val="18"/>
        <w:szCs w:val="18"/>
      </w:rPr>
      <w:t>AERIS SECURE, LLC</w:t>
    </w:r>
    <w:r w:rsidRPr="00C475F3">
      <w:rPr>
        <w:sz w:val="18"/>
        <w:szCs w:val="18"/>
      </w:rPr>
      <w:t xml:space="preserve"> - CONFIDENTIAL FOR INTERNAL USE ONLY</w:t>
    </w:r>
    <w:r>
      <w:rPr>
        <w:sz w:val="18"/>
        <w:szCs w:val="18"/>
      </w:rPr>
      <w:tab/>
    </w:r>
    <w:r w:rsidR="00464A6A">
      <w:rPr>
        <w:sz w:val="18"/>
        <w:szCs w:val="18"/>
      </w:rPr>
      <w:t>INCIDENT RESPONSE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1A76" w:rsidRDefault="00061A76" w:rsidP="00FF69FC">
      <w:r>
        <w:separator/>
      </w:r>
    </w:p>
  </w:footnote>
  <w:footnote w:type="continuationSeparator" w:id="0">
    <w:p w:rsidR="00061A76" w:rsidRDefault="00061A76" w:rsidP="00FF69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361B5"/>
    <w:multiLevelType w:val="hybridMultilevel"/>
    <w:tmpl w:val="31BC7F8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83054"/>
    <w:multiLevelType w:val="hybridMultilevel"/>
    <w:tmpl w:val="9AE8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5383B"/>
    <w:multiLevelType w:val="hybridMultilevel"/>
    <w:tmpl w:val="05D2A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E4BF2"/>
    <w:multiLevelType w:val="hybridMultilevel"/>
    <w:tmpl w:val="7FF08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6D7010"/>
    <w:multiLevelType w:val="hybridMultilevel"/>
    <w:tmpl w:val="D616A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27512A"/>
    <w:multiLevelType w:val="hybridMultilevel"/>
    <w:tmpl w:val="D8E69F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F275D0"/>
    <w:multiLevelType w:val="hybridMultilevel"/>
    <w:tmpl w:val="02D6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96F2A"/>
    <w:multiLevelType w:val="hybridMultilevel"/>
    <w:tmpl w:val="301632BA"/>
    <w:lvl w:ilvl="0" w:tplc="04090001">
      <w:start w:val="1"/>
      <w:numFmt w:val="bullet"/>
      <w:lvlText w:val=""/>
      <w:lvlJc w:val="left"/>
      <w:pPr>
        <w:ind w:left="720" w:hanging="360"/>
      </w:pPr>
      <w:rPr>
        <w:rFonts w:ascii="Symbol" w:hAnsi="Symbol" w:hint="default"/>
      </w:rPr>
    </w:lvl>
    <w:lvl w:ilvl="1" w:tplc="5EE83D38">
      <w:start w:val="1"/>
      <w:numFmt w:val="bullet"/>
      <w:pStyle w:val="Style1"/>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F2D8A"/>
    <w:multiLevelType w:val="hybridMultilevel"/>
    <w:tmpl w:val="98B0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F79EF"/>
    <w:multiLevelType w:val="hybridMultilevel"/>
    <w:tmpl w:val="2B82A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8394D67"/>
    <w:multiLevelType w:val="hybridMultilevel"/>
    <w:tmpl w:val="61568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FE4F81"/>
    <w:multiLevelType w:val="hybridMultilevel"/>
    <w:tmpl w:val="A2042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B64010"/>
    <w:multiLevelType w:val="hybridMultilevel"/>
    <w:tmpl w:val="F18C2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3D5D76"/>
    <w:multiLevelType w:val="hybridMultilevel"/>
    <w:tmpl w:val="85D48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0"/>
  </w:num>
  <w:num w:numId="3">
    <w:abstractNumId w:val="12"/>
  </w:num>
  <w:num w:numId="4">
    <w:abstractNumId w:val="6"/>
  </w:num>
  <w:num w:numId="5">
    <w:abstractNumId w:val="7"/>
  </w:num>
  <w:num w:numId="6">
    <w:abstractNumId w:val="11"/>
  </w:num>
  <w:num w:numId="7">
    <w:abstractNumId w:val="1"/>
  </w:num>
  <w:num w:numId="8">
    <w:abstractNumId w:val="13"/>
  </w:num>
  <w:num w:numId="9">
    <w:abstractNumId w:val="3"/>
  </w:num>
  <w:num w:numId="10">
    <w:abstractNumId w:val="2"/>
  </w:num>
  <w:num w:numId="11">
    <w:abstractNumId w:val="9"/>
  </w:num>
  <w:num w:numId="12">
    <w:abstractNumId w:val="5"/>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2E9B"/>
    <w:rsid w:val="00061A76"/>
    <w:rsid w:val="000C61AF"/>
    <w:rsid w:val="00112377"/>
    <w:rsid w:val="00121845"/>
    <w:rsid w:val="00123FAE"/>
    <w:rsid w:val="00155A23"/>
    <w:rsid w:val="001E60EA"/>
    <w:rsid w:val="001E7FBF"/>
    <w:rsid w:val="00261FE1"/>
    <w:rsid w:val="00344BB2"/>
    <w:rsid w:val="0040535B"/>
    <w:rsid w:val="00442CA0"/>
    <w:rsid w:val="00464A6A"/>
    <w:rsid w:val="004F1EB9"/>
    <w:rsid w:val="005E54FC"/>
    <w:rsid w:val="00644748"/>
    <w:rsid w:val="0065758F"/>
    <w:rsid w:val="006E75F9"/>
    <w:rsid w:val="00700860"/>
    <w:rsid w:val="00773092"/>
    <w:rsid w:val="00783F45"/>
    <w:rsid w:val="00795F4A"/>
    <w:rsid w:val="007D1DDE"/>
    <w:rsid w:val="008B06E8"/>
    <w:rsid w:val="008D07F7"/>
    <w:rsid w:val="00975617"/>
    <w:rsid w:val="00982E9B"/>
    <w:rsid w:val="009D4360"/>
    <w:rsid w:val="00AA14C0"/>
    <w:rsid w:val="00C108FF"/>
    <w:rsid w:val="00C43434"/>
    <w:rsid w:val="00CF125D"/>
    <w:rsid w:val="00D07A4D"/>
    <w:rsid w:val="00E25D35"/>
    <w:rsid w:val="00E32359"/>
    <w:rsid w:val="00ED659B"/>
    <w:rsid w:val="00F22F88"/>
    <w:rsid w:val="00F8036A"/>
    <w:rsid w:val="00FD212D"/>
    <w:rsid w:val="00FD7F4C"/>
    <w:rsid w:val="00FF6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866D1"/>
  <w15:docId w15:val="{F0EEE66B-B27A-47E1-A8DE-91ACEEE9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2E9B"/>
    <w:pPr>
      <w:spacing w:after="0" w:line="240" w:lineRule="auto"/>
    </w:pPr>
    <w:rPr>
      <w:rFonts w:eastAsiaTheme="minorEastAsia"/>
      <w:sz w:val="24"/>
      <w:szCs w:val="24"/>
      <w:lang w:eastAsia="ja-JP"/>
    </w:rPr>
  </w:style>
  <w:style w:type="paragraph" w:styleId="Heading1">
    <w:name w:val="heading 1"/>
    <w:basedOn w:val="Normal"/>
    <w:next w:val="Normal"/>
    <w:link w:val="Heading1Char"/>
    <w:uiPriority w:val="9"/>
    <w:qFormat/>
    <w:rsid w:val="008B06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2E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2E9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2E9B"/>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rsid w:val="00982E9B"/>
    <w:rPr>
      <w:rFonts w:asciiTheme="majorHAnsi" w:eastAsiaTheme="majorEastAsia" w:hAnsiTheme="majorHAnsi" w:cstheme="majorBidi"/>
      <w:b/>
      <w:bCs/>
      <w:color w:val="4F81BD" w:themeColor="accent1"/>
      <w:sz w:val="24"/>
      <w:szCs w:val="24"/>
      <w:lang w:eastAsia="ja-JP"/>
    </w:rPr>
  </w:style>
  <w:style w:type="paragraph" w:styleId="ListParagraph">
    <w:name w:val="List Paragraph"/>
    <w:basedOn w:val="Normal"/>
    <w:link w:val="ListParagraphChar"/>
    <w:uiPriority w:val="34"/>
    <w:qFormat/>
    <w:rsid w:val="00982E9B"/>
    <w:pPr>
      <w:ind w:left="720"/>
      <w:contextualSpacing/>
    </w:pPr>
  </w:style>
  <w:style w:type="character" w:customStyle="1" w:styleId="Heading1Char">
    <w:name w:val="Heading 1 Char"/>
    <w:basedOn w:val="DefaultParagraphFont"/>
    <w:link w:val="Heading1"/>
    <w:uiPriority w:val="9"/>
    <w:rsid w:val="008B06E8"/>
    <w:rPr>
      <w:rFonts w:asciiTheme="majorHAnsi" w:eastAsiaTheme="majorEastAsia" w:hAnsiTheme="majorHAnsi" w:cstheme="majorBidi"/>
      <w:b/>
      <w:bCs/>
      <w:color w:val="365F91" w:themeColor="accent1" w:themeShade="BF"/>
      <w:sz w:val="28"/>
      <w:szCs w:val="28"/>
      <w:lang w:eastAsia="ja-JP"/>
    </w:rPr>
  </w:style>
  <w:style w:type="paragraph" w:styleId="Header">
    <w:name w:val="header"/>
    <w:basedOn w:val="Normal"/>
    <w:link w:val="HeaderChar"/>
    <w:uiPriority w:val="99"/>
    <w:unhideWhenUsed/>
    <w:rsid w:val="00FF69FC"/>
    <w:pPr>
      <w:tabs>
        <w:tab w:val="center" w:pos="4680"/>
        <w:tab w:val="right" w:pos="9360"/>
      </w:tabs>
    </w:pPr>
  </w:style>
  <w:style w:type="character" w:customStyle="1" w:styleId="HeaderChar">
    <w:name w:val="Header Char"/>
    <w:basedOn w:val="DefaultParagraphFont"/>
    <w:link w:val="Header"/>
    <w:uiPriority w:val="99"/>
    <w:rsid w:val="00FF69FC"/>
    <w:rPr>
      <w:rFonts w:eastAsiaTheme="minorEastAsia"/>
      <w:sz w:val="24"/>
      <w:szCs w:val="24"/>
      <w:lang w:eastAsia="ja-JP"/>
    </w:rPr>
  </w:style>
  <w:style w:type="paragraph" w:styleId="Footer">
    <w:name w:val="footer"/>
    <w:basedOn w:val="Normal"/>
    <w:link w:val="FooterChar"/>
    <w:uiPriority w:val="99"/>
    <w:unhideWhenUsed/>
    <w:rsid w:val="00FF69FC"/>
    <w:pPr>
      <w:tabs>
        <w:tab w:val="center" w:pos="4680"/>
        <w:tab w:val="right" w:pos="9360"/>
      </w:tabs>
    </w:pPr>
  </w:style>
  <w:style w:type="character" w:customStyle="1" w:styleId="FooterChar">
    <w:name w:val="Footer Char"/>
    <w:basedOn w:val="DefaultParagraphFont"/>
    <w:link w:val="Footer"/>
    <w:uiPriority w:val="99"/>
    <w:rsid w:val="00FF69FC"/>
    <w:rPr>
      <w:rFonts w:eastAsiaTheme="minorEastAsia"/>
      <w:sz w:val="24"/>
      <w:szCs w:val="24"/>
      <w:lang w:eastAsia="ja-JP"/>
    </w:rPr>
  </w:style>
  <w:style w:type="paragraph" w:styleId="NoSpacing">
    <w:name w:val="No Spacing"/>
    <w:basedOn w:val="Normal"/>
    <w:link w:val="NoSpacingChar"/>
    <w:uiPriority w:val="1"/>
    <w:qFormat/>
    <w:rsid w:val="006E75F9"/>
    <w:pPr>
      <w:jc w:val="both"/>
    </w:pPr>
    <w:rPr>
      <w:sz w:val="20"/>
      <w:szCs w:val="20"/>
      <w:lang w:eastAsia="en-US" w:bidi="en-US"/>
    </w:rPr>
  </w:style>
  <w:style w:type="character" w:customStyle="1" w:styleId="NoSpacingChar">
    <w:name w:val="No Spacing Char"/>
    <w:basedOn w:val="DefaultParagraphFont"/>
    <w:link w:val="NoSpacing"/>
    <w:uiPriority w:val="1"/>
    <w:rsid w:val="006E75F9"/>
    <w:rPr>
      <w:rFonts w:eastAsiaTheme="minorEastAsia"/>
      <w:sz w:val="20"/>
      <w:szCs w:val="20"/>
      <w:lang w:bidi="en-US"/>
    </w:rPr>
  </w:style>
  <w:style w:type="character" w:styleId="Hyperlink">
    <w:name w:val="Hyperlink"/>
    <w:basedOn w:val="DefaultParagraphFont"/>
    <w:uiPriority w:val="99"/>
    <w:unhideWhenUsed/>
    <w:rsid w:val="00700860"/>
    <w:rPr>
      <w:color w:val="0000FF" w:themeColor="hyperlink"/>
      <w:u w:val="single"/>
    </w:rPr>
  </w:style>
  <w:style w:type="table" w:styleId="TableGrid">
    <w:name w:val="Table Grid"/>
    <w:basedOn w:val="TableNormal"/>
    <w:uiPriority w:val="59"/>
    <w:rsid w:val="00405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AA14C0"/>
  </w:style>
  <w:style w:type="paragraph" w:customStyle="1" w:styleId="Style1">
    <w:name w:val="Style1"/>
    <w:basedOn w:val="ListParagraph"/>
    <w:link w:val="Style1Char"/>
    <w:qFormat/>
    <w:rsid w:val="00FD212D"/>
    <w:pPr>
      <w:numPr>
        <w:ilvl w:val="1"/>
        <w:numId w:val="5"/>
      </w:numPr>
      <w:spacing w:before="200" w:after="200" w:line="276" w:lineRule="auto"/>
    </w:pPr>
    <w:rPr>
      <w:b/>
      <w:sz w:val="22"/>
      <w:szCs w:val="22"/>
    </w:rPr>
  </w:style>
  <w:style w:type="character" w:customStyle="1" w:styleId="ListParagraphChar">
    <w:name w:val="List Paragraph Char"/>
    <w:basedOn w:val="DefaultParagraphFont"/>
    <w:link w:val="ListParagraph"/>
    <w:uiPriority w:val="34"/>
    <w:rsid w:val="00FD212D"/>
    <w:rPr>
      <w:rFonts w:eastAsiaTheme="minorEastAsia"/>
      <w:sz w:val="24"/>
      <w:szCs w:val="24"/>
      <w:lang w:eastAsia="ja-JP"/>
    </w:rPr>
  </w:style>
  <w:style w:type="character" w:customStyle="1" w:styleId="Style1Char">
    <w:name w:val="Style1 Char"/>
    <w:basedOn w:val="ListParagraphChar"/>
    <w:link w:val="Style1"/>
    <w:rsid w:val="00FD212D"/>
    <w:rPr>
      <w:rFonts w:eastAsiaTheme="minorEastAsia"/>
      <w:b/>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ns.org/" TargetMode="External"/><Relationship Id="rId13" Type="http://schemas.openxmlformats.org/officeDocument/2006/relationships/hyperlink" Target="http://www.mastercard.com/us/merchant/security/fraud_preventio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ist.gov" TargetMode="External"/><Relationship Id="rId12" Type="http://schemas.openxmlformats.org/officeDocument/2006/relationships/hyperlink" Target="http://usa.visa.com/merchants/risk_management/cisp_if_compromised.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jcb-global.com/english/jdsp/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haredassessments.org/" TargetMode="External"/><Relationship Id="rId5" Type="http://schemas.openxmlformats.org/officeDocument/2006/relationships/footnotes" Target="footnotes.xml"/><Relationship Id="rId15" Type="http://schemas.openxmlformats.org/officeDocument/2006/relationships/hyperlink" Target="http://www.discovernetwork.com/fraudsecurity/databreach.html" TargetMode="External"/><Relationship Id="rId10" Type="http://schemas.openxmlformats.org/officeDocument/2006/relationships/hyperlink" Target="http://www.isaca.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isecurity.org/" TargetMode="External"/><Relationship Id="rId14" Type="http://schemas.openxmlformats.org/officeDocument/2006/relationships/hyperlink" Target="https://www.americanexpress.com/us/content/merchant/fraud-preven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dc:creator>
  <cp:lastModifiedBy>Jeffrey Stiles</cp:lastModifiedBy>
  <cp:revision>6</cp:revision>
  <dcterms:created xsi:type="dcterms:W3CDTF">2013-02-21T22:04:00Z</dcterms:created>
  <dcterms:modified xsi:type="dcterms:W3CDTF">2018-02-21T00:34:00Z</dcterms:modified>
</cp:coreProperties>
</file>