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 w:eastAsia="黑体"/>
          <w:b/>
          <w:sz w:val="44"/>
        </w:rPr>
        <w:t>综治办公私有AI智能体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内部技术定稿版</w:t>
      </w:r>
    </w:p>
    <w:p>
      <w:pPr>
        <w:spacing w:before="480"/>
        <w:jc w:val="center"/>
      </w:pPr>
      <w:r>
        <w:rPr>
          <w:rFonts w:ascii="Times New Roman" w:hAnsi="Times New Roman" w:eastAsia="楷体"/>
          <w:b w:val="0"/>
          <w:sz w:val="22"/>
        </w:rPr>
        <w:t>文档性质：内部研发 / 立项技术基线（非正式对外版）</w:t>
        <w:br/>
        <w:t>版本：V1.0-内部定稿</w:t>
        <w:br/>
        <w:t>日期：2026-07-23</w:t>
        <w:br/>
        <w:t>状态：已收敛 · 可据此开工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color w:val="666666"/>
          <w:sz w:val="21"/>
        </w:rPr>
        <w:t>说明：本文在原「迭代定稿方案」基础上，按可行性评审收敛技术栈、工期与合规表述，作为内部唯一技术基线。对外立项/客户材料另出。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一、文档目的与适用范围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本文档用于冻结「综治办公私有AI智能体」产品的内部技术基线，指导后续开发、联调、打包与内测。凡与本文冲突的口头约定或旧稿表述，以本文为准。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适用范围：Windows 单机 EXE 客户端、内嵌 Python Sidecar、内网 DeepSeek 推理 API 对接、办公文件解析与制式文档导出。不含客户侧 DeepSeek 服务器部署细节（由客户或另行运维方案覆盖）。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二、产品定位（硬性不变）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最大化复用 MIT / Apache-2.0 宽松协议开源组件，零 AGPL 强传染依赖；仅自研业务专属逻辑（前端、公文模板、业务规则、提示词）；单机 EXE 内网部署；仅通过内网 API 调用企业本地私有化 DeepSeek V4 Flash；实现「多格式办公文件解析 → AI 归纳分析 → 生成带标准公文排版的 Word/Excel/PPT」全链路能力。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设计约束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部署形态：Windows 单机独立安装程序，本地闭环运行；唯一允许的出站网络为可配置的内网大模型推理 API；无外网强制联网、无云端业务数据上报。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版权底线：规避 GPL/AGPL 传染性协议；自研前端、模板、提示词、业务规则永久闭源，可用于商业收费交付。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算力分离：客户端不搭载生成式大模型权重；推理由企业内网 DeepSeek 服务器承担。允许按需内置小型本地 embedding 模型（须在合规清单中单独说明，与「生成式大模型」区分）。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开发原则：底层调度、文件编解码优先成熟开源库；开发工作量集中在业务配置、模板定制、机关格式适配与内网加固。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保密表述（对外口径冻结）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禁止使用「原始涉密内容绝不上送」等不严谨表述。统一口径如下：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原始办公文件（二进制）与向量库、会话记录默认保存在本机。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为完成分析与生成，解析后的必要文本片段经内网 HTTP 提交至单位自有 DeepSeek 推理服务。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不经公网、不上报开源组件厂商云；客户端出站目标仅限配置白名单内的 API 地址。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输出文档为可编辑制式初稿；印章、签发、涉密标识等须人工终审。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三、架构定稿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3.1 运行架构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Windows 单机客户端（Tauri EXE）通过本地进程调用内嵌 Python Sidecar（解析 / 流水线 / 可选 RAG / Office 编解码）；Sidecar 仅向企业内网 DeepSeek V4 Flash（OpenAI 兼容 REST API）发起 HTTP 请求。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示意：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Tauri 壳 + 自研前端  →  本地 Python Sidecar  →  内网 DeepSeek V4 Flash API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（无网络）              （白名单 HTTP）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3.2 首版默认技术栈（已收敛）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评审结论：原方案中 CrewAI + LangChain + LlamaIndex + Chroma 叠加过重，不作为首版默认。首版采用轻量流水线，保证可打包、可断网验收、可按期交付。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层级</w:t>
            </w:r>
          </w:p>
        </w:tc>
        <w:tc>
          <w:tcPr>
            <w:tcW w:type="dxa" w:w="1813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组件</w:t>
            </w:r>
          </w:p>
        </w:tc>
        <w:tc>
          <w:tcPr>
            <w:tcW w:type="dxa" w:w="1813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协议</w:t>
            </w:r>
          </w:p>
        </w:tc>
        <w:tc>
          <w:tcPr>
            <w:tcW w:type="dxa" w:w="1813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1813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首版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客户端壳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Tauri (Rust)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EXE 打包、Sidecar 管理、本地文件权限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自研 HTML/CSS/JS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私有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对话、上传、进度、下载、设置、关于/许可证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后端运行时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嵌入式 Python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PSF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Sidecar 业务进程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LLM 适配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openai 官方 SDK 或 langchain-openai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OpenAI 兼容 API 调用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编排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自研串行 Pipeline（4 步）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私有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解析→分析→撰稿→导出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Word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python-docx / docxtpl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读取与模板填充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Excel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openpyxl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台账读写与样式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PDF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pdfplumber + pypdf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MIT/BSD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文本与表格提取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PPT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python-pptx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汇报页生成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二期默认；首版可裁剪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图表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matplotlib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PSF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可选统计图嵌入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可选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RAG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轻量向量库 + 本地 embedding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Apache/MIT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规章库检索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二期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 Agent 框架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CrewAI 等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MIT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复杂多角色协同</w:t>
            </w:r>
          </w:p>
        </w:tc>
        <w:tc>
          <w:tcPr>
            <w:tcW w:type="dxa" w:w="181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二期评估，非默认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3.3 首版四步流水线（替代多框架编排）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文件解析专员（本地代码）：按扩展名调用解析库，输出纯文本 + 结构化表格 JSON。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数据分析专员（LLM）：归类、统计、风险梳理、交叉比对、合规要点提炼。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公文撰稿专员（LLM）：按单位文风与模板槽位生成正文/表格填充内容。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文档导出专员（本地代码）：占位符填充标准模板，局部样式微调后落盘。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实现形态：YAML/JSON 配置提示词与步骤参数 + Python 函数编排；不引入 CrewAI 运行时，除非二期明确需要且完成遥测禁用与断网验证。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3.4 明确不做 / 延后（Not Doing）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首版不默认集成 CrewAI（默认遥测与外联风险，机关断网验收不友好）。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首版不默认集成 LlamaIndex + Chroma 全量 RAG（体积与 embedding 权重问题）；无规章库刚需时，靠上传文件上下文即可。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不做复杂艺术化 PPT、动画、插画；不做「一键正式发文」承诺。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客户端不捆绑 DeepSeek 模型权重，不单独分发权重文件。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默认打包策略不使用 UPX（降低杀软误报）；体积优先让位于安装成功率。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四、功能基线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4.1 输入：多格式解析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支持格式：.docx .xlsx .pdf .txt；.pptx 读写与导出按裁剪策略决定是否进首版。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客户端将文件写入本地临时/工作目录（路径白名单可控）。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解析模块分离纯文本与结构化表格；失败文件单独记日志并允许跳过。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扫描件/图片型 PDF：首版标明能力边界（纯文本库无法保证）；OCR 列为二期可选。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典型场景：巡察台账、安全自查表、历年总结、规章条例批量导入。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4.2 核心：归纳与分析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多份台账交叉比对：重复问题、高频隐患。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检查记录归类：风险等级、责任科室、整改时限（字段以客户模板为准）。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工作亮点/薄弱项提炼与大纲生成。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依据已上传或二期入库的规章制度做合规提示（非法律意见书）。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4.3 输出：模板优先的 Office 生成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策略：单位标准空白模板内置于安装包；程序以占位符填充为主，代码补样式为辅。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Word：红头简报、巡察整改报告、安全总结、通知等（字体、行距、缩进、页脚、边框以模板为准）。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Excel：综治台账、防汛防火统计、隐患清单（固定列、筛选、边框、底色、基础公式）。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PPT（二期或可选）：季度汇报、专项检查汇报母版填充。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能力边界：完美适配机关制式初稿；复杂域代码、印章位、骑缝章、修订痕迹等不保证自动化，输出后人工终审。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五、安全、网络与审计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API 基址、密钥仅存本地配置（可加密存储）；设置页可改，需校验 URL 合法性。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出站网络白名单：默认仅允许配置的 DeepSeek API Host；阻断其余外网域名（含开源组件遥测域名）。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若二期引入 CrewAI 或带 OTEL 的组件：启动最早阶段强制禁用遥测（如 CREWAI_DISABLE_TELEMETRY、OTEL_SDK_DISABLED），并在断网环境做回归。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目录白名单：仅允许读写约定工作目录与用户显式选择的文件。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操作日志：任务起止、文件名哈希/路径、API 调用是否成功、错误码；日志本地留存，不上报。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「关于」页与安装目录提供第三方 LICENSE 汇总；不剥离上游版权声明。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六、依赖与版权合规（内部执行清单）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顶层依赖以 MIT / Apache-2.0 / BSD / PSF 为主。每次锁定依赖版本后必须执行传递依赖许可证扫描（如 pip-licenses 或 SBOM），发现 GPL/AGPL/商业限制条款必须替换或剔除后方可打包。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产品名称与商标不得使用上游项目名/LOGO。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DeepSeek：按客户合同完成私有化商用授权/备案；开源权重协议与企业采购授权分开管理。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不单独分发模型权重；客户端仅 API 调用。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安装包内附 NOTICE/LICENSE 目录，列明第三方组件名称、版本、协议文本。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七、体积、性能与环境基线（预期区间）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以下为收敛栈后的工程预期，非对外承诺 SLA；以实测打包结果回填本文修订版。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3022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预期区间</w:t>
            </w:r>
          </w:p>
        </w:tc>
        <w:tc>
          <w:tcPr>
            <w:tcW w:type="dxa" w:w="3022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安装包（完整解析+Word/Excel）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180–350 MB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 Python 运行时；视是否含 embedding 浮动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安装后磁盘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400–700 MB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含空库与内置模板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空闲内存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150–350 MB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 WebView/Python 常驻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常规单文档任务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 250–500 MB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解析+生成 Word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批量峰值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建议 ≤ 800 MB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超限则限流并发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最低运行环境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Win10+ / 4GB 内存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推荐 8GB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禁止将 UPX 作为默认发布手段；若极致压缩需求出现，须单独评估杀软误报并经内测名单验证。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八、工期与里程碑（内部排期）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原「9–12 个工作日交付商用」不作为内部承诺。拆为两档：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档位</w:t>
            </w:r>
          </w:p>
        </w:tc>
        <w:tc>
          <w:tcPr>
            <w:tcW w:type="dxa" w:w="2266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目标</w:t>
            </w:r>
          </w:p>
        </w:tc>
        <w:tc>
          <w:tcPr>
            <w:tcW w:type="dxa" w:w="2266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建议工期</w:t>
            </w:r>
          </w:p>
        </w:tc>
        <w:tc>
          <w:tcPr>
            <w:tcW w:type="dxa" w:w="2266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交付物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D0 可演示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主路径跑通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10–15 个工作日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内网 API 连通；单文件解析→分析→Word 模板导出；极简 UI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D1 可内测交付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可装可验收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再 +10–20 个工作日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安装包、白名单、日志、LICENSE、异常处理、1–2 套真实模板打磨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D2 定制增强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按项目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另计</w:t>
            </w:r>
          </w:p>
        </w:tc>
        <w:tc>
          <w:tcPr>
            <w:tcW w:type="dxa" w:w="226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多套公文模板、Excel 台账、可选 PPT/RAG/OCR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8.1 D0 任务拆解（参考）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环境底座与 DeepSeek API 连通、配置项设计（1–2 天）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Office/PDF 解析与结构化输出（2–3 天）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四步 Pipeline + 场景提示词初版（2–3 天）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1 套 Word 模板填充闭环（2–3 天）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Tauri 壳 + 极简前端联调（2–3 天）</w:t>
      </w:r>
    </w:p>
    <w:p>
      <w:pPr>
        <w:pStyle w:val="ListNumber"/>
        <w:spacing w:after="60" w:line="324" w:lineRule="auto"/>
      </w:pPr>
      <w:r>
        <w:rPr>
          <w:rFonts w:ascii="Times New Roman" w:hAnsi="Times New Roman" w:eastAsia="宋体"/>
          <w:b w:val="0"/>
          <w:sz w:val="24"/>
        </w:rPr>
        <w:t>打包脚本与基础日志（1–2 天）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8.2 D1 必补项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断网/错误 API/大文件/解析失败等异常路径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网络白名单与配置校验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依赖许可证扫描与「关于」页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真实机关模板还原与抽样人工对照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杀软兼容与安装路径权限问题排查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九、商业化适配（内部共识）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项目定制费：模板、提示词、场景规则、部署联调。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年度服务费：内网运维、模板更新、规则迭代、问题排查（主要续费点）。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单机授权：若售卖，需另立授权校验方案（机器码/许可证文件）；不在 D0 范围。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产品差异化叙事应落在：机关模板库、场景提示词、内网加固、审计日志、交付运维——而非开源框架品牌名称。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十、待验证假设与开工前门禁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10.1 关键假设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客户内网 DeepSeek V4 Flash API 已可用（地址、鉴权、上下文长度、并发）。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客户能提供可占位符化的标准空白模板（至少 1 套 Word）。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首批场景不依赖扫描件 OCR。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首版可不建本地规章 RAG。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10.2 开工前门禁（全部勾选后方可进 D1 打包）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[ ] 内网 API 连通与样例长文推理验证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[ ] 传递依赖许可证扫描通过（无 AGPL/GPL 污染）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[ ] 断网环境下仅白名单 API 可访问的验证记录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[ ] 至少 1 套真实模板填充对照通过业务方目视</w:t>
      </w:r>
    </w:p>
    <w:p>
      <w:pPr>
        <w:pStyle w:val="ListBullet"/>
        <w:spacing w:after="60" w:line="324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>[ ] 安装包在目标 Windows 镜像安静安装并完成一次端到端任务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十一、修订记录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3022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3022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V1.0-内部定稿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2026-07-23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基于原迭代方案评审收敛：默认轻量流水线、工期分档、保密口径修正、禁用 UPX 默认、CrewAI/RAG 降为二期</w:t>
            </w:r>
          </w:p>
        </w:tc>
      </w:tr>
    </w:tbl>
    <w:p/>
    <w:p>
      <w:pPr>
        <w:spacing w:after="120" w:line="360" w:lineRule="auto"/>
      </w:pPr>
      <w:r>
        <w:rPr>
          <w:rFonts w:ascii="Times New Roman" w:hAnsi="Times New Roman" w:eastAsia="宋体"/>
          <w:b/>
          <w:sz w:val="24"/>
        </w:rPr>
        <w:t>—— 正文结束 ——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