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关于推进数字化转型工作的情况汇报</w:t>
      </w:r>
    </w:p>
    <w:p>
      <w:r>
        <w:t>我局高度重视数字化转型，2025年完成核心系统上线，覆盖率达到95%。</w:t>
      </w:r>
    </w:p>
    <w:p>
      <w:r>
        <w:t>我委同步推进人才培养，全年培训人次超过1200人次，较去年增长约三成。</w:t>
      </w:r>
    </w:p>
    <w:p>
      <w:r>
        <w:t>下一步将继续加强信息化建设，不断提升数字化水平，奋力谱写新篇章。</w:t>
      </w:r>
    </w:p>
    <w:p>
      <w:r>
        <w:t>据了解，相关投入约为三千万元左右，具体数字待进一步核实后另行报告。</w:t>
      </w:r>
    </w:p>
    <w:p>
      <w:r>
        <w:t>本单位与“本单位”及“我单位”表述并存，需统一称谓习惯。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