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人才培养专项材料09</w:t>
      </w:r>
    </w:p>
    <w:p>
      <w:r>
        <w:t>一、干部人才培养</w:t>
      </w:r>
    </w:p>
    <w:p>
      <w:r>
        <w:t>完成专题培训 150 人次，优秀学员占比 25%。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