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人才培养专项材料21</w:t>
      </w:r>
    </w:p>
    <w:p>
      <w:r>
        <w:t>一、干部人才培养</w:t>
      </w:r>
    </w:p>
    <w:p>
      <w:r>
        <w:t>完成专题培训 70 人次，优秀学员占比 70%。</w:t>
      </w:r>
    </w:p>
    <w:p>
      <w:r>
        <w:t>二、下一步打算</w:t>
      </w:r>
    </w:p>
    <w:p>
      <w:r>
        <w:t>仍存在短板：基层力量不足，制约业务协同。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