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党建引领专项材料11</w:t>
      </w:r>
    </w:p>
    <w:p>
      <w:r>
        <w:t>一、党建引领业务</w:t>
      </w:r>
    </w:p>
    <w:p>
      <w:r>
        <w:t>开展主题党日 40 次，党员攻坚项目落地 60 项重点任务。</w:t>
      </w:r>
    </w:p>
    <w:p>
      <w:r>
        <w:t>二、下一步打算</w:t>
      </w:r>
    </w:p>
    <w:p>
      <w:r>
        <w:t>仍存在短板：基层力量不足，制约业务协同。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