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党建引领专项材料17</w:t>
      </w:r>
    </w:p>
    <w:p>
      <w:r>
        <w:t>一、党建引领业务</w:t>
      </w:r>
    </w:p>
    <w:p>
      <w:r>
        <w:t>开展主题党日 58 次，党员攻坚项目落地 66 项重点任务。</w:t>
      </w:r>
    </w:p>
    <w:p>
      <w:r>
        <w:t>二、下一步打算</w:t>
      </w:r>
    </w:p>
    <w:p>
      <w:r>
        <w:t>着力完善制度机制，推进重点任务落地见效。</w:t>
      </w:r>
    </w:p>
    <w:p>
      <w:r>
        <w:t>（一）持续推进重点工作</w:t>
      </w:r>
    </w:p>
    <w:p>
      <w:r>
        <w:t>例如：在试点单位先行先试，形成可复制经验。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