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党建引领专项材料29</w:t>
      </w:r>
    </w:p>
    <w:p>
      <w:r>
        <w:t>一、党建引领业务</w:t>
      </w:r>
    </w:p>
    <w:p>
      <w:r>
        <w:t>开展主题党日 94 次，党员攻坚项目落地 78 项重点任务。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