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服务提升专项材料22</w:t>
      </w:r>
    </w:p>
    <w:p>
      <w:r>
        <w:t>一、窗口服务提升</w:t>
      </w:r>
    </w:p>
    <w:p>
      <w:r>
        <w:t>群众满意度达到 71%，办结时限压缩 73 个工作日。</w:t>
      </w:r>
    </w:p>
    <w:p>
      <w:r>
        <w:t>二、下一步打算</w:t>
      </w:r>
    </w:p>
    <w:p>
      <w:r>
        <w:t>着力完善制度机制，推进重点任务落地见效。</w:t>
      </w:r>
    </w:p>
    <w:p>
      <w:r>
        <w:t>（一）持续推进重点工作</w:t>
      </w:r>
    </w:p>
    <w:p>
      <w:r>
        <w:t>例如：在试点单位先行先试，形成可复制经验。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