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color w:val="14232E"/>
          <w:sz w:val="30"/>
          <w:szCs w:val="30"/>
        </w:rPr>
        <w:t xml:space="preserve">文书通（内部办公智能体）安全自评估 · 一页纸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B6B7A"/>
          <w:sz w:val="16"/>
          <w:szCs w:val="16"/>
        </w:rPr>
        <w:t>内网部署 · 本地大模型 · 评估执行：字节跳动 Trae + 腾讯云 CodeBuddy，Kimi K3 模型辅助代码审查 · 对标 3 份国家标准与 OWASP LLM Top 10 · 2026-07-31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D5D2" w:sz="1"/>
              <w:left w:val="single" w:color="BFD5D2" w:sz="1"/>
              <w:bottom w:val="single" w:color="BFD5D2" w:sz="1"/>
              <w:right w:val="single" w:color="BFD5D2" w:sz="1"/>
            </w:tcBorders>
            <w:shd w:fill="E4F3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19"/>
                <w:szCs w:val="19"/>
              </w:rPr>
              <w:t xml:space="preserve">自评结论：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未发现不可接受的安全阻断项；2 项高危 + 1 项中危已全部封堵并回归验证（171 项测试通过）；残留风险转化为可逐台核验的部署条件。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19"/>
                <w:szCs w:val="19"/>
              </w:rPr>
              <w:t xml:space="preserve">建议批准 3–5 人、2–4 周、非涉密场景的内部试点。</w:t>
            </w:r>
          </w:p>
        </w:tc>
      </w:tr>
    </w:tbl>
    <w:p>
      <w:pPr>
        <w:spacing w:after="100"/>
      </w:pP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9"/>
        <w:gridCol w:w="5089"/>
      </w:tblGrid>
      <w:tr>
        <w:tc>
          <w:tcPr>
            <w:tcW w:type="dxa" w:w="5089"/>
            <w:tcBorders>
              <w:top w:val="single" w:color="BFD5D2" w:sz="1"/>
              <w:left w:val="single" w:color="BFD5D2" w:sz="1"/>
              <w:bottom w:val="single" w:color="BFD5D2" w:sz="1"/>
              <w:right w:val="single" w:color="BFD5D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20"/>
                <w:szCs w:val="20"/>
              </w:rPr>
              <w:t xml:space="preserve">为什么可以放心（结构性优势）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数据不出内网：本地大模型，文档/会话/审计全在内网闭环，无公网回传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桌面单机形态：非公网服务，仅监听本机回环地址，攻击面小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高危操作人工把关：写文件/跑脚本默认需人工确认，全程留痕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安全基线：沙箱防越界、防 Zip Slip、配置与审计脱敏</w:t>
            </w:r>
          </w:p>
        </w:tc>
        <w:tc>
          <w:tcPr>
            <w:tcW w:type="dxa" w:w="5089"/>
            <w:tcBorders>
              <w:top w:val="single" w:color="BFD5D2" w:sz="1"/>
              <w:left w:val="single" w:color="BFD5D2" w:sz="1"/>
              <w:bottom w:val="single" w:color="BFD5D2" w:sz="1"/>
              <w:right w:val="single" w:color="BFD5D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20"/>
                <w:szCs w:val="20"/>
              </w:rPr>
              <w:t xml:space="preserve">怎么评的（标准化方法 + 权威标准）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>静态扫描 bandit 3366 行：1 项高危告警经分析判定为误报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依赖漏洞 pip-audit / npm audit / cargo audit：Python 依赖 0 已知 CVE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国标 GB/T 45654—2025 逐项对照：符合或基本符合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OWASP LLM Top 10 2025 逐项对照：无缺失控制项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人工审计 + 攻击实测：脚本逃逸/窃密钥/越界均验证</w:t>
            </w:r>
          </w:p>
        </w:tc>
      </w:tr>
      <w:tr>
        <w:tc>
          <w:tcPr>
            <w:tcW w:type="dxa" w:w="5089"/>
            <w:tcBorders>
              <w:top w:val="single" w:color="BFD5D2" w:sz="1"/>
              <w:left w:val="single" w:color="BFD5D2" w:sz="1"/>
              <w:bottom w:val="single" w:color="BFD5D2" w:sz="1"/>
              <w:right w:val="single" w:color="BFD5D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20"/>
                <w:szCs w:val="20"/>
              </w:rPr>
              <w:t xml:space="preserve">发现的问题 → 已全部处置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【高·已封堵】脚本可窃取软件密钥 → 敏感环境变量强制剥离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【高·已封堵】审计日志明文记公文全文 → 落库前自动脱敏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【中·已封堵】服务可被改绑内网地址且无鉴权 → 启动硬校验拒绝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【中·部署收敛】配置文件明文存密钥 → 系统文件权限锁定（准入项）</w:t>
            </w:r>
          </w:p>
        </w:tc>
        <w:tc>
          <w:tcPr>
            <w:tcW w:type="dxa" w:w="5089"/>
            <w:tcBorders>
              <w:top w:val="single" w:color="BFD5D2" w:sz="1"/>
              <w:left w:val="single" w:color="BFD5D2" w:sz="1"/>
              <w:bottom w:val="single" w:color="BFD5D2" w:sz="1"/>
              <w:right w:val="single" w:color="BFD5D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20"/>
                <w:szCs w:val="20"/>
              </w:rPr>
              <w:t xml:space="preserve">试点准入“六条军规”（逐台核验）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1 防火墙禁软件出站，仅放行本地大模型地址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2 模型地址必须配置为本地大模型，不用公网默认值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3 配置文件系统级权限锁定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4 权限默认最严档，高危操作逐次确认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5 仅监听本机回环（已由代码强制）</w:t>
            </w:r>
          </w:p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color w:val="1B2A41"/>
                <w:sz w:val="18"/>
                <w:szCs w:val="18"/>
              </w:rPr>
              <w:t xml:space="preserve">6 3–5 人 / 非涉密 / 专人运维 / 审计周复核</w:t>
            </w:r>
          </w:p>
        </w:tc>
      </w:tr>
    </w:tbl>
    <w:p>
      <w:pPr>
        <w:spacing w:after="100"/>
      </w:pP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D5D2" w:sz="1"/>
              <w:left w:val="single" w:color="BFD5D2" w:sz="1"/>
              <w:bottom w:val="single" w:color="BFD5D2" w:sz="1"/>
              <w:right w:val="single" w:color="BFD5D2" w:sz="1"/>
            </w:tcBorders>
            <w:shd w:fill="F3F7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18"/>
                <w:szCs w:val="18"/>
              </w:rPr>
              <w:t xml:space="preserve">试点方案：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首批 3–5 人、2–4 周，仅限非涉密公文排版与批量文档整理；审计周复核 + 异常告警；出现安全事件立即停用，期满无事件经第三方渗透测试后转正式。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2506B"/>
                <w:sz w:val="18"/>
                <w:szCs w:val="18"/>
              </w:rPr>
              <w:t xml:space="preserve">请示：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批准开展上述范围试点；② 同意按六条军规落实部署并安排专人运维；③ 试点期满委托持证机构渗透测试。</w:t>
            </w:r>
          </w:p>
        </w:tc>
      </w:tr>
    </w:tbl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5B6B7A"/>
          <w:sz w:val="14"/>
          <w:szCs w:val="14"/>
        </w:rPr>
        <w:t xml:space="preserve">报告全文：《文书通-安全自评估报告-2026-07-31.md》· 结果可复现：pytest 171 passed / bandit 1 误报 / pip-audit 0 CVE · 本自评不替代第三方测评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2026-07-31T14:15:25.473Z</dcterms:created>
  <dcterms:modified xsi:type="dcterms:W3CDTF">2026-07-31T14:15:25.474Z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