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Original from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Bylaws of Makers Local 256  </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https://256.makerslocal.org/wiki/Bylaws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 (DHMN)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exclusively for charitable, scientific and education purposes. In addition to exploring the benefits of productivity through volunteer collaboration, the organization’s primary objectives are to create, educate,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Official DHMN members must: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1.1.1 Have two signatures from members on a completed membership application.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1.1.2 Be current on their DHMN dues payment.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Communication - twitter, calendar updates, site updates, facebook, answer calls (Mike P)</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Personal Networking (L-Dron)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recognizes the rights of all members to have unattended access to the organization’s space. The organization also recognizes the rights of members to vote in all elections opened to regular members. The organization requires members to pay monthly dues. Members must also follow all rules set by the board pertaining to the organization’s facilities.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DHMN shall be selected by regular members and consist of willing board members. Board officers may also lead a committee which fulfills the duties of the office.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 shall be responsible for leading general meetings.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DHMN campaigns and general policy</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delegate duties at their discretion</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DHMN meetings, including sending out meeting announcements, and assuring that DHMN official records are maintained.</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organization, receive and give receipts for all monetary transactions of the organization, and deposit all such monies in the name of the organization. The treasurer shall publish a monthly and annual financial report.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(such as the case of conflicting wifi access points set up during an official function, the CTO shall determine the appropriate response.)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Liason</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expelled from the organization at the discretion of the DHMN officers if they fail to observe the responsibilities of a regular member.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organization premises or at organization 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member’s term. If this proposal is struck down by the officers,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provide a monthly pledged contribution for three months and shall forfeit membership.</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for no less than three days before the proposal may be voted on. Proposals shall be voted upon by the board of directors. The methods for determining the result of proposal vote (with the exception of bylaws amendments) are as follows:</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non-abstaining nay votes will cause vote to fail.</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Minimum two nays to reconsider proposal vote at next meeting.</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membership vote can only be reconsidered once. A second vote resulting in at least two "Nay" votes causes a proposal vote to fail.</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Given less than two "Nay" votes, majority of non-abstaining "Yea" votes will cause the motion to pass.</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Once called to vote, a motion is open for vote for five days or until all votes are cast. At this time, the motion passes, fails, or is reconsidered.</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Elections for the Board of Directors shall occur semiannually at dates determined by the sitting Board of Directors and shall be open to all active members. Each voter shall vote “Yea” or “Nay” for each candidate. The number of "Yea" votes for a candidate must exceed fifty percent of votes cast for the candidate to be elected. When the election results are confirmed and announced, the board seats are vacated and assumed by the newly elected members.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organization passes, assets may be liquidized to pay off any debt the organization may have accrued. Any remaining assets of the organization 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56.makerslocal.org/wiki/Bylaws" TargetMode="External"/></Relationships>
</file>