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Malgun Gothic" w:hAnsi="Malgun Gothic" w:eastAsia="Malgun Gothic"/>
          <w:b/>
          <w:color w:val="000000"/>
          <w:sz w:val="42"/>
        </w:rPr>
        <w:t>TIENG 프로젝트 사업성 검토</w:t>
      </w:r>
    </w:p>
    <w:p>
      <w:pPr>
        <w:spacing w:after="240" w:line="324" w:lineRule="auto"/>
      </w:pPr>
      <w:r>
        <w:rPr>
          <w:rFonts w:ascii="Malgun Gothic" w:hAnsi="Malgun Gothic" w:eastAsia="Malgun Gothic"/>
          <w:b w:val="0"/>
          <w:color w:val="5B6573"/>
          <w:sz w:val="22"/>
        </w:rPr>
        <w:t>배달 이륜차 사고 대응 인프라의 시장성, 운영 가치, 차별화</w:t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1. 시장성과 문제 규모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국내 플랫폼 종사자는 2023년 88.3만 명으로 전년보다 11.1% 증가했다. 이 수치는 국가승인통계가 아닌 실태조사 결과이므로 시장 규모의 참고치로 활용한다.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17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32"/>
              </w:rPr>
              <w:t>62,754건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5B6573"/>
                <w:sz w:val="17"/>
              </w:rPr>
              <w:t>2019~2021 이륜차 사고</w:t>
            </w:r>
          </w:p>
        </w:tc>
        <w:tc>
          <w:tcPr>
            <w:tcW w:type="dxa" w:w="3317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32"/>
              </w:rPr>
              <w:t>1,482명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5B6573"/>
                <w:sz w:val="17"/>
              </w:rPr>
              <w:t>같은 기간 사망자</w:t>
            </w:r>
          </w:p>
        </w:tc>
        <w:tc>
          <w:tcPr>
            <w:tcW w:type="dxa" w:w="3317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32"/>
              </w:rPr>
              <w:t>43.5%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color w:val="5B6573"/>
                <w:sz w:val="17"/>
              </w:rPr>
              <w:t>오후 4~10시 사고 비중</w:t>
            </w:r>
          </w:p>
        </w:tc>
      </w:tr>
    </w:tbl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도로교통공단 분석에서 2019~2021년 이륜차 사고는 6만 2,754건, 사망자는 1,482명, 부상자는 8만 479명으로 집계됐다. 오후 4~10시에 사고의 43.5%가 집중됐다.</w:t>
      </w:r>
    </w:p>
    <w:p>
      <w:r>
        <w:drawing>
          <wp:inline xmlns:a="http://schemas.openxmlformats.org/drawingml/2006/main" xmlns:pic="http://schemas.openxmlformats.org/drawingml/2006/picture">
            <wp:extent cx="5903999" cy="2194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ng_motorcycle_accid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9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24" w:lineRule="auto"/>
        <w:jc w:val="center"/>
      </w:pPr>
      <w:r>
        <w:rPr>
          <w:rFonts w:ascii="Malgun Gothic" w:hAnsi="Malgun Gothic" w:eastAsia="Malgun Gothic"/>
          <w:b w:val="0"/>
          <w:color w:val="5B6573"/>
          <w:sz w:val="16"/>
        </w:rPr>
        <w:t>그림 1. 이륜차 교통사고 추이(2021~2025, 전체 이륜차 기준이며 배달만을 분리한 통계는 아님)</w:t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2. 해결해야 할 공백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배달 중 사고는 라이더 안전 문제와 동시에 주문 사고다. 라이더가 다치면 주문의 대체배차, 매장·고객 안내, 음식 파손·환불 판단, 사고 기록 보존, 보험·산재 접수가 한꺼번에 필요하지만 기존 안전 솔루션은 이 운영 흐름을 연결하지 못한다.</w:t>
      </w:r>
    </w:p>
    <w:p>
      <w:r>
        <w:br w:type="page"/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3. 사고 후 대응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956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사고 감지</w:t>
            </w:r>
          </w:p>
        </w:tc>
        <w:tc>
          <w:tcPr>
            <w:tcW w:type="dxa" w:w="195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라이더 안전 확인</w:t>
            </w:r>
          </w:p>
        </w:tc>
        <w:tc>
          <w:tcPr>
            <w:tcW w:type="dxa" w:w="195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주문 자동 보류</w:t>
            </w:r>
          </w:p>
        </w:tc>
        <w:tc>
          <w:tcPr>
            <w:tcW w:type="dxa" w:w="195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대체배차·안내</w:t>
            </w:r>
          </w:p>
        </w:tc>
        <w:tc>
          <w:tcPr>
            <w:tcW w:type="dxa" w:w="195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기록·보험 접수</w:t>
            </w:r>
          </w:p>
        </w:tc>
      </w:tr>
    </w:tbl>
    <w:p>
      <w:pPr>
        <w:spacing w:after="200" w:line="324" w:lineRule="auto"/>
        <w:jc w:val="center"/>
      </w:pPr>
      <w:r>
        <w:rPr>
          <w:rFonts w:ascii="Malgun Gothic" w:hAnsi="Malgun Gothic" w:eastAsia="Malgun Gothic"/>
          <w:b w:val="0"/>
          <w:color w:val="5B6573"/>
          <w:sz w:val="19"/>
        </w:rPr>
        <w:t>핵심은 감지의 정확도만이 아니라, 사고 발생 직후 주문 손실과 고객 이탈을 최소화하는 처리 속도다.</w:t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4. 사업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474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고객</w:t>
            </w:r>
          </w:p>
        </w:tc>
        <w:tc>
          <w:tcPr>
            <w:tcW w:type="dxa" w:w="4706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제공 가치</w:t>
            </w:r>
          </w:p>
        </w:tc>
        <w:tc>
          <w:tcPr>
            <w:tcW w:type="dxa" w:w="3061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수익 방식</w:t>
            </w:r>
          </w:p>
        </w:tc>
      </w:tr>
      <w:tr>
        <w:tc>
          <w:tcPr>
            <w:tcW w:type="dxa" w:w="1474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보험사</w:t>
            </w:r>
          </w:p>
        </w:tc>
        <w:tc>
          <w:tcPr>
            <w:tcW w:type="dxa" w:w="4706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충격 전후 주행정보, 사고 시각·위치, 라이더 상태 확인 기록을 표준화해 초기 사고 조사에 필요한 자료를 제공</w:t>
            </w:r>
          </w:p>
        </w:tc>
        <w:tc>
          <w:tcPr>
            <w:tcW w:type="dxa" w:w="3061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B2B 데이터·연동 계약</w:t>
              <w:br/>
              <w:t>향후 안전운전 기반 할인 공동 검증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배달대행사</w:t>
            </w:r>
          </w:p>
        </w:tc>
        <w:tc>
          <w:tcPr>
            <w:tcW w:type="dxa" w:w="4706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사고 자동 접수, 주문 상태 변경, 대체배차 요청, 매장·고객 알림, 사고기록 보존을 하나의 관제 화면에서 처리</w:t>
            </w:r>
          </w:p>
        </w:tc>
        <w:tc>
          <w:tcPr>
            <w:tcW w:type="dxa" w:w="3061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라이더당 월 구독료</w:t>
              <w:br/>
              <w:t>관제·연동 옵션 과금</w:t>
            </w:r>
          </w:p>
        </w:tc>
      </w:tr>
    </w:tbl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5. 정책과 연구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38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근거</w:t>
            </w:r>
          </w:p>
        </w:tc>
        <w:tc>
          <w:tcPr>
            <w:tcW w:type="dxa" w:w="6803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사업적 시사점</w:t>
            </w:r>
          </w:p>
        </w:tc>
      </w:tr>
      <w:tr>
        <w:tc>
          <w:tcPr>
            <w:tcW w:type="dxa" w:w="2438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산업안전보건법 제78조</w:t>
            </w:r>
          </w:p>
        </w:tc>
        <w:tc>
          <w:tcPr>
            <w:tcW w:type="dxa" w:w="6803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이동통신단말장치로 배달을 중개하는 자에게 이륜차 배달종사자의 산업재해 예방을 위한 안전·보건 조치를 요구한다.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2024년 배달종사자 산재 연구</w:t>
            </w:r>
          </w:p>
        </w:tc>
        <w:tc>
          <w:tcPr>
            <w:tcW w:type="dxa" w:w="6803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도로·기상·배송시간, 교통법규 위반, 보호장구 미착용 등이 직접 위험요인으로 제시된다. 본 서비스는 사고 예방뿐 아니라 사고 후 피해 확산을 줄이는 회복 인프라로 포지셔닝한다.</w:t>
            </w:r>
          </w:p>
        </w:tc>
      </w:tr>
    </w:tbl>
    <w:p>
      <w:pPr>
        <w:spacing w:after="0" w:line="324" w:lineRule="auto"/>
      </w:pPr>
      <w:r>
        <w:rPr>
          <w:rFonts w:ascii="Malgun Gothic" w:hAnsi="Malgun Gothic" w:eastAsia="Malgun Gothic"/>
          <w:b/>
          <w:color w:val="123047"/>
          <w:sz w:val="22"/>
        </w:rPr>
        <w:t>제안 서비스의 한 문장: 라이더의 사고를 감지하는 기기가 아니라, 사고가 주문 취소·보상 분쟁·고객 이탈로 번지는 것을 막는 배달 사고 대응 인프라.</w:t>
      </w:r>
    </w:p>
    <w:p>
      <w:r>
        <w:br w:type="page"/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6. 경쟁 환경과 차별화</w:t>
      </w:r>
    </w:p>
    <w:p>
      <w:pPr>
        <w:spacing w:after="160" w:line="32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기존 제품은 개인 안전 또는 신체 보호에 집중한다. 제안 서비스는 배달 사고를 주문·고객·보험의 운영 사건으로 처리하는 중립적 안전 레이어를 지향한다.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3402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984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Liberty Rider·Tocsen</w:t>
            </w:r>
          </w:p>
        </w:tc>
        <w:tc>
          <w:tcPr>
            <w:tcW w:type="dxa" w:w="1757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Tech Air</w:t>
            </w:r>
          </w:p>
        </w:tc>
        <w:tc>
          <w:tcPr>
            <w:tcW w:type="dxa" w:w="2324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제안 서비스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사고 감지</w:t>
            </w:r>
          </w:p>
        </w:tc>
        <w:tc>
          <w:tcPr>
            <w:tcW w:type="dxa" w:w="198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O</w:t>
            </w:r>
          </w:p>
        </w:tc>
        <w:tc>
          <w:tcPr>
            <w:tcW w:type="dxa" w:w="1757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O</w:t>
            </w:r>
          </w:p>
        </w:tc>
        <w:tc>
          <w:tcPr>
            <w:tcW w:type="dxa" w:w="232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O</w:t>
            </w:r>
          </w:p>
        </w:tc>
      </w:tr>
      <w:tr>
        <w:tc>
          <w:tcPr>
            <w:tcW w:type="dxa" w:w="3402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긴급연락·구조 연계</w:t>
            </w:r>
          </w:p>
        </w:tc>
        <w:tc>
          <w:tcPr>
            <w:tcW w:type="dxa" w:w="1984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O</w:t>
            </w:r>
          </w:p>
        </w:tc>
        <w:tc>
          <w:tcPr>
            <w:tcW w:type="dxa" w:w="1757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2324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O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신체 피해 완화</w:t>
            </w:r>
          </w:p>
        </w:tc>
        <w:tc>
          <w:tcPr>
            <w:tcW w:type="dxa" w:w="198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757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O</w:t>
            </w:r>
          </w:p>
        </w:tc>
        <w:tc>
          <w:tcPr>
            <w:tcW w:type="dxa" w:w="232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선택 연동</w:t>
            </w:r>
          </w:p>
        </w:tc>
      </w:tr>
      <w:tr>
        <w:tc>
          <w:tcPr>
            <w:tcW w:type="dxa" w:w="3402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주문 자동 보류·대체배차</w:t>
            </w:r>
          </w:p>
        </w:tc>
        <w:tc>
          <w:tcPr>
            <w:tcW w:type="dxa" w:w="1984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757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2324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O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매장·고객 자동 안내</w:t>
            </w:r>
          </w:p>
        </w:tc>
        <w:tc>
          <w:tcPr>
            <w:tcW w:type="dxa" w:w="198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757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232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O</w:t>
            </w:r>
          </w:p>
        </w:tc>
      </w:tr>
      <w:tr>
        <w:tc>
          <w:tcPr>
            <w:tcW w:type="dxa" w:w="3402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보험·산재용 사고기록</w:t>
            </w:r>
          </w:p>
        </w:tc>
        <w:tc>
          <w:tcPr>
            <w:tcW w:type="dxa" w:w="1984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제한적</w:t>
            </w:r>
          </w:p>
        </w:tc>
        <w:tc>
          <w:tcPr>
            <w:tcW w:type="dxa" w:w="1757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2324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O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8"/>
              </w:rPr>
              <w:t>복수 플랫폼 중립 연동</w:t>
            </w:r>
          </w:p>
        </w:tc>
        <w:tc>
          <w:tcPr>
            <w:tcW w:type="dxa" w:w="198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757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2324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O</w:t>
            </w:r>
          </w:p>
        </w:tc>
      </w:tr>
    </w:tbl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7. 파일럿에서 검증할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535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4932"/>
            <w:shd w:fill="12304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측정 목적</w:t>
            </w:r>
          </w:p>
        </w:tc>
      </w:tr>
      <w:tr>
        <w:tc>
          <w:tcPr>
            <w:tcW w:type="dxa" w:w="4535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9"/>
              </w:rPr>
              <w:t>사고 감지 후 최초 확인 시간</w:t>
            </w:r>
          </w:p>
        </w:tc>
        <w:tc>
          <w:tcPr>
            <w:tcW w:type="dxa" w:w="4932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인명 대응 품질</w:t>
            </w:r>
          </w:p>
        </w:tc>
      </w:tr>
      <w:tr>
        <w:tc>
          <w:tcPr>
            <w:tcW w:type="dxa" w:w="4535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9"/>
              </w:rPr>
              <w:t>사고 주문의 대체배차 완료율·소요 시간</w:t>
            </w:r>
          </w:p>
        </w:tc>
        <w:tc>
          <w:tcPr>
            <w:tcW w:type="dxa" w:w="4932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운영 복구 성과</w:t>
            </w:r>
          </w:p>
        </w:tc>
      </w:tr>
      <w:tr>
        <w:tc>
          <w:tcPr>
            <w:tcW w:type="dxa" w:w="4535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9"/>
              </w:rPr>
              <w:t>취소·환불·재조리 비용</w:t>
            </w:r>
          </w:p>
        </w:tc>
        <w:tc>
          <w:tcPr>
            <w:tcW w:type="dxa" w:w="4932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주문 손실 절감 효과</w:t>
            </w:r>
          </w:p>
        </w:tc>
      </w:tr>
      <w:tr>
        <w:tc>
          <w:tcPr>
            <w:tcW w:type="dxa" w:w="4535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9"/>
              </w:rPr>
              <w:t>보험·산재 접수 완료율</w:t>
            </w:r>
          </w:p>
        </w:tc>
        <w:tc>
          <w:tcPr>
            <w:tcW w:type="dxa" w:w="4932"/>
            <w:shd w:fill="F4F6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라이더의 실질 편익</w:t>
            </w:r>
          </w:p>
        </w:tc>
      </w:tr>
      <w:tr>
        <w:tc>
          <w:tcPr>
            <w:tcW w:type="dxa" w:w="4535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color w:val="123047"/>
                <w:sz w:val="19"/>
              </w:rPr>
              <w:t>고객 CS·이탈률 변화</w:t>
            </w:r>
          </w:p>
        </w:tc>
        <w:tc>
          <w:tcPr>
            <w:tcW w:type="dxa" w:w="4932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플랫폼 도입 명분</w:t>
            </w:r>
          </w:p>
        </w:tc>
      </w:tr>
    </w:tbl>
    <w:p>
      <w:pPr>
        <w:spacing w:before="200" w:after="100"/>
      </w:pPr>
      <w:r>
        <w:rPr>
          <w:rFonts w:ascii="Malgun Gothic" w:hAnsi="Malgun Gothic" w:eastAsia="Malgun Gothic"/>
          <w:b/>
          <w:color w:val="123047"/>
          <w:sz w:val="30"/>
        </w:rPr>
        <w:t>출처</w:t>
      </w:r>
    </w:p>
    <w:p>
      <w:pPr>
        <w:spacing w:after="40" w:line="324" w:lineRule="auto"/>
      </w:pPr>
      <w:r>
        <w:rPr>
          <w:rFonts w:ascii="Malgun Gothic" w:hAnsi="Malgun Gothic" w:eastAsia="Malgun Gothic"/>
          <w:b w:val="0"/>
          <w:color w:val="5B6573"/>
          <w:sz w:val="16"/>
        </w:rPr>
        <w:t>• 고용노동부·한국고용정보원, 2023년 플랫폼종사자 실태조사 결과 발표 (2024.08.05) | moel.go.kr/news/enews/report/enewsView.do?news_seq=16906</w:t>
      </w:r>
    </w:p>
    <w:p>
      <w:pPr>
        <w:spacing w:after="40" w:line="324" w:lineRule="auto"/>
      </w:pPr>
      <w:r>
        <w:rPr>
          <w:rFonts w:ascii="Malgun Gothic" w:hAnsi="Malgun Gothic" w:eastAsia="Malgun Gothic"/>
          <w:b w:val="0"/>
          <w:color w:val="5B6573"/>
          <w:sz w:val="16"/>
        </w:rPr>
        <w:t>• 도로교통공단 이륜차 사고 분석 인용 보도, 연합뉴스 (2022.06.28) | yna.co.kr/view/AKR20220627137200004</w:t>
      </w:r>
    </w:p>
    <w:p>
      <w:pPr>
        <w:spacing w:after="40" w:line="324" w:lineRule="auto"/>
      </w:pPr>
      <w:r>
        <w:rPr>
          <w:rFonts w:ascii="Malgun Gothic" w:hAnsi="Malgun Gothic" w:eastAsia="Malgun Gothic"/>
          <w:b w:val="0"/>
          <w:color w:val="5B6573"/>
          <w:sz w:val="16"/>
        </w:rPr>
        <w:t>• TAAS 교통사고분석시스템, 이륜차 교통사고 연도별 현황 | taas.koroad.or.kr</w:t>
      </w:r>
    </w:p>
    <w:p>
      <w:pPr>
        <w:spacing w:after="40" w:line="324" w:lineRule="auto"/>
      </w:pPr>
      <w:r>
        <w:rPr>
          <w:rFonts w:ascii="Malgun Gothic" w:hAnsi="Malgun Gothic" w:eastAsia="Malgun Gothic"/>
          <w:b w:val="0"/>
          <w:color w:val="5B6573"/>
          <w:sz w:val="16"/>
        </w:rPr>
        <w:t>• 국가법령정보센터, 산업안전보건법 제78조 | law.go.kr</w:t>
      </w:r>
    </w:p>
    <w:p>
      <w:pPr>
        <w:spacing w:after="40" w:line="324" w:lineRule="auto"/>
      </w:pPr>
      <w:r>
        <w:rPr>
          <w:rFonts w:ascii="Malgun Gothic" w:hAnsi="Malgun Gothic" w:eastAsia="Malgun Gothic"/>
          <w:b w:val="0"/>
          <w:color w:val="5B6573"/>
          <w:sz w:val="16"/>
        </w:rPr>
        <w:t>• 이상희 외, 앱이용 이륜차 배달종사자의 산재발생 원인 및 예방에 관한 연구, 사회법연구 54호 (2024) | doi:10.22949/kassl.2024..54.002</w:t>
      </w:r>
    </w:p>
    <w:p>
      <w:pPr>
        <w:spacing w:after="40" w:line="324" w:lineRule="auto"/>
      </w:pPr>
      <w:r>
        <w:rPr>
          <w:rFonts w:ascii="Malgun Gothic" w:hAnsi="Malgun Gothic" w:eastAsia="Malgun Gothic"/>
          <w:b w:val="0"/>
          <w:color w:val="5B6573"/>
          <w:sz w:val="16"/>
        </w:rPr>
        <w:t>• Liberty Rider SOS Accident, Alpinestars Tech Air 7X 공식 제품·기능 페이지</w:t>
      </w:r>
    </w:p>
    <w:sectPr w:rsidR="00FC693F" w:rsidRPr="0006063C" w:rsidSect="00034616">
      <w:footerReference w:type="default" r:id="rId9"/>
      <w:pgSz w:w="11906" w:h="16838"/>
      <w:pgMar w:top="879" w:right="935" w:bottom="79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