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guia-github-actions-e-seguranca.md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2"/>
      </w:pPr>
      <w:r>
        <w:t>Consultar o relatório de métricas do Code Scanning</w:t>
      </w:r>
    </w:p>
    <w:p>
      <w:r>
        <w:t>O workflow gera um relatório baixável com o estado dos alertas e as análises que a API do GitHub registrou para o branch ou PR daquela execução. Para obter:</w:t>
      </w:r>
    </w:p>
    <w:p>
      <w:pPr>
        <w:pStyle w:val="ListNumber"/>
      </w:pPr>
      <w:r>
        <w:t xml:space="preserve">Depois que a mantenedora aprovar e mesclar a alteração, abra </w:t>
      </w:r>
      <w:r>
        <w:rPr>
          <w:b/>
        </w:rPr>
        <w:t>Actions</w:t>
      </w:r>
      <w:r>
        <w:t xml:space="preserve"> no repositório.</w:t>
      </w:r>
    </w:p>
    <w:p>
      <w:pPr>
        <w:pStyle w:val="ListNumber"/>
      </w:pPr>
      <w:r>
        <w:t xml:space="preserve">Entre na execução </w:t>
      </w:r>
      <w:r>
        <w:rPr>
          <w:b/>
        </w:rPr>
        <w:t>Code Scanning metrics</w:t>
      </w:r>
      <w:r>
        <w:t xml:space="preserve"> relacionada ao push para </w:t>
      </w:r>
      <w:r>
        <w:rPr>
          <w:rFonts w:ascii="Consolas" w:hAnsi="Consolas"/>
          <w:color w:val="5B2C83"/>
          <w:sz w:val="18"/>
        </w:rPr>
        <w:t>main</w:t>
      </w:r>
      <w:r>
        <w:t>, à agenda diária ou à execução manual solicitada para o PR.</w:t>
      </w:r>
    </w:p>
    <w:p>
      <w:pPr>
        <w:pStyle w:val="ListNumber"/>
      </w:pPr>
      <w:r>
        <w:t xml:space="preserve">Na página de resumo, baixe o artifact </w:t>
      </w:r>
      <w:r>
        <w:rPr>
          <w:rFonts w:ascii="Consolas" w:hAnsi="Consolas"/>
          <w:color w:val="5B2C83"/>
          <w:sz w:val="18"/>
        </w:rPr>
        <w:t>code-scanning-metrics-...</w:t>
      </w:r>
      <w:r>
        <w:t xml:space="preserve"> na seção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 xml:space="preserve">Extraia o ZIP. </w:t>
      </w:r>
      <w:r>
        <w:rPr>
          <w:rFonts w:ascii="Consolas" w:hAnsi="Consolas"/>
          <w:color w:val="5B2C83"/>
          <w:sz w:val="18"/>
        </w:rPr>
        <w:t>alerts-summary.csv</w:t>
      </w:r>
      <w:r>
        <w:t xml:space="preserve"> resume alertas abertos, com dismiss e corrigidos por severidade. </w:t>
      </w:r>
      <w:r>
        <w:rPr>
          <w:rFonts w:ascii="Consolas" w:hAnsi="Consolas"/>
          <w:color w:val="5B2C83"/>
          <w:sz w:val="18"/>
        </w:rPr>
        <w:t>dismissal-reasons.csv</w:t>
      </w:r>
      <w:r>
        <w:t xml:space="preserve"> resume os motivos dos alertas com dismiss atualmente. </w:t>
      </w:r>
      <w:r>
        <w:rPr>
          <w:rFonts w:ascii="Consolas" w:hAnsi="Consolas"/>
          <w:color w:val="5B2C83"/>
          <w:sz w:val="18"/>
        </w:rPr>
        <w:t>analysis-configurations.csv</w:t>
      </w:r>
      <w:r>
        <w:t xml:space="preserve"> lista categoria, ferramenta, horário, commit, quantidade de resultados, regras executadas e se aquela categoria corresponde ao commit da execução. </w:t>
      </w:r>
      <w:r>
        <w:rPr>
          <w:rFonts w:ascii="Consolas" w:hAnsi="Consolas"/>
          <w:color w:val="5B2C83"/>
          <w:sz w:val="18"/>
        </w:rPr>
        <w:t>snapshot.json</w:t>
      </w:r>
      <w:r>
        <w:t xml:space="preserve"> reúne esses dados e o contexto da execução, incluindo </w:t>
      </w:r>
      <w:r>
        <w:rPr>
          <w:rFonts w:ascii="Consolas" w:hAnsi="Consolas"/>
          <w:color w:val="5B2C83"/>
          <w:sz w:val="18"/>
        </w:rPr>
        <w:t>analysis.matched_current_execution</w:t>
      </w:r>
      <w:r>
        <w:t>.</w:t>
      </w:r>
    </w:p>
    <w:p>
      <w:r>
        <w:t xml:space="preserve">Os relatórios não mostram quem fez dismiss nos alertas, comentários, caminhos de arquivos nem detalhes individuais. A contagem de dismiss representa alertas com esse status naquele momento do snapshot, não o total de ações de dismiss já realizadas. Compare snapshots de execuções diferentes para acompanhar a evolução. As categorias mostram as análises registradas, mas a API usada não informa quantos arquivos-fonte foram examinados. Em execuções de push, a rotina aguarda até dez minutos pela análise correspondente; em uma execução manual de PR, usa o número informado para consultar a análise do PR. Se </w:t>
      </w:r>
      <w:r>
        <w:rPr>
          <w:rFonts w:ascii="Consolas" w:hAnsi="Consolas"/>
          <w:color w:val="5B2C83"/>
          <w:sz w:val="18"/>
        </w:rPr>
        <w:t>matched_current_execution</w:t>
      </w:r>
      <w:r>
        <w:t xml:space="preserve"> for </w:t>
      </w:r>
      <w:r>
        <w:rPr>
          <w:rFonts w:ascii="Consolas" w:hAnsi="Consolas"/>
          <w:color w:val="5B2C83"/>
          <w:sz w:val="18"/>
        </w:rPr>
        <w:t>false</w:t>
      </w:r>
      <w:r>
        <w:t>, as análises listadas são apenas as mais recentes disponíveis. O snapshot diário registra o estado atual e pode listar uma análise CodeQL anterior àquele dia. Os arquivos expiram em até 90 dias; baixe os que precisar guardar.</w:t>
      </w:r>
    </w:p>
    <w:p>
      <w:r>
        <w:t xml:space="preserve">Uma análise CodeQL concluída não garante que não há alertas. Confira também o resultado agregado em </w:t>
      </w:r>
      <w:r>
        <w:rPr>
          <w:b/>
        </w:rPr>
        <w:t>Security &gt; Code scanning</w:t>
      </w:r>
      <w:r>
        <w:t xml:space="preserve"> e leia os detalhes do alerta antes de corrigir ou pedir revisão. O snapshot não contém o resultado interno do job CodeQL gerenciado; se </w:t>
      </w:r>
      <w:r>
        <w:rPr>
          <w:rFonts w:ascii="Consolas" w:hAnsi="Consolas"/>
          <w:color w:val="5B2C83"/>
          <w:sz w:val="18"/>
        </w:rPr>
        <w:t>matched_current_execution</w:t>
      </w:r>
      <w:r>
        <w:t xml:space="preserve"> for </w:t>
      </w:r>
      <w:r>
        <w:rPr>
          <w:rFonts w:ascii="Consolas" w:hAnsi="Consolas"/>
          <w:color w:val="5B2C83"/>
          <w:sz w:val="18"/>
        </w:rPr>
        <w:t>false</w:t>
      </w:r>
      <w:r>
        <w:t xml:space="preserve">, confira a execução CodeQL em </w:t>
      </w:r>
      <w:r>
        <w:rPr>
          <w:b/>
        </w:rPr>
        <w:t>Actions</w:t>
      </w:r>
      <w:r>
        <w:t xml:space="preserve"> e trate as categorias listadas como análises anteriores.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2"/>
      </w:pPr>
      <w:r>
        <w:t>Fazer triagem e usar dismiss com responsabilidade</w:t>
      </w:r>
    </w:p>
    <w:p>
      <w:r>
        <w:t xml:space="preserve">Corrigir o código é a forma preferida de resolver um alerta. Use </w:t>
      </w:r>
      <w:r>
        <w:rPr>
          <w:b/>
        </w:rPr>
        <w:t>dismiss</w:t>
      </w:r>
      <w:r>
        <w:t xml:space="preserve"> somente depois de abrir os detalhes do alerta e confirmar por que uma alteração de código não é necessária, por exemplo, quando for um falso positivo ou quando o achado estiver somente em código de teste. A decisão deve seguir a política de segurança da equipe.</w:t>
      </w:r>
    </w:p>
    <w:p>
      <w:r>
        <w:t xml:space="preserve">Ao usar dismiss, escolha o motivo com cuidado. O GitHub registra o motivo, tira o alerta da contagem de alertas atuais e o move para a lista </w:t>
      </w:r>
      <w:r>
        <w:rPr>
          <w:b/>
        </w:rPr>
        <w:t>Closed</w:t>
      </w:r>
      <w:r>
        <w:t>, onde ele pode ser reaberto. O dismiss se aplica a todos os branches. Na próxima análise, o mesmo código não gera o mesmo alerta; a escolha do motivo também pode afetar se a consulta continuará participando de análises futuras.</w:t>
      </w:r>
    </w:p>
    <w:p>
      <w:r>
        <w:t xml:space="preserve">Você pode adicionar um </w:t>
      </w:r>
      <w:r>
        <w:rPr>
          <w:b/>
        </w:rPr>
        <w:t>dismissal comment</w:t>
      </w:r>
      <w:r>
        <w:t xml:space="preserve"> para registrar o contexto. O comentário fica na timeline do alerta e pode apoiar futuras auditorias e relatórios. Inclua, quando aplicável:</w:t>
      </w:r>
    </w:p>
    <w:p>
      <w:pPr>
        <w:pStyle w:val="ListBullet"/>
      </w:pPr>
      <w:r>
        <w:t>por que o alerta não exige alteração de código;</w:t>
      </w:r>
    </w:p>
    <w:p>
      <w:pPr>
        <w:pStyle w:val="ListBullet"/>
      </w:pPr>
      <w:r>
        <w:t>quem revisou a decisão;</w:t>
      </w:r>
    </w:p>
    <w:p>
      <w:pPr>
        <w:pStyle w:val="ListBullet"/>
      </w:pPr>
      <w:r>
        <w:t>se a decisão é temporária ou permanente;</w:t>
      </w:r>
    </w:p>
    <w:p>
      <w:pPr>
        <w:pStyle w:val="ListBullet"/>
      </w:pPr>
      <w:r>
        <w:t>controles compensatórios ou trabalho de acompanhamento.</w:t>
      </w:r>
    </w:p>
    <w:p>
      <w:r>
        <w:t xml:space="preserve">Em organizações que precisam de governança mais forte, a </w:t>
      </w:r>
      <w:r>
        <w:rPr>
          <w:b/>
        </w:rPr>
        <w:t>delegated alert dismissal</w:t>
      </w:r>
      <w:r>
        <w:t xml:space="preserve"> pode impedir dismiss direto por pessoas com acesso de escrita. Elas solicitam o dismiss; proprietários da organização e security managers podem aprovar ou negar a solicitação. A disponibilidade e configuração dependem do ambiente do GitHub.</w:t>
      </w:r>
    </w:p>
    <w:p>
      <w:r>
        <w:t>Não use dismiss apenas para deixar um check verde. Se o risco for real, corrija-o; se houver um motivo válido para dismiss, deixe uma justificativa que outra pessoa possa revisar.</w:t>
      </w:r>
    </w:p>
    <w:p>
      <w:r>
        <w:t xml:space="preserve">Referências oficiais: </w:t>
      </w:r>
      <w:r>
        <w:t>Resolver alertas de Code Scanning — https://docs.github.com/en/code-security/how-tos/manage-security-alerts/manage-code-scanning-alerts/resolve-alerts</w:t>
      </w:r>
      <w:r>
        <w:t xml:space="preserve">, </w:t>
      </w:r>
      <w:r>
        <w:t>triagem de alertas em PRs — https://docs.github.com/en/code-security/how-tos/manage-security-alerts/manage-code-scanning-alerts/triage-alerts-in-pull-requests</w:t>
      </w:r>
      <w:r>
        <w:t xml:space="preserve"> e </w:t>
      </w:r>
      <w:r>
        <w:t>delegated alert dismissal — https://docs.github.com/en/code-security/concepts/security-at-scale/delegated-alert-dismissal</w:t>
      </w:r>
      <w:r>
        <w:t>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p>
      <w:pPr>
        <w:pStyle w:val="Heading1"/>
      </w:pPr>
      <w:r>
        <w:t>9. Estudo de caso visual dos PRs</w:t>
      </w:r>
    </w:p>
    <w:p>
      <w:r>
        <w:t>As telas abaixo registram exercícios deste laboratório em 10/10/2026. Elas mostram resultados observados, não uma promessa de que toda configuração de repositório produzirá os mesmos checks. Os números dos PRs são referências do exercício; em outro repositório, siga os mesmos passos sem depender desses números.</w:t>
      </w:r>
    </w:p>
    <w:p>
      <w:pPr>
        <w:pStyle w:val="Heading2"/>
      </w:pPr>
      <w:r>
        <w:t>PR comum sem Code Scanning</w:t>
      </w:r>
    </w:p>
    <w:p>
      <w:r>
        <w:t xml:space="preserve">O </w:t>
      </w:r>
      <w:r>
        <w:t>PR #8 — https://github.com/aeroschmidt/scanner-instrument-store/pull/8</w:t>
      </w:r>
      <w:r>
        <w:t xml:space="preserve"> é a referência de um PR pequeno, sem código vulnerável: alterou apenas documentação. A conversa mostra o objetivo, o estado aberto e a ausência de revisões; o painel de checks mostra o workflow </w:t>
      </w:r>
      <w:r>
        <w:rPr>
          <w:b/>
        </w:rPr>
        <w:t>Build and test</w:t>
      </w:r>
      <w:r>
        <w:t xml:space="preserve"> concluído com sucesso. Em </w:t>
      </w:r>
      <w:r>
        <w:rPr>
          <w:b/>
        </w:rPr>
        <w:t>Files changed</w:t>
      </w:r>
      <w:r>
        <w:t xml:space="preserve">, o único arquivo é </w:t>
      </w:r>
      <w:r>
        <w:rPr>
          <w:rFonts w:ascii="Consolas" w:hAnsi="Consolas"/>
          <w:color w:val="5B2C83"/>
          <w:sz w:val="18"/>
        </w:rPr>
        <w:t>README.md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 aberto: descrição, estado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check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check de Build and test concluído com sucesso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fi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o diff altera apenas o README</w:t>
      </w:r>
    </w:p>
    <w:p>
      <w:r>
        <w:t>O resultado verde confirma somente que o workflow configurado passou. Nesse exemplo, não havia Code Scanning executando; portanto, não se deve concluir que o código foi analisado por segurança.</w:t>
      </w:r>
    </w:p>
    <w:p>
      <w:pPr>
        <w:pStyle w:val="Heading2"/>
      </w:pPr>
      <w:r>
        <w:t>PR histórico com SQL Injection intencional</w:t>
      </w:r>
    </w:p>
    <w:p>
      <w:r>
        <w:t xml:space="preserve">O </w:t>
      </w:r>
      <w:r>
        <w:t>PR #9 — https://github.com/aeroschmidt/scanner-instrument-store/pull/9</w:t>
      </w:r>
      <w:r>
        <w:t xml:space="preserve">, encerrado sem merge, foi um exercício isolado para visualizar uma vulnerabilidade. A alteração insegura foi mantida de propósito para a demonstração e aparece apenas como registro histórico nesta documentação. A página mostra a descrição e o estado atual do PR; a área de checks mostra execuções do workflow Maven, mas não mostra um check do CodeQL. A aba </w:t>
      </w:r>
      <w:r>
        <w:rPr>
          <w:b/>
        </w:rPr>
        <w:t>Files changed</w:t>
      </w:r>
      <w:r>
        <w:t xml:space="preserve"> mostra o diff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 aberto: objetivo, escopo e estado atual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hec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laboratório: checks de Build and test, sem check de CodeQL</w:t>
      </w:r>
    </w:p>
    <w:p>
      <w:r>
        <w:t xml:space="preserve">Na aplicação, a busca normal continua usando consulta parametrizada. A demonstração acrescenta uma rota separada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 (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) que encaminha 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ao método de laboratório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. Esse método monta a instrução SQL concatenando a entrada recebida e a envia a </w:t>
      </w:r>
      <w:r>
        <w:rPr>
          <w:rFonts w:ascii="Consolas" w:hAnsi="Consolas"/>
          <w:color w:val="5B2C83"/>
          <w:sz w:val="18"/>
        </w:rPr>
        <w:t>jdbcTemplate.query</w:t>
      </w:r>
      <w:r>
        <w:t>. A rota e a concatenação são as partes deliberadamente inseguras.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ontroll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controller: rota de demonstração direciona a chamada ao método vulnerável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fil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repositório: a consulta SQL concatena diretamente o parâmetro recebido</w:t>
      </w:r>
    </w:p>
    <w:p>
      <w:r>
        <w:rPr>
          <w:b/>
        </w:rPr>
        <w:t>O que funciona e o que não foi verificado neste PR:</w:t>
      </w:r>
      <w:r>
        <w:t xml:space="preserve"> o build Maven pode compilar a aplicação e os testes existentes podem passar mesmo com esse caminho inseguro, pois sucesso de build não é análise estática de segurança. Na execução capturada naquela época, o GitHub Actions passou; naquele estado histórico, o Code Scanning estava desligado e nenhum alerta do CodeQL era esperado. O cartão “Ready to merge” também não certifica segurança: indica apenas o estado das regras e checks configurados no repositório naquele momento.</w:t>
      </w:r>
    </w:p>
    <w:p>
      <w:pPr>
        <w:pStyle w:val="Heading2"/>
      </w:pPr>
      <w:r>
        <w:t>Evidência anterior com Code Scanning ativo</w:t>
      </w:r>
    </w:p>
    <w:p>
      <w:r>
        <w:t xml:space="preserve">Para comparar com o caso atual, o PR histórico </w:t>
      </w:r>
      <w:r>
        <w:t>#7 — https://github.com/aeroschmidt/scanner-instrument-store/pull/7</w:t>
      </w:r>
      <w:r>
        <w:t xml:space="preserve"> contém a captura de uma análise do CodeQL que apontou um alerta </w:t>
      </w:r>
      <w:r>
        <w:rPr>
          <w:b/>
        </w:rPr>
        <w:t>High</w:t>
      </w:r>
      <w:r>
        <w:t xml:space="preserve"> na chamada de </w:t>
      </w:r>
      <w:r>
        <w:rPr>
          <w:rFonts w:ascii="Consolas" w:hAnsi="Consolas"/>
          <w:color w:val="5B2C83"/>
          <w:sz w:val="18"/>
        </w:rPr>
        <w:t>jdbcTemplate.query</w:t>
      </w:r>
      <w:r>
        <w:t>, na linha que envia a consulta concatenada. A origem do dado não confiável aparece na montagem da SQL logo acima. A alteração foi posteriormente corrigida antes de o PR #7 ser integrado; a captura documenta a revisão histórica, não o estado atual da branch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ode-scann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histórico: alerta High do CodeQL anotado na chamada jdbcTemplate.query</w:t>
      </w:r>
    </w:p>
    <w:p>
      <w:r>
        <w:t xml:space="preserve">Na execução associada à versão vulnerável, o job Maven também falhou na etapa de testes. O log mostra </w:t>
      </w:r>
      <w:r>
        <w:rPr>
          <w:rFonts w:ascii="Consolas" w:hAnsi="Consolas"/>
          <w:color w:val="5B2C83"/>
          <w:sz w:val="18"/>
        </w:rPr>
        <w:t>BUILD FAILURE</w:t>
      </w:r>
      <w:r>
        <w:t xml:space="preserve"> e falha do objetivo </w:t>
      </w:r>
      <w:r>
        <w:rPr>
          <w:rFonts w:ascii="Consolas" w:hAnsi="Consolas"/>
          <w:color w:val="5B2C83"/>
          <w:sz w:val="18"/>
        </w:rPr>
        <w:t>maven-surefire-plugin:test</w:t>
      </w:r>
      <w:r>
        <w:t>. Esse resultado veio dos testes da aplicação; é diferente do alerta estático do CodeQL. Uma vulnerabilidade não precisa fazer o build falhar: neste exercício, a falha Maven e o alerta CodeQL foram sinais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heck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Execução histórica: o job Maven falhou na etapa de testes</w:t>
      </w:r>
    </w:p>
    <w:p>
      <w:r>
        <w:t>O CodeQL pode apontar arquivo, localização e regra quando a análise executada reconhece o fluxo vulnerável. Isso, por si só, não torna o alerta um bloqueio de merge. Para impedir integração, a equipe precisa configurar uma regra que exija o check apropriado; além disso, alertas e checks são estados distintos. A decisão final deve seguir a revisão e aprovação humana exigidas pelo repositório.</w:t>
      </w:r>
    </w:p>
    <w:p>
      <w:pPr>
        <w:pStyle w:val="Heading2"/>
      </w:pPr>
      <w:r>
        <w:t>Como interpretar a comparação</w:t>
      </w:r>
    </w:p>
    <w:p>
      <w:pPr>
        <w:pStyle w:val="ListBullet"/>
      </w:pPr>
      <w:r>
        <w:rPr>
          <w:b/>
        </w:rPr>
        <w:t>PR #8, documentação sem Code Scanning:</w:t>
      </w:r>
      <w:r>
        <w:t xml:space="preserve"> o workflow de build/teste ficou verde e o diff foi pequeno. Isso não mostra uma análise de segurança do código.</w:t>
      </w:r>
    </w:p>
    <w:p>
      <w:pPr>
        <w:pStyle w:val="ListBullet"/>
      </w:pPr>
      <w:r>
        <w:rPr>
          <w:b/>
        </w:rPr>
        <w:t>PR #9 histórico, SQL Injection com Code Scanning desligado naquela época:</w:t>
      </w:r>
      <w:r>
        <w:t xml:space="preserve"> o workflow ficou verde e o diff mostra o caminho inseguro; não há check do CodeQL. Isso não significa que o código está seguro nem que passou por análise estática.</w:t>
      </w:r>
    </w:p>
    <w:p>
      <w:pPr>
        <w:pStyle w:val="ListBullet"/>
      </w:pPr>
      <w:r>
        <w:rPr>
          <w:b/>
        </w:rPr>
        <w:t>PR #7 histórico, CodeQL ativo:</w:t>
      </w:r>
      <w:r>
        <w:t xml:space="preserve"> há um alerta High localizado na chamada SQL e um job Maven que falhou nos testes. Isso não significa que todo alerta falha o build ou bloqueia o merge.</w:t>
      </w:r>
    </w:p>
    <w:p>
      <w:r>
        <w:t>Os screenshots preservam o contexto de cada tela. Ao registrar uma nova ferramenta ou alteração de configuração, capture também o estado anterior, o diff, os checks e a localização do alerta ou falha; identifique se a imagem é atual ou histórica e não exponha credenciais ou dados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