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</w:pPr>
      <w:r>
        <w:rPr>
          <w:rFonts w:ascii="Aptos" w:hAnsi="Aptos"/>
          <w:b/>
          <w:color w:val="087F8C"/>
          <w:sz w:val="17"/>
        </w:rPr>
        <w:t>GITHUB SECURITY  /  PULL REQUESTS</w:t>
      </w:r>
    </w:p>
    <w:p>
      <w:pPr>
        <w:pStyle w:val="Title"/>
        <w:spacing w:after="40"/>
      </w:pPr>
      <w:r>
        <w:t>Guia de Code Scanning para usuários</w:t>
      </w:r>
    </w:p>
    <w:p>
      <w:pPr>
        <w:spacing w:after="180" w:line="252" w:lineRule="auto"/>
      </w:pPr>
      <w:r>
        <w:rPr>
          <w:rFonts w:ascii="Aptos" w:hAnsi="Aptos"/>
          <w:color w:val="5B6670"/>
          <w:sz w:val="26"/>
        </w:rPr>
        <w:t xml:space="preserve">Como investigar, corrigir e confirmar um alerta no seu </w:t>
      </w:r>
      <w:hyperlink r:id="rId25">
        <w:r>
          <w:rPr>
            <w:color w:val="0563C1"/>
            <w:u w:val="single"/>
          </w:rPr>
          <w:t>Pull Request</w:t>
        </w:r>
      </w:hyperlink>
      <w:r>
        <w:rPr>
          <w:rFonts w:ascii="Aptos" w:hAnsi="Aptos"/>
          <w:color w:val="5B6670"/>
          <w:sz w:val="26"/>
        </w:rPr>
        <w:t xml:space="preserve"> (PR)</w:t>
      </w:r>
    </w:p>
    <w:p>
      <w:pPr>
        <w:spacing w:after="140" w:line="252" w:lineRule="auto"/>
      </w:pPr>
      <w:r>
        <w:t>Use este guia ao receber um alerta de Code Scanning em um Pull Request. Investigue e corrija; consulte o final para exceções e Dismiss.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>Fluxo recomendado</w:t>
            </w:r>
          </w:p>
          <w:p>
            <w:pPr>
              <w:spacing w:after="0" w:line="252" w:lineRule="auto"/>
            </w:pPr>
            <w:r>
              <w:t>Aguarde a análise → abra o alerta → confira regra, severidade e trecho → corrija → envie um commit → confirme a nova análise.</w:t>
            </w:r>
          </w:p>
        </w:tc>
      </w:tr>
    </w:tbl>
    <w:p>
      <w:pPr>
        <w:pStyle w:val="Heading1"/>
        <w:keepNext/>
      </w:pPr>
      <w:r>
        <w:t>Resolva o alerta no PR</w:t>
      </w:r>
    </w:p>
    <w:p>
      <w:pPr>
        <w:pStyle w:val="ListNumber"/>
        <w:spacing w:after="60" w:line="245" w:lineRule="auto"/>
      </w:pPr>
      <w:r>
        <w:t xml:space="preserve">Aguarde a análise. Na aba </w:t>
      </w:r>
      <w:hyperlink r:id="rId24">
        <w:r>
          <w:rPr>
            <w:color w:val="0563C1"/>
            <w:u w:val="single"/>
          </w:rPr>
          <w:t>Checks</w:t>
        </w:r>
      </w:hyperlink>
      <w:r>
        <w:t xml:space="preserve">, abra </w:t>
      </w:r>
      <w:hyperlink r:id="rId20">
        <w:r>
          <w:rPr>
            <w:color w:val="0563C1"/>
            <w:u w:val="single"/>
          </w:rPr>
          <w:t>Code scanning results</w:t>
        </w:r>
      </w:hyperlink>
      <w:r>
        <w:t>.</w:t>
      </w:r>
    </w:p>
    <w:p>
      <w:pPr>
        <w:pStyle w:val="ListNumber"/>
        <w:spacing w:after="60" w:line="245" w:lineRule="auto"/>
      </w:pPr>
      <w:r>
        <w:t>Abra a anotação no PR ou em Security and quality → Code scanning. Ela aparece quando o alerta novo atinge linhas do diff.</w:t>
      </w:r>
    </w:p>
    <w:p>
      <w:pPr>
        <w:pStyle w:val="ListNumber"/>
        <w:spacing w:after="60" w:line="245" w:lineRule="auto"/>
      </w:pPr>
      <w:r>
        <w:t xml:space="preserve">Leia regra, severidade, arquivo e linha; confira o código e o </w:t>
      </w:r>
      <w:hyperlink r:id="rId20">
        <w:r>
          <w:rPr>
            <w:color w:val="0563C1"/>
            <w:u w:val="single"/>
          </w:rPr>
          <w:t>diff</w:t>
        </w:r>
      </w:hyperlink>
      <w:r>
        <w:t xml:space="preserve">. Se houver </w:t>
      </w:r>
      <w:hyperlink r:id="rId22">
        <w:r>
          <w:rPr>
            <w:color w:val="0563C1"/>
            <w:u w:val="single"/>
          </w:rPr>
          <w:t>Show paths</w:t>
        </w:r>
      </w:hyperlink>
      <w:r>
        <w:t>, siga o fluxo até o uso.</w:t>
      </w:r>
    </w:p>
    <w:p>
      <w:pPr>
        <w:pStyle w:val="ListNumber"/>
        <w:spacing w:after="60" w:line="245" w:lineRule="auto"/>
      </w:pPr>
      <w:r>
        <w:t>Confirme o achado; se houver dúvida, consulte o revisor ou a equipe de segurança. Se não puder corrigir neste PR, não use Dismiss para liberar: mantenha o alerta aberto e combine o encaminhamento.</w:t>
      </w:r>
    </w:p>
    <w:p>
      <w:pPr>
        <w:pStyle w:val="ListNumber"/>
        <w:spacing w:after="60" w:line="245" w:lineRule="auto"/>
      </w:pPr>
      <w:r>
        <w:t xml:space="preserve">Se confirmado, corrija a causa, ajuste testes se necessário e envie um commit na </w:t>
      </w:r>
      <w:hyperlink r:id="rId27">
        <w:r>
          <w:rPr>
            <w:color w:val="0563C1"/>
            <w:u w:val="single"/>
          </w:rPr>
          <w:t>branch</w:t>
        </w:r>
      </w:hyperlink>
      <w:r>
        <w:t xml:space="preserve"> do PR.</w:t>
      </w:r>
    </w:p>
    <w:p>
      <w:pPr>
        <w:pStyle w:val="ListNumber"/>
        <w:spacing w:after="60" w:line="245" w:lineRule="auto"/>
      </w:pPr>
      <w:r>
        <w:t xml:space="preserve">Após a nova análise, confirme </w:t>
      </w:r>
      <w:hyperlink r:id="rId21">
        <w:r>
          <w:rPr>
            <w:color w:val="0563C1"/>
            <w:u w:val="single"/>
          </w:rPr>
          <w:t>Fixed</w:t>
        </w:r>
      </w:hyperlink>
      <w:r>
        <w:t xml:space="preserve"> e que compilação/testes do GitHub Actions passaram. Sem alerta novo não prova ausência de vulnerabilidades: confira arquivos e linguagens cobertos. O </w:t>
      </w:r>
      <w:hyperlink r:id="rId25">
        <w:r>
          <w:rPr>
            <w:color w:val="0563C1"/>
            <w:u w:val="single"/>
          </w:rPr>
          <w:t>merge</w:t>
        </w:r>
      </w:hyperlink>
      <w:r>
        <w:t xml:space="preserve"> segue as regras do repositório.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79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canning-pr-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Exemplo histórico de um PR de treinamento com check do CodeQL e alerta High. Não é um PR de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7824"/>
                <w:sz w:val="22"/>
              </w:rPr>
              <w:t>Importante</w:t>
            </w:r>
          </w:p>
          <w:p>
            <w:pPr>
              <w:spacing w:after="0" w:line="252" w:lineRule="auto"/>
            </w:pPr>
            <w:r>
              <w:t xml:space="preserve">Compilação/testes do </w:t>
            </w:r>
            <w:hyperlink r:id="rId24">
              <w:r>
                <w:rPr>
                  <w:color w:val="0563C1"/>
                  <w:u w:val="single"/>
                </w:rPr>
                <w:t>GitHub Actions</w:t>
              </w:r>
            </w:hyperlink>
            <w:r>
              <w:t xml:space="preserve"> e alertas do </w:t>
            </w:r>
            <w:hyperlink r:id="rId22">
              <w:r>
                <w:rPr>
                  <w:color w:val="0563C1"/>
                  <w:u w:val="single"/>
                </w:rPr>
                <w:t>Code Scanning</w:t>
              </w:r>
            </w:hyperlink>
            <w:r>
              <w:t xml:space="preserve"> são resultados distintos. O primeiro pode passar mesmo com alertas; o </w:t>
            </w:r>
            <w:hyperlink r:id="rId25">
              <w:r>
                <w:rPr>
                  <w:color w:val="0563C1"/>
                  <w:u w:val="single"/>
                </w:rPr>
                <w:t>merge</w:t>
              </w:r>
            </w:hyperlink>
            <w:r>
              <w:t xml:space="preserve"> depende das </w:t>
            </w:r>
            <w:hyperlink r:id="rId26">
              <w:r>
                <w:rPr>
                  <w:color w:val="0563C1"/>
                  <w:u w:val="single"/>
                </w:rPr>
                <w:t>regras do repositório</w:t>
              </w:r>
            </w:hyperlink>
            <w:r>
              <w:t>.</w:t>
            </w:r>
          </w:p>
        </w:tc>
      </w:tr>
    </w:tbl>
    <w:p>
      <w:pPr>
        <w:pStyle w:val="Heading1"/>
        <w:keepNext/>
      </w:pPr>
      <w:r>
        <w:t>Entenda o que o alerta aponta</w:t>
      </w:r>
    </w:p>
    <w:p>
      <w:pPr>
        <w:spacing w:after="100" w:line="252" w:lineRule="auto"/>
      </w:pPr>
      <w:r>
        <w:t>A lista Code scanning mostra alertas abertos. No detalhe, confira regra, severidade, localização e, se disponível, fluxo de dados. A severidade orienta a prioridade; avalie o contexto.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36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canning-alert-list-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6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Lista de alertas do exercício: selecione o achado para abrir seus detalhes.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89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canning-alert-detail-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Detalhe do alerta: regra, severidade e localização da linha destacada.</w:t>
      </w:r>
    </w:p>
    <w:p>
      <w:r>
        <w:br w:type="page"/>
      </w:r>
    </w:p>
    <w:p>
      <w:pPr>
        <w:pStyle w:val="Heading1"/>
        <w:keepNext/>
      </w:pPr>
      <w:r>
        <w:t>Exemplo visual de uma vulnerabilidade</w:t>
      </w:r>
    </w:p>
    <w:p>
      <w:pPr>
        <w:spacing w:after="100" w:line="252" w:lineRule="auto"/>
      </w:pPr>
      <w:r>
        <w:t>As imagens mostram um exercício isolado de CodeQL: uma consulta SQL parametrizada e segura e outra com concatenação insegura, que gera um alerta. Não copie o código vulnerável para sistemas reais.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51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tes-busca-parametriz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ANTES — parâmetros separam a instrução SQL dos dados.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51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ois-concatenacao-sq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DEPOIS — a concatenação da entrada cria o cenário vulnerável do exercício.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77639" cy="37127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can-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71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O diff do PR mostra a alteração e a anotação do CodeQL no trecho detectado.</w:t>
      </w:r>
    </w:p>
    <w:p>
      <w:pPr>
        <w:pStyle w:val="Heading1"/>
        <w:keepNext/>
      </w:pPr>
      <w:r>
        <w:t>Confirme a correção</w:t>
      </w:r>
    </w:p>
    <w:p>
      <w:pPr>
        <w:spacing w:after="100" w:line="252" w:lineRule="auto"/>
      </w:pPr>
      <w:r>
        <w:t xml:space="preserve">Após corrigir, aguarde a análise e reabra o alerta. </w:t>
      </w:r>
      <w:hyperlink r:id="rId21">
        <w:r>
          <w:rPr>
            <w:color w:val="0563C1"/>
            <w:u w:val="single"/>
          </w:rPr>
          <w:t>Fixed</w:t>
        </w:r>
      </w:hyperlink>
      <w:r>
        <w:t xml:space="preserve"> indica que a nova análise confirmou a correção no </w:t>
      </w:r>
      <w:hyperlink r:id="rId27">
        <w:r>
          <w:rPr>
            <w:color w:val="0563C1"/>
            <w:u w:val="single"/>
          </w:rPr>
          <w:t>branch</w:t>
        </w:r>
      </w:hyperlink>
      <w:r>
        <w:t xml:space="preserve"> examinado. Confira também o </w:t>
      </w:r>
      <w:hyperlink r:id="rId20">
        <w:r>
          <w:rPr>
            <w:color w:val="0563C1"/>
            <w:u w:val="single"/>
          </w:rPr>
          <w:t>diff</w:t>
        </w:r>
      </w:hyperlink>
      <w:r>
        <w:t xml:space="preserve"> e os testes.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10151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trail-fixed-ale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Exemplo de timeline depois que a análise reconhece a correção como Fixed.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>Fixed é diferente de Dismiss</w:t>
            </w:r>
          </w:p>
          <w:p>
            <w:pPr>
              <w:spacing w:after="0" w:line="252" w:lineRule="auto"/>
            </w:pPr>
            <w:r>
              <w:t>Fixed confirma uma alteração que remove o problema. Dismiss encerra o alerta sem corrigir o código; veja a seção de referência ao final.</w:t>
            </w:r>
          </w:p>
        </w:tc>
      </w:tr>
    </w:tbl>
    <w:p>
      <w:pPr>
        <w:pStyle w:val="Heading1"/>
        <w:keepNext/>
      </w:pPr>
      <w:r>
        <w:t>Referência complementar</w:t>
      </w:r>
    </w:p>
    <w:p>
      <w:pPr>
        <w:pStyle w:val="Heading2"/>
        <w:keepNext/>
      </w:pPr>
      <w:r>
        <w:t>Se não for possível corrigir: use Dismiss com responsabilidade</w:t>
      </w:r>
    </w:p>
    <w:p>
      <w:pPr>
        <w:spacing w:after="100" w:line="252" w:lineRule="auto"/>
      </w:pPr>
      <w:r>
        <w:t xml:space="preserve">Use </w:t>
      </w:r>
      <w:hyperlink r:id="rId21">
        <w:r>
          <w:rPr>
            <w:color w:val="0563C1"/>
            <w:u w:val="single"/>
          </w:rPr>
          <w:t>Dismiss</w:t>
        </w:r>
      </w:hyperlink>
      <w:r>
        <w:t xml:space="preserve"> somente após confirmar que o alerta não exige correção, como num falso positivo confirmado, código de teste ou risco aceito pela equipe. Siga a política do repositório e peça triagem em caso de dúvida.</w:t>
      </w:r>
    </w:p>
    <w:p>
      <w:pPr>
        <w:pStyle w:val="ListNumber"/>
        <w:spacing w:after="60" w:line="245" w:lineRule="auto"/>
      </w:pPr>
      <w:r>
        <w:t>Revise descrição, severidade, localização, diff e fluxo de dados.</w:t>
      </w:r>
    </w:p>
    <w:p>
      <w:pPr>
        <w:pStyle w:val="ListNumber"/>
        <w:spacing w:after="60" w:line="245" w:lineRule="auto"/>
      </w:pPr>
      <w:r>
        <w:t>Clique em Dismiss alert e escolha o motivo correspondente à análise.</w:t>
      </w:r>
    </w:p>
    <w:p>
      <w:pPr>
        <w:pStyle w:val="ListNumber"/>
        <w:spacing w:after="60" w:line="245" w:lineRule="auto"/>
      </w:pPr>
      <w:r>
        <w:t>Registre evidências, revisor, se a decisão é temporária ou permanente e o acompanhamento combinado.</w:t>
      </w:r>
    </w:p>
    <w:p>
      <w:pPr>
        <w:pStyle w:val="ListNumber"/>
        <w:spacing w:after="60" w:line="245" w:lineRule="auto"/>
      </w:pPr>
      <w:r>
        <w:t>Confirme o Dismiss e verifique o alerta em Closed, com motivo e comentário na timeline.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7824"/>
                <w:sz w:val="22"/>
              </w:rPr>
              <w:t>Permissão e aprovação</w:t>
            </w:r>
          </w:p>
          <w:p>
            <w:pPr>
              <w:spacing w:after="0" w:line="252" w:lineRule="auto"/>
            </w:pPr>
            <w:r>
              <w:t xml:space="preserve">A opção de Dismiss normalmente exige permissão de escrita. A organização pode também exigir </w:t>
            </w:r>
            <w:hyperlink r:id="rId23">
              <w:r>
                <w:rPr>
                  <w:color w:val="0563C1"/>
                  <w:u w:val="single"/>
                </w:rPr>
                <w:t>aprovação delegada</w:t>
              </w:r>
            </w:hyperlink>
            <w:r>
              <w:t>. Se a tela pedir aprovação, registre a justificativa e aguarde a pessoa autorizada.</w:t>
            </w:r>
          </w:p>
        </w:tc>
      </w:tr>
    </w:tbl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811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miss-alert-op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8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A tela pede um motivo; o comentário registra o contexto da decisão.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953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-alert-dismis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>Exemplo do evento de Dismiss registrado na timeline do alerta.</w:t>
      </w:r>
    </w:p>
    <w:p>
      <w:pPr>
        <w:pStyle w:val="Heading2"/>
        <w:keepNext/>
      </w:pPr>
      <w:r>
        <w:t>O que Dismiss faz — e o que não faz</w:t>
      </w:r>
    </w:p>
    <w:p>
      <w:pPr>
        <w:pStyle w:val="ListBullet"/>
        <w:spacing w:after="60" w:line="245" w:lineRule="auto"/>
      </w:pPr>
      <w:r>
        <w:t>Fecha o alerta em todos os branches e o move para Closed; é possível reabri-lo.</w:t>
      </w:r>
    </w:p>
    <w:p>
      <w:pPr>
        <w:pStyle w:val="ListBullet"/>
        <w:spacing w:after="60" w:line="245" w:lineRule="auto"/>
      </w:pPr>
      <w:r>
        <w:t>Remove o item da contagem atual de alertas abertos e registra o motivo escolhido.</w:t>
      </w:r>
    </w:p>
    <w:p>
      <w:pPr>
        <w:pStyle w:val="ListBullet"/>
        <w:spacing w:after="60" w:line="245" w:lineRule="auto"/>
      </w:pPr>
      <w:r>
        <w:t>O comentário é opcional na interface, mas recomendado para auditoria e revisão futura.</w:t>
      </w:r>
    </w:p>
    <w:p>
      <w:pPr>
        <w:pStyle w:val="ListBullet"/>
        <w:spacing w:after="60" w:line="245" w:lineRule="auto"/>
      </w:pPr>
      <w:r>
        <w:t>Na próxima análise, o mesmo código não gera o mesmo alerta; o motivo pode afetar futuras execuções da regra.</w:t>
      </w:r>
    </w:p>
    <w:p>
      <w:pPr>
        <w:pStyle w:val="ListBullet"/>
        <w:spacing w:after="60" w:line="245" w:lineRule="auto"/>
      </w:pPr>
      <w:r>
        <w:t>Não altera o código, não elimina o risco e não libera o merge por si só.</w:t>
      </w:r>
    </w:p>
    <w:p>
      <w:pPr>
        <w:pStyle w:val="Heading2"/>
        <w:keepNext/>
      </w:pPr>
      <w:r>
        <w:t>Modelo de comentário para Dismiss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>Adapte ao caso real</w:t>
            </w:r>
          </w:p>
          <w:p>
            <w:pPr>
              <w:spacing w:after="0" w:line="252" w:lineRule="auto"/>
            </w:pPr>
            <w:r>
              <w:t>Revisor e data: [pessoa/equipe], [data]. Motivo: [motivo]. Evidência: [contexto]. Decisão: [temporária/permanente]. Acompanhamento: [ação e responsável]. Prazo ou data de revisão (se aplicável): [data].</w:t>
            </w:r>
          </w:p>
        </w:tc>
      </w:tr>
    </w:tbl>
    <w:p>
      <w:pPr>
        <w:pStyle w:val="Heading2"/>
        <w:keepNext/>
      </w:pPr>
      <w:r>
        <w:t>Dicas rápidas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 que aparece</w:t>
            </w:r>
          </w:p>
        </w:tc>
        <w:tc>
          <w:tcPr>
            <w:tcW w:type="dxa" w:w="3672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Como interpretar</w:t>
            </w:r>
          </w:p>
        </w:tc>
        <w:tc>
          <w:tcPr>
            <w:tcW w:type="dxa" w:w="3672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 que fazer</w:t>
            </w:r>
          </w:p>
        </w:tc>
      </w:tr>
      <w:tr>
        <w:tc>
          <w:tcPr>
            <w:tcW w:type="dxa" w:w="208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Verificação em andamento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Análise ainda não terminou.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Aguarde antes de tirar conclusões.</w:t>
            </w:r>
          </w:p>
        </w:tc>
      </w:tr>
      <w:tr>
        <w:tc>
          <w:tcPr>
            <w:tcW w:type="dxa" w:w="208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Alerta novo no diff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Achado em linha alterada no PR.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Abra detalhes e investigue.</w:t>
            </w:r>
          </w:p>
        </w:tc>
      </w:tr>
      <w:tr>
        <w:tc>
          <w:tcPr>
            <w:tcW w:type="dxa" w:w="208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GitHub Actions: compilação/testes falharam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A compilação do projeto falhou ou um teste não passou.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Abra a execução e leia o log.</w:t>
            </w:r>
          </w:p>
        </w:tc>
      </w:tr>
      <w:tr>
        <w:tc>
          <w:tcPr>
            <w:tcW w:type="dxa" w:w="208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Verificação do Code Scanning falhou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Pode ser falha na análise ou uma regra configurada para bloquear determinados alertas.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Leia o resumo e abra os detalhes da análise.</w:t>
            </w:r>
          </w:p>
        </w:tc>
      </w:tr>
      <w:tr>
        <w:tc>
          <w:tcPr>
            <w:tcW w:type="dxa" w:w="208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Nenhum alerta novo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 análise não reportou novo achado no escopo executado.</w:t>
            </w:r>
          </w:p>
        </w:tc>
        <w:tc>
          <w:tcPr>
            <w:tcW w:type="dxa" w:w="3672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Confirme que rodou e cobriu o código/linguagem.</w:t>
            </w:r>
          </w:p>
        </w:tc>
      </w:tr>
      <w:tr>
        <w:tc>
          <w:tcPr>
            <w:tcW w:type="dxa" w:w="208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>Fechado (Closed)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Alerta corrigido ou dispensado.</w:t>
            </w:r>
          </w:p>
        </w:tc>
        <w:tc>
          <w:tcPr>
            <w:tcW w:type="dxa" w:w="367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>Confira a timeline para distinguir Fixed de Dismiss.</w:t>
            </w:r>
          </w:p>
        </w:tc>
      </w:tr>
    </w:tbl>
    <w:p>
      <w:pPr>
        <w:pStyle w:val="Heading2"/>
        <w:keepNext/>
      </w:pPr>
      <w:r>
        <w:t>Checklist antes de aprovar ou pedir merge</w:t>
      </w:r>
    </w:p>
    <w:p>
      <w:pPr>
        <w:spacing w:after="60" w:line="252" w:lineRule="auto"/>
      </w:pPr>
      <w:r>
        <w:t>☐  Verificações concluídas; alertas separados de falhas de compilação/testes do GitHub Actions.</w:t>
      </w:r>
    </w:p>
    <w:p>
      <w:pPr>
        <w:spacing w:after="60" w:line="252" w:lineRule="auto"/>
      </w:pPr>
      <w:r>
        <w:t>☐  Cada alerta novo foi investigado no contexto do diff.</w:t>
      </w:r>
    </w:p>
    <w:p>
      <w:pPr>
        <w:spacing w:after="60" w:line="252" w:lineRule="auto"/>
      </w:pPr>
      <w:r>
        <w:t>☐  Achados válidos foram corrigidos e reanalisados.</w:t>
      </w:r>
    </w:p>
    <w:p>
      <w:pPr>
        <w:spacing w:after="60" w:line="252" w:lineRule="auto"/>
      </w:pPr>
      <w:r>
        <w:t>☐  Dismiss tem motivo e evidência; aprovação exigida foi obtida.</w:t>
      </w:r>
    </w:p>
    <w:p>
      <w:pPr>
        <w:spacing w:after="60" w:line="252" w:lineRule="auto"/>
      </w:pPr>
      <w:r>
        <w:t>☐  A revisão humana do PR segue a política do repositório.</w:t>
      </w:r>
    </w:p>
    <w:p>
      <w:pPr>
        <w:pStyle w:val="Heading2"/>
        <w:keepNext/>
      </w:pPr>
      <w:r>
        <w:t>Referências oficiais</w:t>
      </w:r>
    </w:p>
    <w:p>
      <w:pPr>
        <w:spacing w:after="40" w:line="252" w:lineRule="auto"/>
      </w:pPr>
      <w:hyperlink r:id="rId20">
        <w:r>
          <w:rPr>
            <w:color w:val="087F8C"/>
            <w:u w:val="single"/>
          </w:rPr>
          <w:t>Triagem de alertas em Pull Requests</w:t>
        </w:r>
      </w:hyperlink>
    </w:p>
    <w:p>
      <w:pPr>
        <w:spacing w:after="40" w:line="252" w:lineRule="auto"/>
      </w:pPr>
      <w:hyperlink r:id="rId21">
        <w:r>
          <w:rPr>
            <w:color w:val="087F8C"/>
            <w:u w:val="single"/>
          </w:rPr>
          <w:t>Resolver alertas de Code Scanning</w:t>
        </w:r>
      </w:hyperlink>
    </w:p>
    <w:p>
      <w:pPr>
        <w:spacing w:after="40" w:line="252" w:lineRule="auto"/>
      </w:pPr>
      <w:hyperlink r:id="rId22">
        <w:r>
          <w:rPr>
            <w:color w:val="087F8C"/>
            <w:u w:val="single"/>
          </w:rPr>
          <w:t>Sobre alertas de Code Scanning</w:t>
        </w:r>
      </w:hyperlink>
    </w:p>
    <w:p>
      <w:pPr>
        <w:spacing w:after="40" w:line="252" w:lineRule="auto"/>
      </w:pPr>
      <w:hyperlink r:id="rId23">
        <w:r>
          <w:rPr>
            <w:color w:val="087F8C"/>
            <w:u w:val="single"/>
          </w:rPr>
          <w:t>Dismiss delegado de alertas</w:t>
        </w:r>
      </w:hyperlink>
    </w:p>
    <w:p>
      <w:pPr>
        <w:spacing w:after="0" w:line="252" w:lineRule="auto"/>
      </w:pPr>
      <w:r>
        <w:rPr>
          <w:rFonts w:ascii="Aptos" w:hAnsi="Aptos"/>
          <w:i/>
          <w:color w:val="5B6670"/>
          <w:sz w:val="16"/>
        </w:rPr>
        <w:t>Capturas de treinamento; interface e políticas variam conforme ferramenta e repositório. Documentação oficial consultada em 12 de outubro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 xml:space="preserve">Autores e revisores de Pull Requests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CODE SCANNING  |  GUIA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docs.github.com/en/code-security/how-tos/manage-security-alerts/manage-code-scanning-alerts/triage-alerts-in-pull-requests" TargetMode="External"/><Relationship Id="rId21" Type="http://schemas.openxmlformats.org/officeDocument/2006/relationships/hyperlink" Target="https://docs.github.com/en/code-security/how-tos/manage-security-alerts/manage-code-scanning-alerts/resolve-alerts" TargetMode="External"/><Relationship Id="rId22" Type="http://schemas.openxmlformats.org/officeDocument/2006/relationships/hyperlink" Target="https://docs.github.com/en/code-security/concepts/code-scanning/code-scanning-alerts" TargetMode="External"/><Relationship Id="rId23" Type="http://schemas.openxmlformats.org/officeDocument/2006/relationships/hyperlink" Target="https://docs.github.com/en/code-security/concepts/security-at-scale/delegated-alert-dismissal" TargetMode="External"/><Relationship Id="rId24" Type="http://schemas.openxmlformats.org/officeDocument/2006/relationships/hyperlink" Target="https://docs.github.com/en/pull-requests/reference/status-checks" TargetMode="External"/><Relationship Id="rId25" Type="http://schemas.openxmlformats.org/officeDocument/2006/relationships/hyperlink" Target="https://docs.github.com/en/pull-requests/get-started/about-pull-requests" TargetMode="External"/><Relationship Id="rId26" Type="http://schemas.openxmlformats.org/officeDocument/2006/relationships/hyperlink" Target="https://docs.github.com/en/repositories/configuring-branches-and-merges-in-your-repository/managing-protected-branches/about-protected-branches" TargetMode="External"/><Relationship Id="rId27" Type="http://schemas.openxmlformats.org/officeDocument/2006/relationships/hyperlink" Target="https://docs.github.com/en/pull-requests/reference/branc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Code Scanning para usuários</dc:title>
  <dc:subject>Passo a passo para investigar e corrigir alertas em Pull Requests</dc:subject>
  <dc:creator/>
  <cp:keywords>GitHub, Code Scanning, CodeQL, Pull Request, Dismiss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