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https://github.com/aeroschmidt/scanner-loja-instrumentos/pull/8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atual com SQL Injection intencional</w:t>
      </w:r>
    </w:p>
    <w:p>
      <w:r>
        <w:t xml:space="preserve">O </w:t>
      </w:r>
      <w:r>
        <w:t>PR #9 — https://github.com/aeroschmidt/scanner-loja-instrumentos/pull/9</w:t>
      </w:r>
      <w:r>
        <w:t xml:space="preserve"> é um exercício isolado para visualizar uma vulnerabilidade. </w:t>
      </w:r>
      <w:r>
        <w:rPr>
          <w:b/>
        </w:rPr>
        <w:t>Não aprove nem faça merge deste PR:</w:t>
      </w:r>
      <w:r>
        <w:t xml:space="preserve"> a alteração insegura foi mantida de propósito para a demonstração.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atual do PR #9, o GitHub Actions passou; como o Code Scanning está desligado,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PR #10: mesma referência segura, Code Scanning ativo</w:t>
      </w:r>
    </w:p>
    <w:p>
      <w:r>
        <w:t xml:space="preserve">O </w:t>
      </w:r>
      <w:r>
        <w:t>PR #10 — https://github.com/aeroschmidt/scanner-loja-instrumentos/pull/10</w:t>
      </w:r>
      <w:r>
        <w:t xml:space="preserve"> foi criado a partir do commit </w:t>
      </w:r>
      <w:r>
        <w:rPr>
          <w:rFonts w:ascii="Consolas" w:hAnsi="Consolas"/>
          <w:color w:val="5B2C83"/>
          <w:sz w:val="18"/>
        </w:rPr>
        <w:t>1b3ed47</w:t>
      </w:r>
      <w:r>
        <w:t xml:space="preserve"> usado como referência no PR #8. O PR #8 continua inalterado. O PR #10 acrescenta a rota de demonstração e a consulta SQL insegura ao código 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overvie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 aberto, com a referência ao commit do PR #8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análises CodeQL e workflow Maven concluídos com sucesso</w:t>
      </w:r>
    </w:p>
    <w:p>
      <w:r>
        <w:t xml:space="preserve">O CodeQL concluiu as análises e registrou </w:t>
      </w:r>
      <w:r>
        <w:rPr>
          <w:b/>
        </w:rPr>
        <w:t>um alerta High</w:t>
      </w:r>
      <w:r>
        <w:t xml:space="preserve">, “Query built from user-controlled sources”,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42. Essa é a linha que concatena </w:t>
      </w:r>
      <w:r>
        <w:rPr>
          <w:rFonts w:ascii="Consolas" w:hAnsi="Consolas"/>
          <w:color w:val="5B2C83"/>
          <w:sz w:val="18"/>
        </w:rPr>
        <w:t>name</w:t>
      </w:r>
      <w:r>
        <w:t xml:space="preserve"> na instrução SQL antes de enviá-la a </w:t>
      </w:r>
      <w:r>
        <w:rPr>
          <w:rFonts w:ascii="Consolas" w:hAnsi="Consolas"/>
          <w:color w:val="5B2C83"/>
          <w:sz w:val="18"/>
        </w:rPr>
        <w:t>jdbcTemplate.query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Code Scanning lista o alerta High no PR #10 e aponta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sour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PR #10: entrada concatenada na consulta SQL de demonstração</w:t>
      </w:r>
    </w:p>
    <w:p>
      <w:r>
        <w:t xml:space="preserve">Na execução do commit </w:t>
      </w:r>
      <w:r>
        <w:rPr>
          <w:rFonts w:ascii="Consolas" w:hAnsi="Consolas"/>
          <w:color w:val="5B2C83"/>
          <w:sz w:val="18"/>
        </w:rPr>
        <w:t>d4ad0e1</w:t>
      </w:r>
      <w:r>
        <w:t xml:space="preserve">, os checks do CodeQL e do Maven terminaram verdes, embora o Code Scanning tenha registrado o alerta. O PR também aparecia como apto a merge. Isso demonstra, neste repositório, que o alerta visível não bloqueou o merge por si só; o estado do alerta, o resultado do check e as regras de proteção são sinais separados. </w:t>
      </w:r>
      <w:r>
        <w:rPr>
          <w:b/>
        </w:rPr>
        <w:t>Não aprove nem faça merge do PR #10:</w:t>
      </w:r>
      <w:r>
        <w:t xml:space="preserve"> a vulnerabilidade é intencional e o PR aguarda revisão da mantenedora.</w:t>
      </w:r>
    </w:p>
    <w:p>
      <w:r>
        <w:t>#### Um alerta High ou Critical pode ser dispensado?</w:t>
      </w:r>
    </w:p>
    <w:p>
      <w:r>
        <w:rPr>
          <w:b/>
        </w:rPr>
        <w:t>A severidade High ou Critical, sozinha, não impede a ação “Dismiss alert”.</w:t>
      </w:r>
      <w:r>
        <w:t xml:space="preserve"> No GitHub, quem tem permissão de escrita no repositório pode dispensar um alerta de Code Scanning, a menos que a organização tenha ativado a aprovação delegada. Na tela atual do PR #10, o alerta é High e a opção aparece; antes de confirmar, o GitHub exige uma razão. Não selecionamos uma razão nem dispensamos o alerta.</w:t>
      </w:r>
    </w:p>
    <w:p>
      <w:r>
        <w:t xml:space="preserve">As razões exibidas para este alerta são </w:t>
      </w:r>
      <w:r>
        <w:rPr>
          <w:b/>
        </w:rPr>
        <w:t>False positive</w:t>
      </w:r>
      <w:r>
        <w:t xml:space="preserve">, </w:t>
      </w:r>
      <w:r>
        <w:rPr>
          <w:b/>
        </w:rPr>
        <w:t>Used in tests</w:t>
      </w:r>
      <w:r>
        <w:t xml:space="preserve">, </w:t>
      </w:r>
      <w:r>
        <w:rPr>
          <w:b/>
        </w:rPr>
        <w:t>Won't fix</w:t>
      </w:r>
      <w:r>
        <w:t xml:space="preserve"> e </w:t>
      </w:r>
      <w:r>
        <w:rPr>
          <w:b/>
        </w:rPr>
        <w:t>Mitigated</w:t>
      </w:r>
      <w:r>
        <w:t>. Escolha uma apenas se ela descreve de fato o caso e registre o contexto. “Dismiss” fecha/arquiva o alerta para a análise, registra a razão e o remove da contagem de alertas atuais; não altera o código e não elimina a vulnerabilidade. A documentação do GitHub informa que o descarte vale para todas as branches e que uma nova análise não reabre o mesmo alerta para o mesmo código. Por isso, uma vulnerabilidade real deve ser corrigida no código, não dispensada para fazer o aviso sumir.</w:t>
      </w:r>
    </w:p>
    <w:p>
      <w:r>
        <w:t>No PR de laboratório, a SQL continua concatenando a entrada recebida. O alerta High deve permanecer aberto até a correção da consulta; a tela de dismiss serve para demonstrar o fluxo, não para aprovar ou aceitar o risco.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lis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Lista de Code Scanning: um alerta aberto associado à branch do PR #10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alerta High localizado em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dismiss: quatro razões disponíveis; nenhuma foi selecionada ou enviada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-fina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CodeQL e Maven concluídos com sucesso na execução do commit d4ad0e1, antes desta atualização documental</w:t>
      </w:r>
    </w:p>
    <w:p>
      <w:r>
        <w:t xml:space="preserve">O botão de dismiss é diferente de um bloqueio de merge. Se a equipe quiser restringir quem pode dispensar alertas, a mantenedora pode habilitar </w:t>
      </w:r>
      <w:r>
        <w:rPr>
          <w:b/>
        </w:rPr>
        <w:t>delegated alert dismissal</w:t>
      </w:r>
      <w:r>
        <w:t>. Nesse modelo, pessoas com acesso de escrita solicitam o descarte; proprietários da organização e security managers analisam a solicitação. A regra e o check exigido pela branch continuam sendo configurados separadamente.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https://github.com/aeroschmidt/scanner-loja-instrumentos/pull/7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#9, SQL Injection com Code Scanning desligado: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Orientações para criar e revisar Pull Requests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