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O PR #10 continua aberto e contém uma SQL Injection intencional; esta documentação registra o estado observado, não aprova nem integra a alteração.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On, Default setup</w:t>
            </w:r>
          </w:p>
        </w:tc>
        <w:tc>
          <w:tcPr>
            <w:tcW w:type="dxa" w:w="3331"/>
            <w:vAlign w:val="center"/>
          </w:tcPr>
          <w:p>
            <w:r>
              <w:t xml:space="preserve">Analisou o PR #10 e encontrou um alerta High de SQL Injection em </w:t>
            </w:r>
            <w:r>
              <w:rPr>
                <w:rFonts w:ascii="Consolas" w:hAnsi="Consolas"/>
                <w:color w:val="5B2C83"/>
                <w:sz w:val="18"/>
              </w:rPr>
              <w:t>ProductRepository.java:42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anterior ao PR #10: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 A configuração atual do CodeQL está ativa via Default setup, conforme o resultado do PR #10 registrado adiante.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>. Consulte a execução associada ao PR que estiver avaliando.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pull_request</w:t>
      </w:r>
      <w:r>
        <w:t>), o job e os steps.</w:t>
      </w:r>
    </w:p>
    <w:p>
      <w:pPr>
        <w:pStyle w:val="ListNumber"/>
      </w:pPr>
      <w:r>
        <w:t xml:space="preserve">O arquivo </w:t>
      </w:r>
      <w:r>
        <w:rPr>
          <w:rFonts w:ascii="Consolas" w:hAnsi="Consolas"/>
          <w:color w:val="5B2C83"/>
          <w:sz w:val="18"/>
        </w:rPr>
        <w:t>build.yml</w:t>
      </w:r>
      <w:r>
        <w:t xml:space="preserve"> prepara Java 21 e executa </w:t>
      </w:r>
      <w:r>
        <w:rPr>
          <w:rFonts w:ascii="Consolas" w:hAnsi="Consolas"/>
          <w:color w:val="5B2C83"/>
          <w:sz w:val="18"/>
        </w:rPr>
        <w:t>./mvnw ... verify</w:t>
      </w:r>
      <w:r>
        <w:t xml:space="preserve"> para compilar e testar.</w:t>
      </w:r>
    </w:p>
    <w:p>
      <w:pPr>
        <w:pStyle w:val="ListNumber"/>
      </w:pPr>
      <w:r>
        <w:t>Inspecione o log do job para conferir o que foi executado e localizar a primeira mensagem de falha, se houver.</w:t>
      </w:r>
    </w:p>
    <w:p>
      <w:r>
        <w:t>O Actions coordena o workflow e o Maven compila e testa. Uma execução verde confirma apenas os passos configurados nesse workflow; a análise CodeQL é uma verificação separada.</w:t>
      </w:r>
    </w:p>
    <w:p>
      <w:r>
        <w:t xml:space="preserve">Cada novo push ou atualização de PR pode iniciar outra execução. O GitHub permite execuções simultâneas por padrão. Quando a capacidade de runners hospedados é atingida, os jobs novos aguardam na fila; eles não falham apenas porque várias pessoas enviaram commits. Se a equipe configurar </w:t>
      </w:r>
      <w:r>
        <w:rPr>
          <w:rFonts w:ascii="Consolas" w:hAnsi="Consolas"/>
          <w:color w:val="5B2C83"/>
          <w:sz w:val="18"/>
        </w:rPr>
        <w:t>concurrency</w:t>
      </w:r>
      <w:r>
        <w:t xml:space="preserve"> com cancelamento, execuções anteriores da mesma fila podem ser canceladas intencionalmente. Ao investigar um resultado, confira sempre o SHA do commit associado ao check para não confundir a execução de um commit antigo com a mais recente.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habilitado para o teste atual</w:t>
      </w:r>
    </w:p>
    <w:p>
      <w:pPr>
        <w:pStyle w:val="ListNumber"/>
      </w:pPr>
      <w:r>
        <w:t xml:space="preserve">A mantenedora ativou </w:t>
      </w:r>
      <w:r>
        <w:rPr>
          <w:b/>
        </w:rPr>
        <w:t>Default setup</w:t>
      </w:r>
      <w:r>
        <w:t xml:space="preserve"> em </w:t>
      </w:r>
      <w:r>
        <w:rPr>
          <w:b/>
        </w:rPr>
        <w:t>Settings &gt; Advanced Security &gt; Code Security &gt; CodeQL analysis</w:t>
      </w:r>
      <w:r>
        <w:t>.</w:t>
      </w:r>
    </w:p>
    <w:p>
      <w:pPr>
        <w:pStyle w:val="ListNumber"/>
      </w:pPr>
      <w:r>
        <w:t>O GitHub identificou linguagens do repositório e executou a análise no PR #10.</w:t>
      </w:r>
    </w:p>
    <w:p>
      <w:pPr>
        <w:pStyle w:val="ListNumber"/>
      </w:pPr>
      <w:r>
        <w:t>O resultado deste exercício é um alerta High de SQL Injection com arquivo e linha; consulte o guia do usuário para ver capturas e entender o que o autor e revisor do PR devem fazer.</w:t>
      </w:r>
    </w:p>
    <w:p>
      <w:pPr>
        <w:pStyle w:val="ListNumber"/>
      </w:pPr>
      <w:r>
        <w:t>Um alerta no painel e o status do check são coisas diferentes. Só há bloqueio de merge quando as regras de proteção da branch exigem o check apropriado.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2"/>
      </w:pPr>
      <w:r>
        <w:t>Dispensa de alertas de Code Scanning</w:t>
      </w:r>
    </w:p>
    <w:p>
      <w:r>
        <w:t xml:space="preserve">Não é qualquer pessoa que fez um commit: no padrão atual, quem tem </w:t>
      </w:r>
      <w:r>
        <w:rPr>
          <w:b/>
        </w:rPr>
        <w:t>permissão de escrita no repositório</w:t>
      </w:r>
      <w:r>
        <w:t xml:space="preserve"> pode ver e usar </w:t>
      </w:r>
      <w:r>
        <w:rPr>
          <w:b/>
        </w:rPr>
        <w:t>Dismiss alert</w:t>
      </w:r>
      <w:r>
        <w:t xml:space="preserve">, independentemente de o alerta ser High ou Critical. A severidade informa a gravidade; ela não concede nem remove permissões. No alerta High observado no PR #10, o botão abriu um formulário que exige uma razão. As opções mostradas foram </w:t>
      </w:r>
      <w:r>
        <w:rPr>
          <w:rFonts w:ascii="Consolas" w:hAnsi="Consolas"/>
          <w:color w:val="5B2C83"/>
          <w:sz w:val="18"/>
        </w:rPr>
        <w:t>False positive</w:t>
      </w:r>
      <w:r>
        <w:t xml:space="preserve">, </w:t>
      </w:r>
      <w:r>
        <w:rPr>
          <w:rFonts w:ascii="Consolas" w:hAnsi="Consolas"/>
          <w:color w:val="5B2C83"/>
          <w:sz w:val="18"/>
        </w:rPr>
        <w:t>Used in tests</w:t>
      </w:r>
      <w:r>
        <w:t xml:space="preserve">, </w:t>
      </w:r>
      <w:r>
        <w:rPr>
          <w:rFonts w:ascii="Consolas" w:hAnsi="Consolas"/>
          <w:color w:val="5B2C83"/>
          <w:sz w:val="18"/>
        </w:rPr>
        <w:t>Won't fix</w:t>
      </w:r>
      <w:r>
        <w:t xml:space="preserve"> e </w:t>
      </w:r>
      <w:r>
        <w:rPr>
          <w:rFonts w:ascii="Consolas" w:hAnsi="Consolas"/>
          <w:color w:val="5B2C83"/>
          <w:sz w:val="18"/>
        </w:rPr>
        <w:t>Mitigated</w:t>
      </w:r>
      <w:r>
        <w:t>. Nenhuma foi selecionada e o alerta continua aberto.</w:t>
      </w:r>
    </w:p>
    <w:p>
      <w:r>
        <w:t xml:space="preserve">Boa prática: primeiro entenda a regra e o caminho indicado, confirme se o achado é real e corrija a causa no código; rode testes e aguarde a nova análise. Não dispense um alerta real só para liberar o PR ou deixar o check verde. Use </w:t>
      </w:r>
      <w:r>
        <w:rPr>
          <w:b/>
        </w:rPr>
        <w:t>Dismiss alert</w:t>
      </w:r>
      <w:r>
        <w:t xml:space="preserve"> apenas quando houver uma justificativa válida (por exemplo, falso positivo ou uso deliberado em teste), registre o contexto e siga a política de revisão da equipe. Dispensar fecha o alerta no painel, registra a razão e não corrige o código.</w:t>
      </w:r>
    </w:p>
    <w:p>
      <w:r>
        <w:t xml:space="preserve">Se a política exigir controle adicional, a mantenedora pode configurar </w:t>
      </w:r>
      <w:r>
        <w:rPr>
          <w:b/>
        </w:rPr>
        <w:t>delegated alert dismissal</w:t>
      </w:r>
      <w:r>
        <w:t>: pessoas com acesso de escrita solicitam a dispensa, e proprietários da organização ou security managers podem aprovar ou rejeitar. A opção delegada não foi ativada neste exercício.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Alerta High aberto no PR #10, com a localização em ProductRepository.java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dispensa com razões disponíveis; nenhuma foi enviada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Registrar estado inicial, configuração alterada e evidências de cada etapa, sem misturar os resultados do build com os alertas de segurança.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Resolver alertas de Code Scanning e dispensá-los — https://docs.github.com/en/code-security/how-tos/manage-security-alerts/manage-code-scanning-alerts/resolve-alerts</w:t>
      </w:r>
    </w:p>
    <w:p>
      <w:pPr>
        <w:pStyle w:val="ListBullet"/>
      </w:pPr>
      <w:r>
        <w:t>Aprovação delegada de dispensas — https://docs.github.com/en/code-security/concepts/security-at-scale/delegated-alert-dismissal</w:t>
      </w:r>
    </w:p>
    <w:p>
      <w:pPr>
        <w:pStyle w:val="ListBullet"/>
      </w:pPr>
      <w:r>
        <w:t>Quem pode dispensar alertas de Code Scanning — https://docs.github.com/en/code-security/how-tos/manage-security-alerts/manage-code-scanning-alerts/triage-alerts-in-pull-requests</w:t>
      </w:r>
    </w:p>
    <w:p>
      <w:pPr>
        <w:pStyle w:val="ListBullet"/>
      </w:pPr>
      <w:r>
        <w:t>Concorrência de workflows e jobs — https://docs.github.com/en/actions/concepts/workflows-and-actions/concurrency</w:t>
      </w:r>
    </w:p>
    <w:p>
      <w:pPr>
        <w:pStyle w:val="ListBullet"/>
      </w:pPr>
      <w:r>
        <w:t>Limites do GitHub Actions — https://docs.github.com/en/actions/reference/limits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workflow executa Maven </w:t>
      </w:r>
      <w:r>
        <w:rPr>
          <w:rFonts w:ascii="Consolas" w:hAnsi="Consolas"/>
          <w:color w:val="5B2C83"/>
          <w:sz w:val="18"/>
        </w:rPr>
        <w:t>verify</w:t>
      </w:r>
      <w:r>
        <w:t>; a análise CodeQL é configurada separadamente nas opções de segurança do repositório.</w:t>
      </w:r>
    </w:p>
    <w:p>
      <w:pPr>
        <w:pStyle w:val="ListBullet"/>
      </w:pPr>
      <w:r>
        <w:t xml:space="preserve">O workflow da branch do PR #10 usa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destinado 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Code Scanning/CodeQL está ativo via Default setup para o exercício; Dependabot e Secret Protection continuam desligados conforme o escopo.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Administração de Actions 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MANTENEDORA  |  AÇÕES E SEGURANÇA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prático: GitHub Actions e segurança do repositório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