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2026; atualização do Code Scanning após o PR #10</w:t>
      </w:r>
    </w:p>
    <w:p>
      <w:r>
        <w:t>Este guia registra o que está ativo, o que ainda está desligado e como cada participante acompanha os testes. A sequência é uma ferramenta por vez. A mantenedora habilitou Code Scanning antes do PR #10; este documento registra o estado observado e não altera configurações.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Sonar no workflow</w:t>
            </w:r>
          </w:p>
        </w:tc>
        <w:tc>
          <w:tcPr>
            <w:tcW w:type="dxa" w:w="3331"/>
            <w:vAlign w:val="center"/>
          </w:tcPr>
          <w:p>
            <w:r>
              <w:t>Removido nesta etapa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não chama Sonar nem lê </w:t>
            </w:r>
            <w:r>
              <w:rPr>
                <w:rFonts w:ascii="Consolas" w:hAnsi="Consolas"/>
                <w:color w:val="5B2C83"/>
                <w:sz w:val="18"/>
              </w:rPr>
              <w:t>SONAR_TOKEN</w:t>
            </w:r>
            <w:r>
              <w:t>. A análise local continua descrita no README.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On, Default setup</w:t>
            </w:r>
          </w:p>
        </w:tc>
        <w:tc>
          <w:tcPr>
            <w:tcW w:type="dxa" w:w="3331"/>
            <w:vAlign w:val="center"/>
          </w:tcPr>
          <w:p>
            <w:r>
              <w:t xml:space="preserve">Analisou o PR #10 e encontrou um alerta High de SQL Injection em </w:t>
            </w:r>
            <w:r>
              <w:rPr>
                <w:rFonts w:ascii="Consolas" w:hAnsi="Consolas"/>
                <w:color w:val="5B2C83"/>
                <w:sz w:val="18"/>
              </w:rPr>
              <w:t>ProductRepository.java:42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anterior ao PR #10: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 A configuração atual do CodeQL está ativa via Default setup, conforme o resultado do PR #10 registrado adiante.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Abra </w:t>
      </w:r>
      <w:r>
        <w:rPr>
          <w:b/>
        </w:rPr>
        <w:t>Build, test, and analyze with SonarQube</w:t>
      </w:r>
      <w:r>
        <w:t xml:space="preserve"> apenas em execuções históricas; no workflow atual, o step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 workflow; Maven compila o projeto e roda os testes. Um check de Actions não significa que CodeQL, Dependabot ou Secret Scanning estejam ativos.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habilitado para o teste atual</w:t>
      </w:r>
    </w:p>
    <w:p>
      <w:pPr>
        <w:pStyle w:val="ListNumber"/>
      </w:pPr>
      <w:r>
        <w:t xml:space="preserve">A mantenedora ativou </w:t>
      </w:r>
      <w:r>
        <w:rPr>
          <w:b/>
        </w:rPr>
        <w:t>Default setup</w:t>
      </w:r>
      <w:r>
        <w:t xml:space="preserve"> em </w:t>
      </w:r>
      <w:r>
        <w:rPr>
          <w:b/>
        </w:rPr>
        <w:t>Settings &gt; Advanced Security &gt; Code Security &gt; CodeQL analysis</w:t>
      </w:r>
      <w:r>
        <w:t>.</w:t>
      </w:r>
    </w:p>
    <w:p>
      <w:pPr>
        <w:pStyle w:val="ListNumber"/>
      </w:pPr>
      <w:r>
        <w:t>O GitHub identificou linguagens do repositório e executou a análise no PR #10.</w:t>
      </w:r>
    </w:p>
    <w:p>
      <w:pPr>
        <w:pStyle w:val="ListNumber"/>
      </w:pPr>
      <w:r>
        <w:t>O resultado deste exercício é um alerta High de SQL Injection com arquivo e linha; consulte o guia do usuário para ver capturas e entender o que o autor e revisor do PR devem fazer.</w:t>
      </w:r>
    </w:p>
    <w:p>
      <w:pPr>
        <w:pStyle w:val="ListNumber"/>
      </w:pPr>
      <w:r>
        <w:t>Um alerta no painel e o status do check são coisas diferentes. Só há bloqueio de merge quando as regras de proteção da branch exigem o check apropriado.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2"/>
      </w:pPr>
      <w:r>
        <w:t>E. Depois dos testes: Sonar por último</w:t>
      </w:r>
    </w:p>
    <w:p>
      <w:r>
        <w:t xml:space="preserve">Quando Dependabot, CodeQL e Secret Scanning tiverem sido testados e registrados, a última etapa será reintroduzir Sonar no workflow. Então poderemos comparar checks nativos do GitHub com a análise e o Quality Gate do Sonar. Até lá, o workflow não usa </w:t>
      </w:r>
      <w:r>
        <w:rPr>
          <w:rFonts w:ascii="Consolas" w:hAnsi="Consolas"/>
          <w:color w:val="5B2C83"/>
          <w:sz w:val="18"/>
        </w:rPr>
        <w:t>SONAR_TOKEN</w:t>
      </w:r>
      <w:r>
        <w:t>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2"/>
      </w:pPr>
      <w:r>
        <w:t>Dispensa de alertas de Code Scanning</w:t>
      </w:r>
    </w:p>
    <w:p>
      <w:r>
        <w:t xml:space="preserve">Se a pessoa tem permissão de escrita no repositório, a interface normalmente oferece </w:t>
      </w:r>
      <w:r>
        <w:rPr>
          <w:b/>
        </w:rPr>
        <w:t>Dismiss alert</w:t>
      </w:r>
      <w:r>
        <w:t xml:space="preserve">, independentemente de o alerta ser High ou Critical. A severidade informa a gravidade; ela não concede nem remove permissões. No alerta High observado no PR #10, o botão abriu um formulário que exige uma razão. As opções mostradas foram </w:t>
      </w:r>
      <w:r>
        <w:rPr>
          <w:rFonts w:ascii="Consolas" w:hAnsi="Consolas"/>
          <w:color w:val="5B2C83"/>
          <w:sz w:val="18"/>
        </w:rPr>
        <w:t>False positive</w:t>
      </w:r>
      <w:r>
        <w:t xml:space="preserve">, </w:t>
      </w:r>
      <w:r>
        <w:rPr>
          <w:rFonts w:ascii="Consolas" w:hAnsi="Consolas"/>
          <w:color w:val="5B2C83"/>
          <w:sz w:val="18"/>
        </w:rPr>
        <w:t>Used in tests</w:t>
      </w:r>
      <w:r>
        <w:t xml:space="preserve">, </w:t>
      </w:r>
      <w:r>
        <w:rPr>
          <w:rFonts w:ascii="Consolas" w:hAnsi="Consolas"/>
          <w:color w:val="5B2C83"/>
          <w:sz w:val="18"/>
        </w:rPr>
        <w:t>Won't fix</w:t>
      </w:r>
      <w:r>
        <w:t xml:space="preserve"> e </w:t>
      </w:r>
      <w:r>
        <w:rPr>
          <w:rFonts w:ascii="Consolas" w:hAnsi="Consolas"/>
          <w:color w:val="5B2C83"/>
          <w:sz w:val="18"/>
        </w:rPr>
        <w:t>Mitigated</w:t>
      </w:r>
      <w:r>
        <w:t>. Nenhuma foi selecionada e o alerta continua aberto.</w:t>
      </w:r>
    </w:p>
    <w:p>
      <w:r>
        <w:t xml:space="preserve">Dispensar fecha o alerta no painel, registra a razão e não corrige o código. Para uma vulnerabilidade real, a ação esperada é corrigir o código e aguardar nova análise. Configure </w:t>
      </w:r>
      <w:r>
        <w:rPr>
          <w:b/>
        </w:rPr>
        <w:t>delegated alert dismissal</w:t>
      </w:r>
      <w:r>
        <w:t xml:space="preserve"> somente se a política exigir controle adicional: pessoas com acesso de escrita passam a solicitar a dispensa, e proprietários da organização/security managers podem aprovar ou rejeitar. A opção delegada não foi ativada neste exercício.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Alerta High aberto no PR #10, com a localização em ProductRepository.java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dispensa com razões disponíveis; nenhuma foi enviada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pPr>
        <w:pStyle w:val="ListNumber"/>
      </w:pPr>
      <w:r>
        <w:t>Reintegrar Sonar por último e comparar os resultados.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Resolver alertas de Code Scanning e dispensá-los — https://docs.github.com/en/code-security/how-tos/manage-security-alerts/manage-code-scanning-alerts/resolve-alerts</w:t>
      </w:r>
    </w:p>
    <w:p>
      <w:pPr>
        <w:pStyle w:val="ListBullet"/>
      </w:pPr>
      <w:r>
        <w:t>Aprovação delegada de dispensas — https://docs.github.com/en/code-security/concepts/security-at-scale/delegated-alert-dismissal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PR #7 remove a execução do Sonar do workflow e mantém Maven </w:t>
      </w:r>
      <w:r>
        <w:rPr>
          <w:rFonts w:ascii="Consolas" w:hAnsi="Consolas"/>
          <w:color w:val="5B2C83"/>
          <w:sz w:val="18"/>
        </w:rPr>
        <w:t>verify</w:t>
      </w:r>
      <w:r>
        <w:t>.</w:t>
      </w:r>
    </w:p>
    <w:p>
      <w:pPr>
        <w:pStyle w:val="ListBullet"/>
      </w:pPr>
      <w:r>
        <w:t xml:space="preserve">O workflow usa os eventos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Code Scanning/CodeQL está ativo via Default setup para o exercício; Dependabot e Secret Protection continuam desligados conforme o escopo.</w:t>
      </w:r>
    </w:p>
    <w:p>
      <w:pPr>
        <w:pStyle w:val="ListBullet"/>
      </w:pPr>
      <w:r>
        <w:t>A proprietária revisa e aprova PRs. O assistente não aprova nem mescla.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prático: GitHub Actions e segurança do repositório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