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Guia do usuário para Pull Requests e verificações de segurança</w:t>
      </w:r>
    </w:p>
    <w:p>
      <w:r>
        <w:t xml:space="preserve">Este guia explica como autores e revisores de código acompanham um Pull Request (PR) no GitHub quando há verificações automáticas. Ele ajuda a interpretar resultados do GitHub Actions e do GitHub Advanced Security (GHAS), responder a alertas e decidir o que precisa de revisão humana. O administrador do repositório configura as ferramentas; as instruções de configuração ficam no </w:t>
      </w:r>
      <w:r>
        <w:t>guia da mantenedora — guia-maintainer-ghas.md</w:t>
      </w:r>
      <w:r>
        <w:t>.</w:t>
      </w:r>
    </w:p>
    <w:p>
      <w:r>
        <w:t>Um check verde significa que aquela verificação terminou com sucesso. Isso não prova, por si só, que o código está livre de defeitos ou seguro. Alertas de segurança e bloqueios de merge também são coisas diferentes: o alerta aponta um achado; a regra de proteção da branch define se o merge fica impedido até a resolução.</w:t>
      </w:r>
    </w:p>
    <w:p>
      <w:pPr>
        <w:pStyle w:val="Heading1"/>
      </w:pPr>
      <w:r>
        <w:t>1. Quem faz o quê</w:t>
      </w:r>
    </w:p>
    <w:p>
      <w:pPr>
        <w:pStyle w:val="ListBullet"/>
      </w:pPr>
      <w:r>
        <w:rPr>
          <w:b/>
        </w:rPr>
        <w:t>Autor do PR:</w:t>
      </w:r>
      <w:r>
        <w:t xml:space="preserve"> descreve a mudança, acompanha os checks, corrige falhas e responde às observações da revisão.</w:t>
      </w:r>
    </w:p>
    <w:p>
      <w:pPr>
        <w:pStyle w:val="ListBullet"/>
      </w:pPr>
      <w:r>
        <w:rPr>
          <w:b/>
        </w:rPr>
        <w:t>Revisor:</w:t>
      </w:r>
      <w:r>
        <w:t xml:space="preserve"> entende o objetivo e o diff, verifica os resultados automáticos e pede ajustes quando necessário.</w:t>
      </w:r>
    </w:p>
    <w:p>
      <w:pPr>
        <w:pStyle w:val="ListBullet"/>
      </w:pPr>
      <w:r>
        <w:rPr>
          <w:b/>
        </w:rPr>
        <w:t>Administrador do repositório:</w:t>
      </w:r>
      <w:r>
        <w:t xml:space="preserve"> habilita e configura workflows, ferramentas de segurança e regras de proteção. Consulte o guia da mantenedora para essas tarefas.</w:t>
      </w:r>
    </w:p>
    <w:p>
      <w:pPr>
        <w:pStyle w:val="ListBullet"/>
      </w:pPr>
      <w:r>
        <w:rPr>
          <w:b/>
        </w:rPr>
        <w:t>Bots:</w:t>
      </w:r>
      <w:r>
        <w:t xml:space="preserve"> podem executar análises ou propor atualizações. Um resultado automático não substitui a revisão e aprovação previstas pelo processo da equipe.</w:t>
      </w:r>
    </w:p>
    <w:p>
      <w:pPr>
        <w:pStyle w:val="Heading1"/>
      </w:pPr>
      <w:r>
        <w:t>2. Fluxo normal de um Pull Request</w:t>
      </w:r>
    </w:p>
    <w:p>
      <w:pPr>
        <w:pStyle w:val="ListNumber"/>
      </w:pPr>
      <w:r>
        <w:t>Crie uma branch para a mudança e mantenha cada PR focado em um objetivo.</w:t>
      </w:r>
    </w:p>
    <w:p>
      <w:pPr>
        <w:pStyle w:val="ListNumber"/>
      </w:pPr>
      <w:r>
        <w:t>Abra o PR para a branch de destino indicada pela equipe. Explique o motivo, o que mudou, como foi verificado e quais riscos merecem atenção.</w:t>
      </w:r>
    </w:p>
    <w:p>
      <w:pPr>
        <w:pStyle w:val="ListNumber"/>
      </w:pPr>
      <w:r>
        <w:t xml:space="preserve">Aguarde os checks na área </w:t>
      </w:r>
      <w:r>
        <w:rPr>
          <w:b/>
        </w:rPr>
        <w:t>Checks</w:t>
      </w:r>
      <w:r>
        <w:t xml:space="preserve"> ou na seção de status do PR. Enquanto estiverem em execução, espere a conclusão antes de interpretar o resultado.</w:t>
      </w:r>
    </w:p>
    <w:p>
      <w:pPr>
        <w:pStyle w:val="ListNumber"/>
      </w:pPr>
      <w:r>
        <w:t>Se um check falhar, abra o detalhe do job, localize a etapa marcada como falha e leia o log a partir da primeira mensagem de erro relevante. Corrija a causa e envie uma nova alteração para o mesmo PR.</w:t>
      </w:r>
    </w:p>
    <w:p>
      <w:pPr>
        <w:pStyle w:val="ListNumber"/>
      </w:pPr>
      <w:r>
        <w:t xml:space="preserve">Revise o diff em </w:t>
      </w:r>
      <w:r>
        <w:rPr>
          <w:b/>
        </w:rPr>
        <w:t>Files changed</w:t>
      </w:r>
      <w:r>
        <w:t xml:space="preserve"> e responda aos comentários. A aprovação e o merge seguem as regras da equipe.</w:t>
      </w:r>
    </w:p>
    <w:p>
      <w:pPr>
        <w:pStyle w:val="Heading2"/>
      </w:pPr>
      <w:r>
        <w:t>Como ler o estado de um check</w:t>
      </w:r>
    </w:p>
    <w:p>
      <w:pPr>
        <w:pStyle w:val="ListBullet"/>
      </w:pPr>
      <w:r>
        <w:rPr>
          <w:b/>
        </w:rPr>
        <w:t>Em execução:</w:t>
      </w:r>
      <w:r>
        <w:t xml:space="preserve"> o workflow ainda está trabalhando. Aguarde o resultado.</w:t>
      </w:r>
    </w:p>
    <w:p>
      <w:pPr>
        <w:pStyle w:val="ListBullet"/>
      </w:pPr>
      <w:r>
        <w:rPr>
          <w:b/>
        </w:rPr>
        <w:t>Sucesso:</w:t>
      </w:r>
      <w:r>
        <w:t xml:space="preserve"> as etapas daquele workflow passaram. Confira o que o workflow realmente executou; um build não substitui análise de segurança.</w:t>
      </w:r>
    </w:p>
    <w:p>
      <w:pPr>
        <w:pStyle w:val="ListBullet"/>
      </w:pPr>
      <w:r>
        <w:rPr>
          <w:b/>
        </w:rPr>
        <w:t>Falha:</w:t>
      </w:r>
      <w:r>
        <w:t xml:space="preserve"> uma etapa não passou ou encontrou uma condição que encerra o workflow. Abra o log para saber qual.</w:t>
      </w:r>
    </w:p>
    <w:p>
      <w:pPr>
        <w:pStyle w:val="ListBullet"/>
      </w:pPr>
      <w:r>
        <w:rPr>
          <w:b/>
        </w:rPr>
        <w:t>Não aparece:</w:t>
      </w:r>
      <w:r>
        <w:t xml:space="preserve"> a verificação pode não estar configurada para esse evento, branch ou linguagem, pode estar desligada ou não ser obrigatória. A ausência não significa que a análise passou.</w:t>
      </w:r>
    </w:p>
    <w:p>
      <w:pPr>
        <w:pStyle w:val="ListBullet"/>
      </w:pPr>
      <w:r>
        <w:rPr>
          <w:b/>
        </w:rPr>
        <w:t>Pendente ou ignorado:</w:t>
      </w:r>
      <w:r>
        <w:t xml:space="preserve"> verifique a explicação no GitHub e siga o processo da equipe. Não presuma que isso equivale a uma aprovação.</w:t>
      </w:r>
    </w:p>
    <w:p>
      <w:r>
        <w:t>Checks podem vir de GitHub Actions, Code Scanning ou outros serviços. O nome e o propósito aparecem no próprio check.</w:t>
      </w:r>
    </w:p>
    <w:p>
      <w:pPr>
        <w:pStyle w:val="Heading1"/>
      </w:pPr>
      <w:r>
        <w:t>3. O que cada ferramenta indica para quem envia ou revisa PRs</w:t>
      </w:r>
    </w:p>
    <w:p>
      <w:pPr>
        <w:pStyle w:val="Heading2"/>
      </w:pPr>
      <w:r>
        <w:t>GitHub Actions</w:t>
      </w:r>
    </w:p>
    <w:p>
      <w:r>
        <w:t>Actions executa os workflows definidos para eventos como abrir ou atualizar um PR. Um workflow pode compilar o projeto, rodar testes, verificar estilo ou executar outras tarefas. Consulte o resultado e os logs do job que corresponde à falha. Se o workflow está verde, conclua apenas que as tarefas configuradas nele passaram naquela execução.</w:t>
      </w:r>
    </w:p>
    <w:p>
      <w:r>
        <w:t xml:space="preserve">Cada commit novo no PR pode iniciar uma execução. O GitHub roda vários workflows ao mesmo tempo por padrão; se a capacidade de runners estiver ocupada, novos jobs podem ficar </w:t>
      </w:r>
      <w:r>
        <w:rPr>
          <w:b/>
        </w:rPr>
        <w:t>na fila</w:t>
      </w:r>
      <w:r>
        <w:t xml:space="preserve"> até haver vaga. Isso normalmente não significa falha. Um workflow pode ser cancelado se houver uma regra de concorrência configurada para cancelar execuções antigas ou se um limite do serviço for atingido. Antes de agir sobre um check, confirme que ele pertence ao SHA mais recente do PR.</w:t>
      </w:r>
    </w:p>
    <w:p>
      <w:pPr>
        <w:pStyle w:val="Heading2"/>
      </w:pPr>
      <w:r>
        <w:t>Code Scanning</w:t>
      </w:r>
    </w:p>
    <w:p>
      <w:r>
        <w:t>Quando uma análise de código está configurada para o PR, ela pode exibir alertas e anotações com a regra, severidade, arquivo e trecho relacionado. No Advanced setup, o administrador mantém um workflow CodeQL versionado; os eventos e as linguagens analisadas dependem do YAML. Abra o alerta para entender o caminho do dado, o risco e a correção sugerida; depois confira o contexto completo no diff.</w:t>
      </w:r>
    </w:p>
    <w:p>
      <w:r>
        <w:t>Um alerta não significa automaticamente que o merge será bloqueado. Isso depende das regras de proteção e da configuração do check. Da mesma forma, nenhum alerta pode significar que a análise não encontrou problemas que reconhece, que não foi executada ou que não cobre aquele caso. Considere a linguagem, o tipo de análise e o código efetivamente analisado.</w:t>
      </w:r>
    </w:p>
    <w:p>
      <w:r>
        <w:rPr>
          <w:b/>
        </w:rPr>
        <w:t>Ao encontrar um alerta:</w:t>
      </w:r>
    </w:p>
    <w:p>
      <w:pPr>
        <w:pStyle w:val="ListNumber"/>
      </w:pPr>
      <w:r>
        <w:t>Leia a descrição, severidade, arquivo e linha indicados.</w:t>
      </w:r>
    </w:p>
    <w:p>
      <w:pPr>
        <w:pStyle w:val="ListNumber"/>
      </w:pPr>
      <w:r>
        <w:t>Entenda a falha e confirme se o achado é real no contexto da mudança; não descarte apenas porque o build passou.</w:t>
      </w:r>
    </w:p>
    <w:p>
      <w:pPr>
        <w:pStyle w:val="ListNumber"/>
      </w:pPr>
      <w:r>
        <w:t>Como prática padrão, corrija a causa no código e acrescente ou ajuste testes quando fizer sentido.</w:t>
      </w:r>
    </w:p>
    <w:p>
      <w:pPr>
        <w:pStyle w:val="ListNumber"/>
      </w:pPr>
      <w:r>
        <w:t>Envie a correção e confira a nova análise. Se o alerta for realmente incorreto ou inaplicável, solicite triagem e documente a razão conforme a política da equipe; não o dispense só para liberar o PR.</w:t>
      </w:r>
    </w:p>
    <w:p>
      <w:pPr>
        <w:pStyle w:val="Heading2"/>
      </w:pPr>
      <w:r>
        <w:t>Dependabot</w:t>
      </w:r>
    </w:p>
    <w:p>
      <w:r>
        <w:t xml:space="preserve">Dependabot pode abrir PRs de </w:t>
      </w:r>
      <w:r>
        <w:rPr>
          <w:b/>
        </w:rPr>
        <w:t>atualização de segurança</w:t>
      </w:r>
      <w:r>
        <w:t xml:space="preserve"> para dependências vulneráveis ou de </w:t>
      </w:r>
      <w:r>
        <w:rPr>
          <w:b/>
        </w:rPr>
        <w:t>atualização de versão</w:t>
      </w:r>
      <w:r>
        <w:t xml:space="preserve"> para manter dependências atualizadas. O PR normalmente identifica a dependência e a versão proposta, e pode incluir informações sobre a atualização.</w:t>
      </w:r>
    </w:p>
    <w:p>
      <w:r>
        <w:t>Trate-o como uma alteração de código: confira o diff, o motivo da atualização, a compatibilidade e os checks. Veja notas de versão quando uma atualização puder alterar comportamento. Um PR criado pelo Dependabot não é uma aprovação humana; siga o processo normal de revisão e aprovação.</w:t>
      </w:r>
    </w:p>
    <w:p>
      <w:pPr>
        <w:pStyle w:val="Heading2"/>
      </w:pPr>
      <w:r>
        <w:t>Secret Scanning e Push Protection</w:t>
      </w:r>
    </w:p>
    <w:p>
      <w:r>
        <w:t>Secret Scanning procura padrões de credenciais expostas no repositório e pode gerar alertas. Push Protection pode bloquear um envio quando detecta um possível segredo, conforme a configuração aplicada.</w:t>
      </w:r>
    </w:p>
    <w:p>
      <w:r>
        <w:rPr>
          <w:b/>
        </w:rPr>
        <w:t>Se o envio for bloqueado:</w:t>
      </w:r>
    </w:p>
    <w:p>
      <w:pPr>
        <w:pStyle w:val="ListNumber"/>
      </w:pPr>
      <w:r>
        <w:t>Não coloque uma credencial real em um PR ou commit de teste.</w:t>
      </w:r>
    </w:p>
    <w:p>
      <w:pPr>
        <w:pStyle w:val="ListNumber"/>
      </w:pPr>
      <w:r>
        <w:t>Remova o valor do código e use o mecanismo de armazenamento aprovado pela equipe.</w:t>
      </w:r>
    </w:p>
    <w:p>
      <w:pPr>
        <w:pStyle w:val="ListNumber"/>
      </w:pPr>
      <w:r>
        <w:t>Se a credencial for verdadeira ou tiver sido exposta, avise imediatamente o responsável e revogue ou rotacione o segredo. Apagar o texto do commit, sozinho, não invalida uma credencial que já foi exposta.</w:t>
      </w:r>
    </w:p>
    <w:p>
      <w:pPr>
        <w:pStyle w:val="ListNumber"/>
      </w:pPr>
      <w:r>
        <w:t>Só use uma opção de bypass se a política da organização permitir e houver justificativa aprovada. O bypass pode registrar um alerta e não deve servir para contornar a correção.</w:t>
      </w:r>
    </w:p>
    <w:p>
      <w:r>
        <w:t>Se o padrão detectado for um falso positivo ou um valor de teste sem validade, siga o procedimento definido pelos administradores para revisar o bloqueio.</w:t>
      </w:r>
    </w:p>
    <w:p>
      <w:pPr>
        <w:pStyle w:val="Heading1"/>
      </w:pPr>
      <w:r>
        <w:t>4. Alerta encontrado versus merge bloqueado</w:t>
      </w:r>
    </w:p>
    <w:p>
      <w:r>
        <w:t>O GitHub pode mostrar um alerta para ajudar a equipe a localizar um problema sem impedir o merge. Para bloquear o merge, o repositório precisa exigir o check relevante ou outra regra aplicável. O usuário deve:</w:t>
      </w:r>
    </w:p>
    <w:p>
      <w:pPr>
        <w:pStyle w:val="ListNumber"/>
      </w:pPr>
      <w:r>
        <w:t>verificar se o resultado está concluído e qual ferramenta o produziu;</w:t>
      </w:r>
    </w:p>
    <w:p>
      <w:pPr>
        <w:pStyle w:val="ListNumber"/>
      </w:pPr>
      <w:r>
        <w:t>abrir os detalhes do alerta ou do check e entender a ação esperada;</w:t>
      </w:r>
    </w:p>
    <w:p>
      <w:pPr>
        <w:pStyle w:val="ListNumber"/>
      </w:pPr>
      <w:r>
        <w:t>corrigir o problema ou encaminhar a triagem conforme a política da equipe;</w:t>
      </w:r>
    </w:p>
    <w:p>
      <w:pPr>
        <w:pStyle w:val="ListNumber"/>
      </w:pPr>
      <w:r>
        <w:t>confirmar que a nova execução reflete a correção;</w:t>
      </w:r>
    </w:p>
    <w:p>
      <w:pPr>
        <w:pStyle w:val="ListNumber"/>
      </w:pPr>
      <w:r>
        <w:t>aguardar as aprovações exigidas antes do merge.</w:t>
      </w:r>
    </w:p>
    <w:p>
      <w:r>
        <w:t>Não trate “sem check”, “check verde” e “alerta resolvido” como estados equivalentes.</w:t>
      </w:r>
    </w:p>
    <w:p>
      <w:pPr>
        <w:pStyle w:val="Heading1"/>
      </w:pPr>
      <w:r>
        <w:t>5. Exercícios controlados para aprender as ferramentas</w:t>
      </w:r>
    </w:p>
    <w:p>
      <w:r>
        <w:t>Uma equipe pode comparar o resultado de uma mudança segura com o de uma vulnerabilidade intencional para entender o que uma análise detecta. Isso deve ocorrer em uma branch ou repositório de laboratório, com dados fictícios e sob supervisão. Nunca introduza credenciais válidas ou código inseguro em uma branch de produção.</w:t>
      </w:r>
    </w:p>
    <w:p>
      <w:r>
        <w:t>Para cada exercício:</w:t>
      </w:r>
    </w:p>
    <w:p>
      <w:pPr>
        <w:pStyle w:val="ListNumber"/>
      </w:pPr>
      <w:r>
        <w:t>registre o estado inicial e quais verificações estão ativas;</w:t>
      </w:r>
    </w:p>
    <w:p>
      <w:pPr>
        <w:pStyle w:val="ListNumber"/>
      </w:pPr>
      <w:r>
        <w:t>faça uma única alteração controlada e descreva o comportamento esperado;</w:t>
      </w:r>
    </w:p>
    <w:p>
      <w:pPr>
        <w:pStyle w:val="ListNumber"/>
      </w:pPr>
      <w:r>
        <w:t>abra um PR e observe os checks e alertas sem presumir que a ferramenta necessariamente reconhecerá o caso;</w:t>
      </w:r>
    </w:p>
    <w:p>
      <w:pPr>
        <w:pStyle w:val="ListNumber"/>
      </w:pPr>
      <w:r>
        <w:t>compare o resultado com o que a análise realmente executou e com o diff;</w:t>
      </w:r>
    </w:p>
    <w:p>
      <w:pPr>
        <w:pStyle w:val="ListNumber"/>
      </w:pPr>
      <w:r>
        <w:t>remova o código inseguro, confirme a nova análise e não faça merge enquanto o risco estiver presente.</w:t>
      </w:r>
    </w:p>
    <w:p>
      <w:r>
        <w:t>Uma ferramenta pode não reconhecer um exemplo por limitações de linguagem, configuração, regras selecionadas ou contexto analisado. A finalidade do exercício é aprender o alcance e os limites da verificação, não declarar o código seguro por ausência de alertas.</w:t>
      </w:r>
    </w:p>
    <w:p>
      <w:pPr>
        <w:pStyle w:val="Heading1"/>
      </w:pPr>
      <w:r>
        <w:t>6. Modelo de descrição para PR</w:t>
      </w:r>
    </w:p>
    <w:p>
      <w:r>
        <w:t>Adapte este roteiro ao padrão da equipe:</w:t>
      </w:r>
    </w:p>
    <w:p>
      <w:pPr>
        <w:pStyle w:val="ListBullet"/>
      </w:pPr>
      <w:r>
        <w:rPr>
          <w:b/>
        </w:rPr>
        <w:t>Objetivo:</w:t>
      </w:r>
      <w:r>
        <w:t xml:space="preserve"> qual necessidade esta mudança atende?</w:t>
      </w:r>
    </w:p>
    <w:p>
      <w:pPr>
        <w:pStyle w:val="ListBullet"/>
      </w:pPr>
      <w:r>
        <w:rPr>
          <w:b/>
        </w:rPr>
        <w:t>Alterações:</w:t>
      </w:r>
      <w:r>
        <w:t xml:space="preserve"> o que foi modificado?</w:t>
      </w:r>
    </w:p>
    <w:p>
      <w:pPr>
        <w:pStyle w:val="ListBullet"/>
      </w:pPr>
      <w:r>
        <w:rPr>
          <w:b/>
        </w:rPr>
        <w:t>Verificação:</w:t>
      </w:r>
      <w:r>
        <w:t xml:space="preserve"> quais testes ou checks foram executados?</w:t>
      </w:r>
    </w:p>
    <w:p>
      <w:pPr>
        <w:pStyle w:val="ListBullet"/>
      </w:pPr>
      <w:r>
        <w:rPr>
          <w:b/>
        </w:rPr>
        <w:t>Segurança:</w:t>
      </w:r>
      <w:r>
        <w:t xml:space="preserve"> há alertas, dados sensíveis ou riscos que o revisor deve avaliar?</w:t>
      </w:r>
    </w:p>
    <w:p>
      <w:pPr>
        <w:pStyle w:val="ListBullet"/>
      </w:pPr>
      <w:r>
        <w:rPr>
          <w:b/>
        </w:rPr>
        <w:t>Revisão:</w:t>
      </w:r>
      <w:r>
        <w:t xml:space="preserve"> há algum ponto específico que precisa de atenção?</w:t>
      </w:r>
    </w:p>
    <w:p>
      <w:r>
        <w:t>Não inclua tokens, senhas, dados pessoais ou segredos nos exemplos, na descrição ou nos comentários do PR.</w:t>
      </w:r>
    </w:p>
    <w:p>
      <w:pPr>
        <w:pStyle w:val="Heading1"/>
      </w:pPr>
      <w:r>
        <w:t>7. Checklist rápido</w:t>
      </w:r>
    </w:p>
    <w:p>
      <w:pPr>
        <w:pStyle w:val="Heading2"/>
      </w:pPr>
      <w:r>
        <w:t>Para quem abre o PR</w:t>
      </w:r>
    </w:p>
    <w:p>
      <w:pPr>
        <w:pStyle w:val="ListBullet"/>
      </w:pPr>
      <w:r>
        <w:t>[ ] O título e a descrição explicam a mudança.</w:t>
      </w:r>
    </w:p>
    <w:p>
      <w:pPr>
        <w:pStyle w:val="ListBullet"/>
      </w:pPr>
      <w:r>
        <w:t>[ ] O diff contém somente o escopo esperado.</w:t>
      </w:r>
    </w:p>
    <w:p>
      <w:pPr>
        <w:pStyle w:val="ListBullet"/>
      </w:pPr>
      <w:r>
        <w:t>[ ] Os checks terminaram e as falhas foram investigadas.</w:t>
      </w:r>
    </w:p>
    <w:p>
      <w:pPr>
        <w:pStyle w:val="ListBullet"/>
      </w:pPr>
      <w:r>
        <w:t>[ ] Alertas de segurança foram tratados ou encaminhados com justificativa.</w:t>
      </w:r>
    </w:p>
    <w:p>
      <w:pPr>
        <w:pStyle w:val="ListBullet"/>
      </w:pPr>
      <w:r>
        <w:t>[ ] Nenhuma credencial real foi incluída.</w:t>
      </w:r>
    </w:p>
    <w:p>
      <w:pPr>
        <w:pStyle w:val="ListBullet"/>
      </w:pPr>
      <w:r>
        <w:t>[ ] As revisões e aprovações necessárias foram solicitadas.</w:t>
      </w:r>
    </w:p>
    <w:p>
      <w:pPr>
        <w:pStyle w:val="Heading2"/>
      </w:pPr>
      <w:r>
        <w:t>Para quem revisa</w:t>
      </w:r>
    </w:p>
    <w:p>
      <w:pPr>
        <w:pStyle w:val="ListBullet"/>
      </w:pPr>
      <w:r>
        <w:t>[ ] O diff corresponde ao objetivo informado.</w:t>
      </w:r>
    </w:p>
    <w:p>
      <w:pPr>
        <w:pStyle w:val="ListBullet"/>
      </w:pPr>
      <w:r>
        <w:t>[ ] Os checks importantes foram executados e seus resultados foram entendidos.</w:t>
      </w:r>
    </w:p>
    <w:p>
      <w:pPr>
        <w:pStyle w:val="ListBullet"/>
      </w:pPr>
      <w:r>
        <w:t>[ ] Alterações de dependências foram avaliadas quanto a segurança e compatibilidade.</w:t>
      </w:r>
    </w:p>
    <w:p>
      <w:pPr>
        <w:pStyle w:val="ListBullet"/>
      </w:pPr>
      <w:r>
        <w:t>[ ] Alertas e possíveis segredos foram tratados conforme a política da equipe.</w:t>
      </w:r>
    </w:p>
    <w:p>
      <w:pPr>
        <w:pStyle w:val="ListBullet"/>
      </w:pPr>
      <w:r>
        <w:t>[ ] A aprovação considera o código e as regras do repositório; status verde isolado não substitui revisão.</w:t>
      </w:r>
    </w:p>
    <w:p>
      <w:pPr>
        <w:pStyle w:val="Heading1"/>
      </w:pPr>
      <w:r>
        <w:t>8. Referências oficiais</w:t>
      </w:r>
    </w:p>
    <w:p>
      <w:pPr>
        <w:pStyle w:val="ListBullet"/>
      </w:pPr>
      <w:r>
        <w:t>GitHub Actions: entender workflows — https://docs.github.com/en/actions/about-github-actions/understanding-github-actions</w:t>
      </w:r>
    </w:p>
    <w:p>
      <w:pPr>
        <w:pStyle w:val="ListBullet"/>
      </w:pPr>
      <w:r>
        <w:t>Code Scanning: alertas e resultados em Pull Requests — https://docs.github.com/en/code-security/concepts/code-scanning/code-scanning-alerts</w:t>
      </w:r>
    </w:p>
    <w:p>
      <w:pPr>
        <w:pStyle w:val="ListBullet"/>
      </w:pPr>
      <w:r>
        <w:t>Checks de status e regras de branch — https://docs.github.com/en/pull-requests/reference/status-checks</w:t>
      </w:r>
    </w:p>
    <w:p>
      <w:pPr>
        <w:pStyle w:val="ListBullet"/>
      </w:pPr>
      <w:r>
        <w:t>Quem pode dispensar alertas de Code Scanning — https://docs.github.com/en/code-security/how-tos/manage-security-alerts/manage-code-scanning-alerts/triage-alerts-in-pull-requests</w:t>
      </w:r>
    </w:p>
    <w:p>
      <w:pPr>
        <w:pStyle w:val="ListBullet"/>
      </w:pPr>
      <w:r>
        <w:t>Concorrência de workflows e jobs — https://docs.github.com/en/actions/concepts/workflows-and-actions/concurrency</w:t>
      </w:r>
    </w:p>
    <w:p>
      <w:pPr>
        <w:pStyle w:val="ListBullet"/>
      </w:pPr>
      <w:r>
        <w:t>Limites do GitHub Actions — https://docs.github.com/en/actions/reference/limits</w:t>
      </w:r>
    </w:p>
    <w:p>
      <w:pPr>
        <w:pStyle w:val="ListBullet"/>
      </w:pPr>
      <w:r>
        <w:t>Revisar PRs do Dependabot — https://docs.github.com/en/code-security/how-tos/secure-your-supply-chain/manage-your-dependency-security/manage-dependabot-prs</w:t>
      </w:r>
    </w:p>
    <w:p>
      <w:pPr>
        <w:pStyle w:val="ListBullet"/>
      </w:pPr>
      <w:r>
        <w:t>Secret Scanning e prevenção de vazamentos — https://docs.github.com/en/code-security/how-tos/secure-your-secrets/prevent-future-leaks</w:t>
      </w:r>
    </w:p>
    <w:p>
      <w:pPr>
        <w:pStyle w:val="Heading1"/>
      </w:pPr>
      <w:r>
        <w:t>9. Estudo de caso visual dos PRs</w:t>
      </w:r>
    </w:p>
    <w:p>
      <w:r>
        <w:t>As telas abaixo registram exercícios deste laboratório em 10/10/2026. Elas mostram resultados observados, não uma promessa de que toda configuração de repositório produzirá os mesmos checks. Os números dos PRs são referências do exercício; em outro repositório, siga os mesmos passos sem depender desses números.</w:t>
      </w:r>
    </w:p>
    <w:p>
      <w:pPr>
        <w:pStyle w:val="Heading2"/>
      </w:pPr>
      <w:r>
        <w:t>PR comum sem Code Scanning</w:t>
      </w:r>
    </w:p>
    <w:p>
      <w:r>
        <w:t xml:space="preserve">O </w:t>
      </w:r>
      <w:r>
        <w:t>PR #8 — https://github.com/aeroschmidt/scanner-loja-instrumentos/pull/8</w:t>
      </w:r>
      <w:r>
        <w:t xml:space="preserve"> é a referência de um PR pequeno, sem código vulnerável: alterou apenas documentação. A conversa mostra o objetivo, o estado aberto e a ausência de revisões; o painel de checks mostra o workflow </w:t>
      </w:r>
      <w:r>
        <w:rPr>
          <w:b/>
        </w:rPr>
        <w:t>Build and test</w:t>
      </w:r>
      <w:r>
        <w:t xml:space="preserve"> concluído com sucesso. Em </w:t>
      </w:r>
      <w:r>
        <w:rPr>
          <w:b/>
        </w:rPr>
        <w:t>Files changed</w:t>
      </w:r>
      <w:r>
        <w:t xml:space="preserve">, o único arquivo é </w:t>
      </w:r>
      <w:r>
        <w:rPr>
          <w:rFonts w:ascii="Consolas" w:hAnsi="Consolas"/>
          <w:color w:val="5B2C83"/>
          <w:sz w:val="18"/>
        </w:rPr>
        <w:t>README.md</w:t>
      </w:r>
      <w:r>
        <w:t>.</w:t>
      </w:r>
    </w:p>
    <w:p>
      <w:pPr>
        <w:jc w:val="center"/>
      </w:pPr>
      <w:r>
        <w:drawing>
          <wp:inline xmlns:a="http://schemas.openxmlformats.org/drawingml/2006/main" xmlns:pic="http://schemas.openxmlformats.org/drawingml/2006/picture">
            <wp:extent cx="5806440" cy="3268131"/>
            <wp:docPr id="1" name="Picture 1"/>
            <wp:cNvGraphicFramePr>
              <a:graphicFrameLocks noChangeAspect="1"/>
            </wp:cNvGraphicFramePr>
            <a:graphic>
              <a:graphicData uri="http://schemas.openxmlformats.org/drawingml/2006/picture">
                <pic:pic>
                  <pic:nvPicPr>
                    <pic:cNvPr id="0" name="pr8-overview.jpg"/>
                    <pic:cNvPicPr/>
                  </pic:nvPicPr>
                  <pic:blipFill>
                    <a:blip r:embed="rId11"/>
                    <a:stretch>
                      <a:fillRect/>
                    </a:stretch>
                  </pic:blipFill>
                  <pic:spPr>
                    <a:xfrm>
                      <a:off x="0" y="0"/>
                      <a:ext cx="5806440" cy="3268131"/>
                    </a:xfrm>
                    <a:prstGeom prst="rect"/>
                  </pic:spPr>
                </pic:pic>
              </a:graphicData>
            </a:graphic>
          </wp:inline>
        </w:drawing>
      </w:r>
    </w:p>
    <w:p>
      <w:pPr>
        <w:pStyle w:val="Caption"/>
        <w:jc w:val="center"/>
      </w:pPr>
      <w:r>
        <w:t>PR comum aberto: descrição, estado e revisão pendente</w:t>
      </w:r>
    </w:p>
    <w:p>
      <w:pPr>
        <w:jc w:val="center"/>
      </w:pPr>
      <w:r>
        <w:drawing>
          <wp:inline xmlns:a="http://schemas.openxmlformats.org/drawingml/2006/main" xmlns:pic="http://schemas.openxmlformats.org/drawingml/2006/picture">
            <wp:extent cx="5806440" cy="3268131"/>
            <wp:docPr id="2" name="Picture 2"/>
            <wp:cNvGraphicFramePr>
              <a:graphicFrameLocks noChangeAspect="1"/>
            </wp:cNvGraphicFramePr>
            <a:graphic>
              <a:graphicData uri="http://schemas.openxmlformats.org/drawingml/2006/picture">
                <pic:pic>
                  <pic:nvPicPr>
                    <pic:cNvPr id="0" name="pr8-checks.jpg"/>
                    <pic:cNvPicPr/>
                  </pic:nvPicPr>
                  <pic:blipFill>
                    <a:blip r:embed="rId12"/>
                    <a:stretch>
                      <a:fillRect/>
                    </a:stretch>
                  </pic:blipFill>
                  <pic:spPr>
                    <a:xfrm>
                      <a:off x="0" y="0"/>
                      <a:ext cx="5806440" cy="3268131"/>
                    </a:xfrm>
                    <a:prstGeom prst="rect"/>
                  </pic:spPr>
                </pic:pic>
              </a:graphicData>
            </a:graphic>
          </wp:inline>
        </w:drawing>
      </w:r>
    </w:p>
    <w:p>
      <w:pPr>
        <w:pStyle w:val="Caption"/>
        <w:jc w:val="center"/>
      </w:pPr>
      <w:r>
        <w:t>PR comum: check de Build and test concluído com sucesso</w:t>
      </w:r>
    </w:p>
    <w:p>
      <w:pPr>
        <w:jc w:val="center"/>
      </w:pPr>
      <w:r>
        <w:drawing>
          <wp:inline xmlns:a="http://schemas.openxmlformats.org/drawingml/2006/main" xmlns:pic="http://schemas.openxmlformats.org/drawingml/2006/picture">
            <wp:extent cx="5806440" cy="3268131"/>
            <wp:docPr id="3" name="Picture 3"/>
            <wp:cNvGraphicFramePr>
              <a:graphicFrameLocks noChangeAspect="1"/>
            </wp:cNvGraphicFramePr>
            <a:graphic>
              <a:graphicData uri="http://schemas.openxmlformats.org/drawingml/2006/picture">
                <pic:pic>
                  <pic:nvPicPr>
                    <pic:cNvPr id="0" name="pr8-files.jpg"/>
                    <pic:cNvPicPr/>
                  </pic:nvPicPr>
                  <pic:blipFill>
                    <a:blip r:embed="rId13"/>
                    <a:stretch>
                      <a:fillRect/>
                    </a:stretch>
                  </pic:blipFill>
                  <pic:spPr>
                    <a:xfrm>
                      <a:off x="0" y="0"/>
                      <a:ext cx="5806440" cy="3268131"/>
                    </a:xfrm>
                    <a:prstGeom prst="rect"/>
                  </pic:spPr>
                </pic:pic>
              </a:graphicData>
            </a:graphic>
          </wp:inline>
        </w:drawing>
      </w:r>
    </w:p>
    <w:p>
      <w:pPr>
        <w:pStyle w:val="Caption"/>
        <w:jc w:val="center"/>
      </w:pPr>
      <w:r>
        <w:t>PR comum: o diff altera apenas o README</w:t>
      </w:r>
    </w:p>
    <w:p>
      <w:r>
        <w:t>O resultado verde confirma somente que o workflow configurado passou. Nesse exemplo, não havia Code Scanning executando; portanto, não se deve concluir que o código foi analisado por segurança.</w:t>
      </w:r>
    </w:p>
    <w:p>
      <w:pPr>
        <w:pStyle w:val="Heading2"/>
      </w:pPr>
      <w:r>
        <w:t>PR atual com SQL Injection intencional</w:t>
      </w:r>
    </w:p>
    <w:p>
      <w:r>
        <w:t xml:space="preserve">O </w:t>
      </w:r>
      <w:r>
        <w:t>PR #9 — https://github.com/aeroschmidt/scanner-loja-instrumentos/pull/9</w:t>
      </w:r>
      <w:r>
        <w:t xml:space="preserve"> é um exercício isolado para visualizar uma vulnerabilidade. </w:t>
      </w:r>
      <w:r>
        <w:rPr>
          <w:b/>
        </w:rPr>
        <w:t>Não aprove nem faça merge deste PR:</w:t>
      </w:r>
      <w:r>
        <w:t xml:space="preserve"> a alteração insegura foi mantida de propósito para a demonstração. A página mostra a descrição e o estado atual do PR; a área de checks mostra execuções do workflow Maven, mas não mostra um check do CodeQL. A aba </w:t>
      </w:r>
      <w:r>
        <w:rPr>
          <w:b/>
        </w:rPr>
        <w:t>Files changed</w:t>
      </w:r>
      <w:r>
        <w:t xml:space="preserve"> mostra o diff real.</w:t>
      </w:r>
    </w:p>
    <w:p>
      <w:pPr>
        <w:jc w:val="center"/>
      </w:pPr>
      <w:r>
        <w:drawing>
          <wp:inline xmlns:a="http://schemas.openxmlformats.org/drawingml/2006/main" xmlns:pic="http://schemas.openxmlformats.org/drawingml/2006/picture">
            <wp:extent cx="5806440" cy="3268131"/>
            <wp:docPr id="4" name="Picture 4"/>
            <wp:cNvGraphicFramePr>
              <a:graphicFrameLocks noChangeAspect="1"/>
            </wp:cNvGraphicFramePr>
            <a:graphic>
              <a:graphicData uri="http://schemas.openxmlformats.org/drawingml/2006/picture">
                <pic:pic>
                  <pic:nvPicPr>
                    <pic:cNvPr id="0" name="pr9-overview.jpg"/>
                    <pic:cNvPicPr/>
                  </pic:nvPicPr>
                  <pic:blipFill>
                    <a:blip r:embed="rId14"/>
                    <a:stretch>
                      <a:fillRect/>
                    </a:stretch>
                  </pic:blipFill>
                  <pic:spPr>
                    <a:xfrm>
                      <a:off x="0" y="0"/>
                      <a:ext cx="5806440" cy="3268131"/>
                    </a:xfrm>
                    <a:prstGeom prst="rect"/>
                  </pic:spPr>
                </pic:pic>
              </a:graphicData>
            </a:graphic>
          </wp:inline>
        </w:drawing>
      </w:r>
    </w:p>
    <w:p>
      <w:pPr>
        <w:pStyle w:val="Caption"/>
        <w:jc w:val="center"/>
      </w:pPr>
      <w:r>
        <w:t>PR de laboratório aberto: objetivo, escopo e estado atual</w:t>
      </w:r>
    </w:p>
    <w:p>
      <w:pPr>
        <w:jc w:val="center"/>
      </w:pPr>
      <w:r>
        <w:drawing>
          <wp:inline xmlns:a="http://schemas.openxmlformats.org/drawingml/2006/main" xmlns:pic="http://schemas.openxmlformats.org/drawingml/2006/picture">
            <wp:extent cx="5806440" cy="3268131"/>
            <wp:docPr id="5" name="Picture 5"/>
            <wp:cNvGraphicFramePr>
              <a:graphicFrameLocks noChangeAspect="1"/>
            </wp:cNvGraphicFramePr>
            <a:graphic>
              <a:graphicData uri="http://schemas.openxmlformats.org/drawingml/2006/picture">
                <pic:pic>
                  <pic:nvPicPr>
                    <pic:cNvPr id="0" name="pr9-checks.jpg"/>
                    <pic:cNvPicPr/>
                  </pic:nvPicPr>
                  <pic:blipFill>
                    <a:blip r:embed="rId15"/>
                    <a:stretch>
                      <a:fillRect/>
                    </a:stretch>
                  </pic:blipFill>
                  <pic:spPr>
                    <a:xfrm>
                      <a:off x="0" y="0"/>
                      <a:ext cx="5806440" cy="3268131"/>
                    </a:xfrm>
                    <a:prstGeom prst="rect"/>
                  </pic:spPr>
                </pic:pic>
              </a:graphicData>
            </a:graphic>
          </wp:inline>
        </w:drawing>
      </w:r>
    </w:p>
    <w:p>
      <w:pPr>
        <w:pStyle w:val="Caption"/>
        <w:jc w:val="center"/>
      </w:pPr>
      <w:r>
        <w:t>PR de laboratório: checks de Build and test, sem check de CodeQL</w:t>
      </w:r>
    </w:p>
    <w:p>
      <w:r>
        <w:t xml:space="preserve">Na aplicação, a busca normal continua usando consulta parametrizada. A demonstração acrescenta uma rota separada em </w:t>
      </w:r>
      <w:r>
        <w:rPr>
          <w:rFonts w:ascii="Consolas" w:hAnsi="Consolas"/>
          <w:color w:val="5B2C83"/>
          <w:sz w:val="18"/>
        </w:rPr>
        <w:t>ProductController.java</w:t>
      </w:r>
      <w:r>
        <w:t xml:space="preserve"> (</w:t>
      </w:r>
      <w:r>
        <w:rPr>
          <w:rFonts w:ascii="Consolas" w:hAnsi="Consolas"/>
          <w:color w:val="5B2C83"/>
          <w:sz w:val="18"/>
        </w:rPr>
        <w:t>/api/products/demo/sql-injection</w:t>
      </w:r>
      <w:r>
        <w:t xml:space="preserve">) que encaminha o parâmetro </w:t>
      </w:r>
      <w:r>
        <w:rPr>
          <w:rFonts w:ascii="Consolas" w:hAnsi="Consolas"/>
          <w:color w:val="5B2C83"/>
          <w:sz w:val="18"/>
        </w:rPr>
        <w:t>name</w:t>
      </w:r>
      <w:r>
        <w:t xml:space="preserve"> ao método de laboratório em </w:t>
      </w:r>
      <w:r>
        <w:rPr>
          <w:rFonts w:ascii="Consolas" w:hAnsi="Consolas"/>
          <w:color w:val="5B2C83"/>
          <w:sz w:val="18"/>
        </w:rPr>
        <w:t>ProductRepository.java</w:t>
      </w:r>
      <w:r>
        <w:t xml:space="preserve">. Esse método monta a instrução SQL concatenando a entrada recebida e a envia a </w:t>
      </w:r>
      <w:r>
        <w:rPr>
          <w:rFonts w:ascii="Consolas" w:hAnsi="Consolas"/>
          <w:color w:val="5B2C83"/>
          <w:sz w:val="18"/>
        </w:rPr>
        <w:t>jdbcTemplate.query</w:t>
      </w:r>
      <w:r>
        <w:t>. A rota e a concatenação são as partes deliberadamente inseguras.</w:t>
      </w:r>
    </w:p>
    <w:p>
      <w:pPr>
        <w:jc w:val="center"/>
      </w:pPr>
      <w:r>
        <w:drawing>
          <wp:inline xmlns:a="http://schemas.openxmlformats.org/drawingml/2006/main" xmlns:pic="http://schemas.openxmlformats.org/drawingml/2006/picture">
            <wp:extent cx="5806440" cy="3268131"/>
            <wp:docPr id="6" name="Picture 6"/>
            <wp:cNvGraphicFramePr>
              <a:graphicFrameLocks noChangeAspect="1"/>
            </wp:cNvGraphicFramePr>
            <a:graphic>
              <a:graphicData uri="http://schemas.openxmlformats.org/drawingml/2006/picture">
                <pic:pic>
                  <pic:nvPicPr>
                    <pic:cNvPr id="0" name="pr9-controller.jpg"/>
                    <pic:cNvPicPr/>
                  </pic:nvPicPr>
                  <pic:blipFill>
                    <a:blip r:embed="rId16"/>
                    <a:stretch>
                      <a:fillRect/>
                    </a:stretch>
                  </pic:blipFill>
                  <pic:spPr>
                    <a:xfrm>
                      <a:off x="0" y="0"/>
                      <a:ext cx="5806440" cy="3268131"/>
                    </a:xfrm>
                    <a:prstGeom prst="rect"/>
                  </pic:spPr>
                </pic:pic>
              </a:graphicData>
            </a:graphic>
          </wp:inline>
        </w:drawing>
      </w:r>
    </w:p>
    <w:p>
      <w:pPr>
        <w:pStyle w:val="Caption"/>
        <w:jc w:val="center"/>
      </w:pPr>
      <w:r>
        <w:t>Diff do controller: rota de demonstração direciona a chamada ao método vulnerável</w:t>
      </w:r>
    </w:p>
    <w:p>
      <w:pPr>
        <w:jc w:val="center"/>
      </w:pPr>
      <w:r>
        <w:drawing>
          <wp:inline xmlns:a="http://schemas.openxmlformats.org/drawingml/2006/main" xmlns:pic="http://schemas.openxmlformats.org/drawingml/2006/picture">
            <wp:extent cx="5806440" cy="3268131"/>
            <wp:docPr id="7" name="Picture 7"/>
            <wp:cNvGraphicFramePr>
              <a:graphicFrameLocks noChangeAspect="1"/>
            </wp:cNvGraphicFramePr>
            <a:graphic>
              <a:graphicData uri="http://schemas.openxmlformats.org/drawingml/2006/picture">
                <pic:pic>
                  <pic:nvPicPr>
                    <pic:cNvPr id="0" name="pr9-files.jpg"/>
                    <pic:cNvPicPr/>
                  </pic:nvPicPr>
                  <pic:blipFill>
                    <a:blip r:embed="rId17"/>
                    <a:stretch>
                      <a:fillRect/>
                    </a:stretch>
                  </pic:blipFill>
                  <pic:spPr>
                    <a:xfrm>
                      <a:off x="0" y="0"/>
                      <a:ext cx="5806440" cy="3268131"/>
                    </a:xfrm>
                    <a:prstGeom prst="rect"/>
                  </pic:spPr>
                </pic:pic>
              </a:graphicData>
            </a:graphic>
          </wp:inline>
        </w:drawing>
      </w:r>
    </w:p>
    <w:p>
      <w:pPr>
        <w:pStyle w:val="Caption"/>
        <w:jc w:val="center"/>
      </w:pPr>
      <w:r>
        <w:t>Diff do repositório: a consulta SQL concatena diretamente o parâmetro recebido</w:t>
      </w:r>
    </w:p>
    <w:p>
      <w:r>
        <w:rPr>
          <w:b/>
        </w:rPr>
        <w:t>O que funciona e o que não foi verificado neste PR:</w:t>
      </w:r>
      <w:r>
        <w:t xml:space="preserve"> o build Maven pode compilar a aplicação e os testes existentes podem passar mesmo com esse caminho inseguro, pois sucesso de build não é análise estática de segurança. Na execução atual do PR #9, o GitHub Actions passou; como o Code Scanning está desligado, nenhum alerta do CodeQL era esperado. O cartão “Ready to merge” também não certifica segurança: indica apenas o estado das regras e checks configurados no repositório naquele momento.</w:t>
      </w:r>
    </w:p>
    <w:p>
      <w:pPr>
        <w:pStyle w:val="Heading2"/>
      </w:pPr>
      <w:r>
        <w:t>PR #10: mesma referência segura, Code Scanning ativo</w:t>
      </w:r>
    </w:p>
    <w:p>
      <w:r>
        <w:t xml:space="preserve">O </w:t>
      </w:r>
      <w:r>
        <w:t>PR #10 — https://github.com/aeroschmidt/scanner-loja-instrumentos/pull/10</w:t>
      </w:r>
      <w:r>
        <w:t xml:space="preserve"> foi criado a partir do commit </w:t>
      </w:r>
      <w:r>
        <w:rPr>
          <w:rFonts w:ascii="Consolas" w:hAnsi="Consolas"/>
          <w:color w:val="5B2C83"/>
          <w:sz w:val="18"/>
        </w:rPr>
        <w:t>1b3ed47</w:t>
      </w:r>
      <w:r>
        <w:t xml:space="preserve"> usado como referência no PR #8. O PR #8 continua inalterado. O PR #10 acrescenta a rota de demonstração e a consulta SQL insegura ao código Java.</w:t>
      </w:r>
    </w:p>
    <w:p>
      <w:pPr>
        <w:jc w:val="center"/>
      </w:pPr>
      <w:r>
        <w:drawing>
          <wp:inline xmlns:a="http://schemas.openxmlformats.org/drawingml/2006/main" xmlns:pic="http://schemas.openxmlformats.org/drawingml/2006/picture">
            <wp:extent cx="5806440" cy="3268131"/>
            <wp:docPr id="8" name="Picture 8"/>
            <wp:cNvGraphicFramePr>
              <a:graphicFrameLocks noChangeAspect="1"/>
            </wp:cNvGraphicFramePr>
            <a:graphic>
              <a:graphicData uri="http://schemas.openxmlformats.org/drawingml/2006/picture">
                <pic:pic>
                  <pic:nvPicPr>
                    <pic:cNvPr id="0" name="pr10-overview.jpg"/>
                    <pic:cNvPicPr/>
                  </pic:nvPicPr>
                  <pic:blipFill>
                    <a:blip r:embed="rId18"/>
                    <a:stretch>
                      <a:fillRect/>
                    </a:stretch>
                  </pic:blipFill>
                  <pic:spPr>
                    <a:xfrm>
                      <a:off x="0" y="0"/>
                      <a:ext cx="5806440" cy="3268131"/>
                    </a:xfrm>
                    <a:prstGeom prst="rect"/>
                  </pic:spPr>
                </pic:pic>
              </a:graphicData>
            </a:graphic>
          </wp:inline>
        </w:drawing>
      </w:r>
    </w:p>
    <w:p>
      <w:pPr>
        <w:pStyle w:val="Caption"/>
        <w:jc w:val="center"/>
      </w:pPr>
      <w:r>
        <w:t>PR #10 aberto, com a referência ao commit do PR #8 e revisão pendente</w:t>
      </w:r>
    </w:p>
    <w:p>
      <w:pPr>
        <w:jc w:val="center"/>
      </w:pPr>
      <w:r>
        <w:drawing>
          <wp:inline xmlns:a="http://schemas.openxmlformats.org/drawingml/2006/main" xmlns:pic="http://schemas.openxmlformats.org/drawingml/2006/picture">
            <wp:extent cx="5806440" cy="4157625"/>
            <wp:docPr id="9" name="Picture 9"/>
            <wp:cNvGraphicFramePr>
              <a:graphicFrameLocks noChangeAspect="1"/>
            </wp:cNvGraphicFramePr>
            <a:graphic>
              <a:graphicData uri="http://schemas.openxmlformats.org/drawingml/2006/picture">
                <pic:pic>
                  <pic:nvPicPr>
                    <pic:cNvPr id="0" name="pr10-checks.jpg"/>
                    <pic:cNvPicPr/>
                  </pic:nvPicPr>
                  <pic:blipFill>
                    <a:blip r:embed="rId19"/>
                    <a:stretch>
                      <a:fillRect/>
                    </a:stretch>
                  </pic:blipFill>
                  <pic:spPr>
                    <a:xfrm>
                      <a:off x="0" y="0"/>
                      <a:ext cx="5806440" cy="4157625"/>
                    </a:xfrm>
                    <a:prstGeom prst="rect"/>
                  </pic:spPr>
                </pic:pic>
              </a:graphicData>
            </a:graphic>
          </wp:inline>
        </w:drawing>
      </w:r>
    </w:p>
    <w:p>
      <w:pPr>
        <w:pStyle w:val="Caption"/>
        <w:jc w:val="center"/>
      </w:pPr>
      <w:r>
        <w:t>PR #10: análises CodeQL e workflow Maven concluídos com sucesso</w:t>
      </w:r>
    </w:p>
    <w:p>
      <w:r>
        <w:t xml:space="preserve">O CodeQL concluiu as análises e registrou </w:t>
      </w:r>
      <w:r>
        <w:rPr>
          <w:b/>
        </w:rPr>
        <w:t>um alerta High</w:t>
      </w:r>
      <w:r>
        <w:t xml:space="preserve">, “Query built from user-controlled sources”, em </w:t>
      </w:r>
      <w:r>
        <w:rPr>
          <w:rFonts w:ascii="Consolas" w:hAnsi="Consolas"/>
          <w:color w:val="5B2C83"/>
          <w:sz w:val="18"/>
        </w:rPr>
        <w:t>ProductRepository.java</w:t>
      </w:r>
      <w:r>
        <w:t xml:space="preserve">, linha 42. Essa é a linha que concatena </w:t>
      </w:r>
      <w:r>
        <w:rPr>
          <w:rFonts w:ascii="Consolas" w:hAnsi="Consolas"/>
          <w:color w:val="5B2C83"/>
          <w:sz w:val="18"/>
        </w:rPr>
        <w:t>name</w:t>
      </w:r>
      <w:r>
        <w:t xml:space="preserve"> na instrução SQL antes de enviá-la a </w:t>
      </w:r>
      <w:r>
        <w:rPr>
          <w:rFonts w:ascii="Consolas" w:hAnsi="Consolas"/>
          <w:color w:val="5B2C83"/>
          <w:sz w:val="18"/>
        </w:rPr>
        <w:t>jdbcTemplate.query</w:t>
      </w:r>
      <w:r>
        <w:t>.</w:t>
      </w:r>
    </w:p>
    <w:p>
      <w:pPr>
        <w:jc w:val="center"/>
      </w:pPr>
      <w:r>
        <w:drawing>
          <wp:inline xmlns:a="http://schemas.openxmlformats.org/drawingml/2006/main" xmlns:pic="http://schemas.openxmlformats.org/drawingml/2006/picture">
            <wp:extent cx="5806440" cy="3268131"/>
            <wp:docPr id="10" name="Picture 10"/>
            <wp:cNvGraphicFramePr>
              <a:graphicFrameLocks noChangeAspect="1"/>
            </wp:cNvGraphicFramePr>
            <a:graphic>
              <a:graphicData uri="http://schemas.openxmlformats.org/drawingml/2006/picture">
                <pic:pic>
                  <pic:nvPicPr>
                    <pic:cNvPr id="0" name="pr10-alert.jpg"/>
                    <pic:cNvPicPr/>
                  </pic:nvPicPr>
                  <pic:blipFill>
                    <a:blip r:embed="rId20"/>
                    <a:stretch>
                      <a:fillRect/>
                    </a:stretch>
                  </pic:blipFill>
                  <pic:spPr>
                    <a:xfrm>
                      <a:off x="0" y="0"/>
                      <a:ext cx="5806440" cy="3268131"/>
                    </a:xfrm>
                    <a:prstGeom prst="rect"/>
                  </pic:spPr>
                </pic:pic>
              </a:graphicData>
            </a:graphic>
          </wp:inline>
        </w:drawing>
      </w:r>
    </w:p>
    <w:p>
      <w:pPr>
        <w:pStyle w:val="Caption"/>
        <w:jc w:val="center"/>
      </w:pPr>
      <w:r>
        <w:t>Code Scanning lista o alerta High no PR #10 e aponta ProductRepository.java:42</w:t>
      </w:r>
    </w:p>
    <w:p>
      <w:pPr>
        <w:jc w:val="center"/>
      </w:pPr>
      <w:r>
        <w:drawing>
          <wp:inline xmlns:a="http://schemas.openxmlformats.org/drawingml/2006/main" xmlns:pic="http://schemas.openxmlformats.org/drawingml/2006/picture">
            <wp:extent cx="5806440" cy="4160986"/>
            <wp:docPr id="11" name="Picture 11"/>
            <wp:cNvGraphicFramePr>
              <a:graphicFrameLocks noChangeAspect="1"/>
            </wp:cNvGraphicFramePr>
            <a:graphic>
              <a:graphicData uri="http://schemas.openxmlformats.org/drawingml/2006/picture">
                <pic:pic>
                  <pic:nvPicPr>
                    <pic:cNvPr id="0" name="pr10-source.jpg"/>
                    <pic:cNvPicPr/>
                  </pic:nvPicPr>
                  <pic:blipFill>
                    <a:blip r:embed="rId21"/>
                    <a:stretch>
                      <a:fillRect/>
                    </a:stretch>
                  </pic:blipFill>
                  <pic:spPr>
                    <a:xfrm>
                      <a:off x="0" y="0"/>
                      <a:ext cx="5806440" cy="4160986"/>
                    </a:xfrm>
                    <a:prstGeom prst="rect"/>
                  </pic:spPr>
                </pic:pic>
              </a:graphicData>
            </a:graphic>
          </wp:inline>
        </w:drawing>
      </w:r>
    </w:p>
    <w:p>
      <w:pPr>
        <w:pStyle w:val="Caption"/>
        <w:jc w:val="center"/>
      </w:pPr>
      <w:r>
        <w:t>Diff do PR #10: entrada concatenada na consulta SQL de demonstração</w:t>
      </w:r>
    </w:p>
    <w:p>
      <w:r>
        <w:t xml:space="preserve">Na execução do commit </w:t>
      </w:r>
      <w:r>
        <w:rPr>
          <w:rFonts w:ascii="Consolas" w:hAnsi="Consolas"/>
          <w:color w:val="5B2C83"/>
          <w:sz w:val="18"/>
        </w:rPr>
        <w:t>d4ad0e1</w:t>
      </w:r>
      <w:r>
        <w:t xml:space="preserve">, os checks do CodeQL e do Maven terminaram verdes, embora o Code Scanning tenha registrado o alerta. O PR também aparecia como apto a merge. Isso demonstra, neste repositório, que o alerta visível não bloqueou o merge por si só; o estado do alerta, o resultado do check e as regras de proteção são sinais separados. </w:t>
      </w:r>
      <w:r>
        <w:rPr>
          <w:b/>
        </w:rPr>
        <w:t>Não aprove nem faça merge do PR #10:</w:t>
      </w:r>
      <w:r>
        <w:t xml:space="preserve"> a vulnerabilidade é intencional e o PR aguarda revisão da mantenedora.</w:t>
      </w:r>
    </w:p>
    <w:p>
      <w:r>
        <w:t>#### Um alerta High ou Critical pode ser dispensado?</w:t>
      </w:r>
    </w:p>
    <w:p>
      <w:r>
        <w:rPr>
          <w:b/>
        </w:rPr>
        <w:t>Não é todo mundo que fez commit:</w:t>
      </w:r>
      <w:r>
        <w:t xml:space="preserve"> no padrão atual, quem tem permissão de escrita no repositório pode dispensar um alerta de Code Scanning, a menos que a organização tenha ativado a aprovação delegada. A severidade High ou Critical, sozinha, não impede essa ação. Na tela atual do PR #10, o alerta é High e a opção aparece; antes de confirmar, o GitHub exige uma razão. Não selecionamos uma razão nem dispensamos o alerta.</w:t>
      </w:r>
    </w:p>
    <w:p>
      <w:r>
        <w:t xml:space="preserve">As razões exibidas para este alerta são </w:t>
      </w:r>
      <w:r>
        <w:rPr>
          <w:b/>
        </w:rPr>
        <w:t>False positive</w:t>
      </w:r>
      <w:r>
        <w:t xml:space="preserve">, </w:t>
      </w:r>
      <w:r>
        <w:rPr>
          <w:b/>
        </w:rPr>
        <w:t>Used in tests</w:t>
      </w:r>
      <w:r>
        <w:t xml:space="preserve">, </w:t>
      </w:r>
      <w:r>
        <w:rPr>
          <w:b/>
        </w:rPr>
        <w:t>Won't fix</w:t>
      </w:r>
      <w:r>
        <w:t xml:space="preserve"> e </w:t>
      </w:r>
      <w:r>
        <w:rPr>
          <w:b/>
        </w:rPr>
        <w:t>Mitigated</w:t>
      </w:r>
      <w:r>
        <w:t xml:space="preserve">. Escolha uma apenas se ela descreve de fato o caso e registre o contexto. “Dismiss” fecha/arquiva o alerta para a análise, registra a razão e o remove da contagem de alertas atuais; não altera o código e não elimina a vulnerabilidade. A documentação do GitHub informa que o descarte vale para todas as branches e que uma nova análise não reabre o mesmo alerta para o mesmo código. </w:t>
      </w:r>
      <w:r>
        <w:rPr>
          <w:b/>
        </w:rPr>
        <w:t>Boa prática: entenda e corrija uma falha real no código, em vez de dispensar o alerta para deixar o check verde ou avançar o PR.</w:t>
      </w:r>
    </w:p>
    <w:p>
      <w:r>
        <w:t>No PR de laboratório, a SQL continua concatenando a entrada recebida. O alerta High deve permanecer aberto até a correção da consulta; a tela de dismiss serve para demonstrar o fluxo, não para aprovar ou aceitar o risco.</w:t>
      </w:r>
    </w:p>
    <w:p>
      <w:pPr>
        <w:jc w:val="center"/>
      </w:pPr>
      <w:r>
        <w:drawing>
          <wp:inline xmlns:a="http://schemas.openxmlformats.org/drawingml/2006/main" xmlns:pic="http://schemas.openxmlformats.org/drawingml/2006/picture">
            <wp:extent cx="5806440" cy="3268131"/>
            <wp:docPr id="12" name="Picture 12"/>
            <wp:cNvGraphicFramePr>
              <a:graphicFrameLocks noChangeAspect="1"/>
            </wp:cNvGraphicFramePr>
            <a:graphic>
              <a:graphicData uri="http://schemas.openxmlformats.org/drawingml/2006/picture">
                <pic:pic>
                  <pic:nvPicPr>
                    <pic:cNvPr id="0" name="pr10-alert-list.jpg"/>
                    <pic:cNvPicPr/>
                  </pic:nvPicPr>
                  <pic:blipFill>
                    <a:blip r:embed="rId22"/>
                    <a:stretch>
                      <a:fillRect/>
                    </a:stretch>
                  </pic:blipFill>
                  <pic:spPr>
                    <a:xfrm>
                      <a:off x="0" y="0"/>
                      <a:ext cx="5806440" cy="3268131"/>
                    </a:xfrm>
                    <a:prstGeom prst="rect"/>
                  </pic:spPr>
                </pic:pic>
              </a:graphicData>
            </a:graphic>
          </wp:inline>
        </w:drawing>
      </w:r>
    </w:p>
    <w:p>
      <w:pPr>
        <w:pStyle w:val="Caption"/>
        <w:jc w:val="center"/>
      </w:pPr>
      <w:r>
        <w:t>Lista de Code Scanning: um alerta aberto associado à branch do PR #10</w:t>
      </w:r>
    </w:p>
    <w:p>
      <w:pPr>
        <w:jc w:val="center"/>
      </w:pPr>
      <w:r>
        <w:drawing>
          <wp:inline xmlns:a="http://schemas.openxmlformats.org/drawingml/2006/main" xmlns:pic="http://schemas.openxmlformats.org/drawingml/2006/picture">
            <wp:extent cx="5806440" cy="3266991"/>
            <wp:docPr id="13" name="Picture 13"/>
            <wp:cNvGraphicFramePr>
              <a:graphicFrameLocks noChangeAspect="1"/>
            </wp:cNvGraphicFramePr>
            <a:graphic>
              <a:graphicData uri="http://schemas.openxmlformats.org/drawingml/2006/picture">
                <pic:pic>
                  <pic:nvPicPr>
                    <pic:cNvPr id="0" name="pr10-alert-detail-final.jpg"/>
                    <pic:cNvPicPr/>
                  </pic:nvPicPr>
                  <pic:blipFill>
                    <a:blip r:embed="rId23"/>
                    <a:stretch>
                      <a:fillRect/>
                    </a:stretch>
                  </pic:blipFill>
                  <pic:spPr>
                    <a:xfrm>
                      <a:off x="0" y="0"/>
                      <a:ext cx="5806440" cy="3266991"/>
                    </a:xfrm>
                    <a:prstGeom prst="rect"/>
                  </pic:spPr>
                </pic:pic>
              </a:graphicData>
            </a:graphic>
          </wp:inline>
        </w:drawing>
      </w:r>
    </w:p>
    <w:p>
      <w:pPr>
        <w:pStyle w:val="Caption"/>
        <w:jc w:val="center"/>
      </w:pPr>
      <w:r>
        <w:t>PR #10: alerta High localizado em ProductRepository.java:42</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pr10-dismiss-reasons.jpg"/>
                    <pic:cNvPicPr/>
                  </pic:nvPicPr>
                  <pic:blipFill>
                    <a:blip r:embed="rId24"/>
                    <a:stretch>
                      <a:fillRect/>
                    </a:stretch>
                  </pic:blipFill>
                  <pic:spPr>
                    <a:xfrm>
                      <a:off x="0" y="0"/>
                      <a:ext cx="5806440" cy="3266122"/>
                    </a:xfrm>
                    <a:prstGeom prst="rect"/>
                  </pic:spPr>
                </pic:pic>
              </a:graphicData>
            </a:graphic>
          </wp:inline>
        </w:drawing>
      </w:r>
    </w:p>
    <w:p>
      <w:pPr>
        <w:pStyle w:val="Caption"/>
        <w:jc w:val="center"/>
      </w:pPr>
      <w:r>
        <w:t>Formulário de dismiss: quatro razões disponíveis; nenhuma foi selecionada ou enviada</w:t>
      </w:r>
    </w:p>
    <w:p>
      <w:pPr>
        <w:jc w:val="center"/>
      </w:pPr>
      <w:r>
        <w:drawing>
          <wp:inline xmlns:a="http://schemas.openxmlformats.org/drawingml/2006/main" xmlns:pic="http://schemas.openxmlformats.org/drawingml/2006/picture">
            <wp:extent cx="5806440" cy="4160986"/>
            <wp:docPr id="15" name="Picture 15"/>
            <wp:cNvGraphicFramePr>
              <a:graphicFrameLocks noChangeAspect="1"/>
            </wp:cNvGraphicFramePr>
            <a:graphic>
              <a:graphicData uri="http://schemas.openxmlformats.org/drawingml/2006/picture">
                <pic:pic>
                  <pic:nvPicPr>
                    <pic:cNvPr id="0" name="pr10-checks-final.jpg"/>
                    <pic:cNvPicPr/>
                  </pic:nvPicPr>
                  <pic:blipFill>
                    <a:blip r:embed="rId25"/>
                    <a:stretch>
                      <a:fillRect/>
                    </a:stretch>
                  </pic:blipFill>
                  <pic:spPr>
                    <a:xfrm>
                      <a:off x="0" y="0"/>
                      <a:ext cx="5806440" cy="4160986"/>
                    </a:xfrm>
                    <a:prstGeom prst="rect"/>
                  </pic:spPr>
                </pic:pic>
              </a:graphicData>
            </a:graphic>
          </wp:inline>
        </w:drawing>
      </w:r>
    </w:p>
    <w:p>
      <w:pPr>
        <w:pStyle w:val="Caption"/>
        <w:jc w:val="center"/>
      </w:pPr>
      <w:r>
        <w:t>PR #10: CodeQL e Maven concluídos com sucesso na execução do commit d4ad0e1, antes desta atualização documental</w:t>
      </w:r>
    </w:p>
    <w:p>
      <w:r>
        <w:t xml:space="preserve">O botão de dismiss é diferente de um bloqueio de merge. Se a equipe quiser restringir quem pode dispensar alertas, a mantenedora pode habilitar </w:t>
      </w:r>
      <w:r>
        <w:rPr>
          <w:b/>
        </w:rPr>
        <w:t>delegated alert dismissal</w:t>
      </w:r>
      <w:r>
        <w:t>. Nesse modelo, pessoas com acesso de escrita solicitam o descarte; proprietários da organização e security managers analisam a solicitação. A regra e o check exigido pela branch continuam sendo configurados separadamente.</w:t>
      </w:r>
    </w:p>
    <w:p>
      <w:pPr>
        <w:pStyle w:val="Heading2"/>
      </w:pPr>
      <w:r>
        <w:t>Evidência anterior com Code Scanning ativo</w:t>
      </w:r>
    </w:p>
    <w:p>
      <w:r>
        <w:t xml:space="preserve">Para comparar com o caso atual, o PR histórico </w:t>
      </w:r>
      <w:r>
        <w:t>#7 — https://github.com/aeroschmidt/scanner-loja-instrumentos/pull/7</w:t>
      </w:r>
      <w:r>
        <w:t xml:space="preserve"> contém a captura de uma análise do CodeQL que apontou um alerta </w:t>
      </w:r>
      <w:r>
        <w:rPr>
          <w:b/>
        </w:rPr>
        <w:t>High</w:t>
      </w:r>
      <w:r>
        <w:t xml:space="preserve"> na chamada de </w:t>
      </w:r>
      <w:r>
        <w:rPr>
          <w:rFonts w:ascii="Consolas" w:hAnsi="Consolas"/>
          <w:color w:val="5B2C83"/>
          <w:sz w:val="18"/>
        </w:rPr>
        <w:t>jdbcTemplate.query</w:t>
      </w:r>
      <w:r>
        <w:t>, na linha que envia a consulta concatenada. A origem do dado não confiável aparece na montagem da SQL logo acima. A alteração foi posteriormente corrigida antes de o PR #7 ser integrado; a captura documenta a revisão histórica, não o estado atual da branch principal.</w:t>
      </w:r>
    </w:p>
    <w:p>
      <w:pPr>
        <w:jc w:val="center"/>
      </w:pPr>
      <w:r>
        <w:drawing>
          <wp:inline xmlns:a="http://schemas.openxmlformats.org/drawingml/2006/main" xmlns:pic="http://schemas.openxmlformats.org/drawingml/2006/picture">
            <wp:extent cx="5806440" cy="3268131"/>
            <wp:docPr id="16" name="Picture 16"/>
            <wp:cNvGraphicFramePr>
              <a:graphicFrameLocks noChangeAspect="1"/>
            </wp:cNvGraphicFramePr>
            <a:graphic>
              <a:graphicData uri="http://schemas.openxmlformats.org/drawingml/2006/picture">
                <pic:pic>
                  <pic:nvPicPr>
                    <pic:cNvPr id="0" name="pr7-code-scanning.jpg"/>
                    <pic:cNvPicPr/>
                  </pic:nvPicPr>
                  <pic:blipFill>
                    <a:blip r:embed="rId26"/>
                    <a:stretch>
                      <a:fillRect/>
                    </a:stretch>
                  </pic:blipFill>
                  <pic:spPr>
                    <a:xfrm>
                      <a:off x="0" y="0"/>
                      <a:ext cx="5806440" cy="3268131"/>
                    </a:xfrm>
                    <a:prstGeom prst="rect"/>
                  </pic:spPr>
                </pic:pic>
              </a:graphicData>
            </a:graphic>
          </wp:inline>
        </w:drawing>
      </w:r>
    </w:p>
    <w:p>
      <w:pPr>
        <w:pStyle w:val="Caption"/>
        <w:jc w:val="center"/>
      </w:pPr>
      <w:r>
        <w:t>PR histórico: alerta High do CodeQL anotado na chamada jdbcTemplate.query</w:t>
      </w:r>
    </w:p>
    <w:p>
      <w:r>
        <w:t xml:space="preserve">Na execução associada à versão vulnerável, o job Maven também falhou na etapa de testes. O log mostra </w:t>
      </w:r>
      <w:r>
        <w:rPr>
          <w:rFonts w:ascii="Consolas" w:hAnsi="Consolas"/>
          <w:color w:val="5B2C83"/>
          <w:sz w:val="18"/>
        </w:rPr>
        <w:t>BUILD FAILURE</w:t>
      </w:r>
      <w:r>
        <w:t xml:space="preserve"> e falha do objetivo </w:t>
      </w:r>
      <w:r>
        <w:rPr>
          <w:rFonts w:ascii="Consolas" w:hAnsi="Consolas"/>
          <w:color w:val="5B2C83"/>
          <w:sz w:val="18"/>
        </w:rPr>
        <w:t>maven-surefire-plugin:test</w:t>
      </w:r>
      <w:r>
        <w:t>. Esse resultado veio dos testes da aplicação; é diferente do alerta estático do CodeQL. Uma vulnerabilidade não precisa fazer o build falhar: neste exercício, a falha Maven e o alerta CodeQL foram sinais independentes.</w:t>
      </w:r>
    </w:p>
    <w:p>
      <w:pPr>
        <w:jc w:val="center"/>
      </w:pPr>
      <w:r>
        <w:drawing>
          <wp:inline xmlns:a="http://schemas.openxmlformats.org/drawingml/2006/main" xmlns:pic="http://schemas.openxmlformats.org/drawingml/2006/picture">
            <wp:extent cx="5806440" cy="3268131"/>
            <wp:docPr id="17" name="Picture 17"/>
            <wp:cNvGraphicFramePr>
              <a:graphicFrameLocks noChangeAspect="1"/>
            </wp:cNvGraphicFramePr>
            <a:graphic>
              <a:graphicData uri="http://schemas.openxmlformats.org/drawingml/2006/picture">
                <pic:pic>
                  <pic:nvPicPr>
                    <pic:cNvPr id="0" name="pr7-checks.jpg"/>
                    <pic:cNvPicPr/>
                  </pic:nvPicPr>
                  <pic:blipFill>
                    <a:blip r:embed="rId27"/>
                    <a:stretch>
                      <a:fillRect/>
                    </a:stretch>
                  </pic:blipFill>
                  <pic:spPr>
                    <a:xfrm>
                      <a:off x="0" y="0"/>
                      <a:ext cx="5806440" cy="3268131"/>
                    </a:xfrm>
                    <a:prstGeom prst="rect"/>
                  </pic:spPr>
                </pic:pic>
              </a:graphicData>
            </a:graphic>
          </wp:inline>
        </w:drawing>
      </w:r>
    </w:p>
    <w:p>
      <w:pPr>
        <w:pStyle w:val="Caption"/>
        <w:jc w:val="center"/>
      </w:pPr>
      <w:r>
        <w:t>Execução histórica: o job Maven falhou na etapa de testes</w:t>
      </w:r>
    </w:p>
    <w:p>
      <w:r>
        <w:t>O CodeQL pode apontar arquivo, localização e regra quando a análise executada reconhece o fluxo vulnerável. Isso, por si só, não torna o alerta um bloqueio de merge. Para impedir integração, a equipe precisa configurar uma regra que exija o check apropriado; além disso, alertas e checks são estados distintos. A decisão final deve seguir a revisão e aprovação humana exigidas pelo repositório.</w:t>
      </w:r>
    </w:p>
    <w:p>
      <w:pPr>
        <w:pStyle w:val="Heading2"/>
      </w:pPr>
      <w:r>
        <w:t>Como interpretar a comparação</w:t>
      </w:r>
    </w:p>
    <w:p>
      <w:pPr>
        <w:pStyle w:val="ListBullet"/>
      </w:pPr>
      <w:r>
        <w:rPr>
          <w:b/>
        </w:rPr>
        <w:t>PR #8, documentação sem Code Scanning:</w:t>
      </w:r>
      <w:r>
        <w:t xml:space="preserve"> o workflow de build/teste ficou verde e o diff foi pequeno. Isso não mostra uma análise de segurança do código.</w:t>
      </w:r>
    </w:p>
    <w:p>
      <w:pPr>
        <w:pStyle w:val="ListBullet"/>
      </w:pPr>
      <w:r>
        <w:rPr>
          <w:b/>
        </w:rPr>
        <w:t>PR #9, SQL Injection com Code Scanning desligado:</w:t>
      </w:r>
      <w:r>
        <w:t xml:space="preserve"> o workflow ficou verde e o diff mostra o caminho inseguro; não há check do CodeQL. Isso não significa que o código está seguro nem que passou por análise estática.</w:t>
      </w:r>
    </w:p>
    <w:p>
      <w:pPr>
        <w:pStyle w:val="ListBullet"/>
      </w:pPr>
      <w:r>
        <w:rPr>
          <w:b/>
        </w:rPr>
        <w:t>PR #7 histórico, CodeQL ativo:</w:t>
      </w:r>
      <w:r>
        <w:t xml:space="preserve"> há um alerta High localizado na chamada SQL e um job Maven que falhou nos testes. Isso não significa que todo alerta falha o build ou bloqueia o merge.</w:t>
      </w:r>
    </w:p>
    <w:p>
      <w:pPr>
        <w:pStyle w:val="Heading2"/>
      </w:pPr>
      <w:r>
        <w:t>O que esperar do CodeQL Advanced setup</w:t>
      </w:r>
    </w:p>
    <w:p>
      <w:r>
        <w:t xml:space="preserve">Um workflow CodeQL pode executar em PRs destinados à branch configurada, em pushes para essa branch e em uma agenda periódica. Na lista de Actions, o usuário verá uma execução separada de </w:t>
      </w:r>
      <w:r>
        <w:rPr>
          <w:b/>
        </w:rPr>
        <w:t>CodeQL Advanced</w:t>
      </w:r>
      <w:r>
        <w:t xml:space="preserve">, com uma análise por linguagem; isso não substitui o workflow de build e testes. O workflow e o check podem concluir com sucesso e ainda assim publicar alertas. Abra o alerta em </w:t>
      </w:r>
      <w:r>
        <w:rPr>
          <w:b/>
        </w:rPr>
        <w:t>Security</w:t>
      </w:r>
      <w:r>
        <w:t xml:space="preserve"> para ver a regra, severidade e localização; resultado verde significa que a análise terminou, não que o código não tem achados.</w:t>
      </w:r>
    </w:p>
    <w:p>
      <w:r>
        <w:t xml:space="preserve">Nesta configuração, o workflow </w:t>
      </w:r>
      <w:r>
        <w:rPr>
          <w:rFonts w:ascii="Consolas" w:hAnsi="Consolas"/>
          <w:color w:val="5B2C83"/>
          <w:sz w:val="18"/>
        </w:rPr>
        <w:t>.github/workflows/codeql.yml</w:t>
      </w:r>
      <w:r>
        <w:t xml:space="preserve"> está na branch padrão e usa PR/push para </w:t>
      </w:r>
      <w:r>
        <w:rPr>
          <w:rFonts w:ascii="Consolas" w:hAnsi="Consolas"/>
          <w:color w:val="5B2C83"/>
          <w:sz w:val="18"/>
        </w:rPr>
        <w:t>main</w:t>
      </w:r>
      <w:r>
        <w:t xml:space="preserve"> mais um agendamento semanal. A execução inicial na </w:t>
      </w:r>
      <w:r>
        <w:rPr>
          <w:rFonts w:ascii="Consolas" w:hAnsi="Consolas"/>
          <w:color w:val="5B2C83"/>
          <w:sz w:val="18"/>
        </w:rPr>
        <w:t>main</w:t>
      </w:r>
      <w:r>
        <w:t xml:space="preserve"> terminou com sucesso: </w:t>
      </w:r>
      <w:r>
        <w:t>CodeQL Advanced #1 — https://github.com/aeroschmidt/scanner-loja-instrumentos/actions/runs/38104871050</w:t>
      </w:r>
      <w:r>
        <w:t xml:space="preserve">. Após uma atualização do PR #10, o run </w:t>
      </w:r>
      <w:r>
        <w:t>CodeQL Advanced #2 — https://github.com/aeroschmidt/scanner-loja-instrumentos/actions/runs/38105212367</w:t>
      </w:r>
      <w:r>
        <w:t xml:space="preserve"> também concluiu seus três jobs. O relatório publicou um alerta novo </w:t>
      </w:r>
      <w:r>
        <w:rPr>
          <w:b/>
        </w:rPr>
        <w:t>High</w:t>
      </w:r>
      <w:r>
        <w:t xml:space="preserve"> para a consulta SQL insegura, apontando </w:t>
      </w:r>
      <w:r>
        <w:rPr>
          <w:rFonts w:ascii="Consolas" w:hAnsi="Consolas"/>
          <w:color w:val="5B2C83"/>
          <w:sz w:val="18"/>
        </w:rPr>
        <w:t>ProductRepository.java:42</w:t>
      </w:r>
      <w:r>
        <w:t xml:space="preserve">; o check agregado </w:t>
      </w:r>
      <w:r>
        <w:rPr>
          <w:b/>
        </w:rPr>
        <w:t>Code scanning results</w:t>
      </w:r>
      <w:r>
        <w:t xml:space="preserve"> falhou porque o limite do repositório está em High ou superior. Veja </w:t>
      </w:r>
      <w:r>
        <w:t>a anotação do check — https://github.com/aeroschmidt/scanner-loja-instrumentos/pull/10/checks?check_run_id=114369258145</w:t>
      </w:r>
      <w:r>
        <w:t>. O check vermelho, por si só, não impediu merge: a página ainda dizia que o PR podia ser mesclado. O PR #10 contém SQL Injection intencional e aguarda a decisão da mantenedora. A aprovação e o merge continuam humanos.</w:t>
      </w:r>
    </w:p>
    <w:p>
      <w:r>
        <w:t>Os screenshots preservam o contexto de cada tela. Ao registrar uma nova ferramenta ou alteração de configuração, capture também o estado anterior, o diff, os checks e a localização do alerta ou falha; identifique se a imagem é atual ou histórica e não exponha credenciais ou dados reais.</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Orientações para criar e revisar Pull Requests no GitHub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USUÁRIO  |  PULL REQUESTS E VERIFICAÇÕES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0C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usuário para Pull Requests e verificações de segurança</dc:title>
  <dc:subject>Orientação para autoria e revisão de pull requests</dc:subject>
  <dc:creator>Documentação operacional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