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de PRs para usuários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Atualizado:</w:t>
      </w:r>
      <w:r>
        <w:t xml:space="preserve"> 10 de outubro de 2026</w:t>
      </w:r>
    </w:p>
    <w:p>
      <w:r>
        <w:t xml:space="preserve">Este guia é para quem abre, revisa ou acompanha Pull Requests. Ele mostra o que o GitHub Actions verifica hoje, o que procurar quando Code Scanning estiver ativo e como interpretar a demonstração do PR #9. Configurações administrativas ficam no </w:t>
      </w:r>
      <w:r>
        <w:t>guia da mantenedora — guia-maintainer-ghas.md</w:t>
      </w:r>
      <w:r>
        <w:t>.</w:t>
      </w:r>
    </w:p>
    <w:p>
      <w:r>
        <w:rPr>
          <w:b/>
        </w:rPr>
        <w:t>Estado deste exercício:</w:t>
      </w:r>
      <w:r>
        <w:t xml:space="preserve"> GitHub Actions está ativo. CodeQL / Code Scanning, Dependabot e Secret Scanning estão desligados; por isso, a demonstração não recebeu análise CodeQL.</w:t>
      </w:r>
    </w:p>
    <w:p>
      <w:pPr>
        <w:pStyle w:val="Heading1"/>
      </w:pPr>
      <w:r>
        <w:t>1. Fluxos de Pull Request</w:t>
      </w:r>
    </w:p>
    <w:p>
      <w:pPr>
        <w:pStyle w:val="Heading2"/>
      </w:pPr>
      <w:r>
        <w:t>PR comum com GitHub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2. Exemplo prático: PR #9</w:t>
      </w:r>
    </w:p>
    <w:p>
      <w:r>
        <w:rPr>
          <w:b/>
        </w:rPr>
        <w:t>PR:</w:t>
      </w:r>
      <w:r>
        <w:t xml:space="preserve"> </w:t>
      </w:r>
      <w:r>
        <w:t>Demonstração controlada de SQL Injection — https://github.com/aeroschmidt/scanner-loja-instrumentos/pull/9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5B2C83"/>
          <w:sz w:val="18"/>
        </w:rPr>
        <w:t>demo/vulnerabilidade-sql-sem-code-scanning</w:t>
      </w:r>
    </w:p>
    <w:p>
      <w:r>
        <w:rPr>
          <w:b/>
        </w:rPr>
        <w:t>Commit:</w:t>
      </w:r>
      <w:r>
        <w:t xml:space="preserve"> </w:t>
      </w:r>
      <w:r>
        <w:rPr>
          <w:rFonts w:ascii="Consolas" w:hAnsi="Consolas"/>
          <w:color w:val="5B2C83"/>
          <w:sz w:val="18"/>
        </w:rPr>
        <w:t>32da6b1</w:t>
      </w:r>
      <w:r>
        <w:t xml:space="preserve"> — mensagem assinada e verificada pelo GitHub.</w:t>
      </w:r>
    </w:p>
    <w:p>
      <w:r>
        <w:t xml:space="preserve">Este PR foi criado para comparar a compilação do Actions com a análise de segurança do CodeQL. Ele adiciona uma rota isolada de demonstração que monta uma consulta SQL concatenando a entrada </w:t>
      </w:r>
      <w:r>
        <w:rPr>
          <w:rFonts w:ascii="Consolas" w:hAnsi="Consolas"/>
          <w:color w:val="5B2C83"/>
          <w:sz w:val="18"/>
        </w:rPr>
        <w:t>name</w:t>
      </w:r>
      <w:r>
        <w:t>. A rota comum de busca continua usando consulta parametrizada. O código vulnerável existe apenas para o exercício e não deve ser mesclado nem usado em produção.</w:t>
      </w:r>
    </w:p>
    <w:p>
      <w:pPr>
        <w:pStyle w:val="Heading2"/>
      </w:pPr>
      <w:r>
        <w:t>Resultado observado</w:t>
      </w:r>
    </w:p>
    <w:p>
      <w:pPr>
        <w:pStyle w:val="ListBullet"/>
      </w:pPr>
      <w:r>
        <w:t xml:space="preserve">O workflow </w:t>
      </w:r>
      <w:r>
        <w:rPr>
          <w:b/>
        </w:rPr>
        <w:t>Build and test with Maven</w:t>
      </w:r>
      <w:r>
        <w:t xml:space="preserve"> concluiu com sucesso no PR. Isso confirma que o projeto compilou e que os testes executados por Maven passaram; não confirma que o código é seguro.</w:t>
      </w:r>
    </w:p>
    <w:p>
      <w:pPr>
        <w:pStyle w:val="ListBullet"/>
      </w:pPr>
      <w:r>
        <w:t>O CodeQL / Code Scanning permaneceu desligado, conforme solicitado. Por isso, o GitHub não executou a análise CodeQL e não mostrou alerta de vulnerabilidade nesse PR.</w:t>
      </w:r>
    </w:p>
    <w:p>
      <w:pPr>
        <w:pStyle w:val="ListBullet"/>
      </w:pPr>
      <w:r>
        <w:t>A ausência do alerta é esperada porque o analisador estava desligado. Não é evidência de que o código vulnerável tenha passado por uma análise estática.</w:t>
      </w:r>
    </w:p>
    <w:p>
      <w:pPr>
        <w:pStyle w:val="ListBullet"/>
      </w:pPr>
      <w:r>
        <w:t>Não há reviewer atribuído: a revisão está pendente da mantenedora. Dependabot não é revisor humano; quando habilitado, pode abrir PRs de dependências, que ainda precisam de revisão.</w:t>
      </w:r>
    </w:p>
    <w:p>
      <w:pPr>
        <w:pStyle w:val="ListBullet"/>
      </w:pPr>
      <w:r>
        <w:t>A mantenedora decide se aprova e mescla. O assistente não aprova nem mescla PRs.</w:t>
      </w:r>
    </w:p>
    <w:p>
      <w:r>
        <w:rPr>
          <w:b/>
        </w:rPr>
        <w:t>Evidências no GitHub:</w:t>
      </w:r>
      <w:r>
        <w:t xml:space="preserve"> </w:t>
      </w:r>
      <w:r>
        <w:t>conversa e descrição do PR #9 — https://github.com/aeroschmidt/scanner-loja-instrumentos/pull/9</w:t>
      </w:r>
      <w:r>
        <w:t xml:space="preserve">, </w:t>
      </w:r>
      <w:r>
        <w:t>checks do PR #9 — https://github.com/aeroschmidt/scanner-loja-instrumentos/pull/9/checks</w:t>
      </w:r>
      <w:r>
        <w:t xml:space="preserve"> e </w:t>
      </w:r>
      <w:r>
        <w:t>execução do Actions #25 — https://github.com/aeroschmidt/scanner-loja-instrumentos/actions/runs/38097282398</w:t>
      </w:r>
      <w:r>
        <w:t>. A Captura 4 é uma execução anterior do workflow, no PR #7; use os links do PR #9 para ver o resultado desta demonstração.</w:t>
      </w:r>
    </w:p>
    <w:p>
      <w:pPr>
        <w:pStyle w:val="Heading2"/>
      </w:pPr>
      <w:r>
        <w:t>Antes e depois: trecho que Code Scanning deve examinar</w:t>
      </w:r>
    </w:p>
    <w:p>
      <w:r>
        <w:t xml:space="preserve">As duas figuras abaixo são visualizações legíveis dos trechos reais de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comparando </w:t>
      </w:r>
      <w:r>
        <w:rPr>
          <w:rFonts w:ascii="Consolas" w:hAnsi="Consolas"/>
          <w:color w:val="5B2C83"/>
          <w:sz w:val="18"/>
        </w:rPr>
        <w:t>main</w:t>
      </w:r>
      <w:r>
        <w:t xml:space="preserve"> com o código introduzido no PR #9. Elas não são capturas da interface do GitHub. O diff original e as linhas verificáveis estão em </w:t>
      </w:r>
      <w:r>
        <w:t>Files changed no PR #9 — https://github.com/aeroschmidt/scanner-loja-instrumentos/pull/9/files</w:t>
      </w:r>
      <w:r>
        <w:t>.</w:t>
      </w:r>
    </w:p>
    <w:p>
      <w:r>
        <w:rPr>
          <w:b/>
        </w:rPr>
        <w:t>Antes — `main`, linhas 32–36: busca parametrizada.</w:t>
      </w:r>
      <w:r>
        <w:t xml:space="preserve"> O </w:t>
      </w:r>
      <w:r>
        <w:rPr>
          <w:rFonts w:ascii="Consolas" w:hAnsi="Consolas"/>
          <w:color w:val="5B2C83"/>
          <w:sz w:val="18"/>
        </w:rPr>
        <w:t>?</w:t>
      </w:r>
      <w:r>
        <w:t xml:space="preserve"> ocupa o lugar do valor; </w:t>
      </w:r>
      <w:r>
        <w:rPr>
          <w:rFonts w:ascii="Consolas" w:hAnsi="Consolas"/>
          <w:color w:val="5B2C83"/>
          <w:sz w:val="18"/>
        </w:rPr>
        <w:t>name</w:t>
      </w:r>
      <w:r>
        <w:t xml:space="preserve"> é passado separadamente como parâmetro. Isso evita montar SQL com o conteúdo recebido.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1664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ntes-busca-parametriz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6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Visualização do código antes: busca parametrizada na main, ProductRepository.java linhas 32 a 36</w:t>
      </w:r>
    </w:p>
    <w:p>
      <w:r>
        <w:rPr>
          <w:b/>
        </w:rPr>
        <w:t>Depois — PR #9, linhas 39–42: SQL Injection demonstrativa.</w:t>
      </w:r>
      <w:r>
        <w:t xml:space="preserve"> A entrada externa chega pelo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, linha 38.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linha 41, concatena esse valor dentro da instrução SQL; a linha 42 envia a consulta montada para </w:t>
      </w:r>
      <w:r>
        <w:rPr>
          <w:rFonts w:ascii="Consolas" w:hAnsi="Consolas"/>
          <w:color w:val="5B2C83"/>
          <w:sz w:val="18"/>
        </w:rPr>
        <w:t>JdbcTemplate.query</w:t>
      </w:r>
      <w:r>
        <w:t xml:space="preserve">. A rota de demonstração é 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 (linhas 37–40 do controller).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16645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pois-concatenacao-sq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6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Visualização do código depois: concatenação SQL no PR 9, ProductRepository.java linhas 39 a 42</w:t>
      </w:r>
    </w:p>
    <w:p>
      <w:r>
        <w:rPr>
          <w:b/>
        </w:rPr>
        <w:t>O que esperamos observar quando Code Scanning for ligado:</w:t>
      </w:r>
      <w:r>
        <w:t xml:space="preserve"> se o CodeQL reconhecer o fluxo da entrada </w:t>
      </w:r>
      <w:r>
        <w:rPr>
          <w:rFonts w:ascii="Consolas" w:hAnsi="Consolas"/>
          <w:color w:val="5B2C83"/>
          <w:sz w:val="18"/>
        </w:rPr>
        <w:t>name</w:t>
      </w:r>
      <w:r>
        <w:t xml:space="preserve"> até a consulta SQL, deverá registrar um alerta de SQL Injection associado ao trecho vulnerável, com arquivo, linha e explicação. O PR atual não confirma essa detecção: CodeQL está desligado. O resultado verde existente é somente do Maven; a compilação não detecta essa falha de segurança.</w:t>
      </w:r>
    </w:p>
    <w:p>
      <w:r>
        <w:rPr>
          <w:b/>
        </w:rPr>
        <w:t>“A análise encontrou” e “o PR bloqueou” são resultados diferentes.</w:t>
      </w:r>
      <w:r>
        <w:t xml:space="preserve"> Um alerta/anotação ajuda a localizar o problema no diff. Para impedir merge, a administração também precisa exigir o check de Code Scanning nas regras de proteção da branch. Com CodeQL desligado, nem alerta nem check do CodeQL são esperados neste PR. Consulte </w:t>
      </w:r>
      <w:r>
        <w:t>alertas de Code Scanning — https://docs.github.com/en/code-security/concepts/code-scanning/code-scanning-alerts</w:t>
      </w:r>
      <w:r>
        <w:t xml:space="preserve">, </w:t>
      </w:r>
      <w:r>
        <w:t>alertas em pull requests — https://docs.github.com/en/code-security/how-tos/manage-security-alerts/manage-code-scanning-alerts/triage-alerts-in-pull-requests</w:t>
      </w:r>
      <w:r>
        <w:t xml:space="preserve"> e </w:t>
      </w:r>
      <w:r>
        <w:t>checks obrigatórios — https://docs.github.com/en/pull-requests/reference/status-checks</w:t>
      </w:r>
      <w:r>
        <w:t>.</w:t>
      </w:r>
    </w:p>
    <w:p>
      <w:r>
        <w:rPr>
          <w:b/>
        </w:rPr>
        <w:t>Versão segura de referência:</w:t>
      </w:r>
      <w:r>
        <w:t xml:space="preserve"> mantenha a consulta parametrizada, como em </w:t>
      </w:r>
      <w:r>
        <w:rPr>
          <w:rFonts w:ascii="Consolas" w:hAnsi="Consolas"/>
          <w:color w:val="5B2C83"/>
          <w:sz w:val="18"/>
        </w:rPr>
        <w:t>searchByName</w:t>
      </w:r>
      <w:r>
        <w:t xml:space="preserve"> nas linhas 32–36. Ao encerrar a demonstração, remova a rota e o método inseguros; não copie esse trecho para uma aplicação real.</w:t>
      </w:r>
    </w:p>
    <w:p>
      <w:pPr>
        <w:pStyle w:val="Heading2"/>
      </w:pPr>
      <w:r>
        <w:t>Como ler este PR</w:t>
      </w:r>
    </w:p>
    <w:p>
      <w:pPr>
        <w:pStyle w:val="ListNumber"/>
      </w:pPr>
      <w:r>
        <w:t xml:space="preserve">Na conversa, leia </w:t>
      </w:r>
      <w:r>
        <w:rPr>
          <w:b/>
        </w:rPr>
        <w:t>Objetivo</w:t>
      </w:r>
      <w:r>
        <w:t xml:space="preserve">, </w:t>
      </w:r>
      <w:r>
        <w:rPr>
          <w:b/>
        </w:rPr>
        <w:t>Alteração</w:t>
      </w:r>
      <w:r>
        <w:t xml:space="preserve">, </w:t>
      </w:r>
      <w:r>
        <w:rPr>
          <w:b/>
        </w:rPr>
        <w:t>O que observar</w:t>
      </w:r>
      <w:r>
        <w:t xml:space="preserve"> e </w:t>
      </w:r>
      <w:r>
        <w:rPr>
          <w:b/>
        </w:rPr>
        <w:t>Revisão</w:t>
      </w:r>
      <w:r>
        <w:t xml:space="preserve"> antes de olhar os checks.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>, confirme que o job do Maven terminou com sucesso. Um check verde quer dizer que aquele job passou, dentro do que ele executa.</w:t>
      </w:r>
    </w:p>
    <w:p>
      <w:pPr>
        <w:pStyle w:val="ListNumber"/>
      </w:pPr>
      <w:r>
        <w:t>Confira quais checks aparecem no PR. Se a mantenedora não habilitou CodeQL, não espere alerta nem check de Code Scanning.</w:t>
      </w:r>
    </w:p>
    <w:p>
      <w:pPr>
        <w:pStyle w:val="ListNumber"/>
      </w:pPr>
      <w:r>
        <w:t xml:space="preserve">Em </w:t>
      </w:r>
      <w:r>
        <w:rPr>
          <w:b/>
        </w:rPr>
        <w:t>Files changed</w:t>
      </w:r>
      <w:r>
        <w:t xml:space="preserve">, localize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 nas linhas 39–42 e compare com a busca segura nas linhas 32–36. A visualização lado a lado acima resume essa alteração.</w:t>
      </w:r>
    </w:p>
    <w:p>
      <w:pPr>
        <w:pStyle w:val="ListNumber"/>
      </w:pPr>
      <w:r>
        <w:t>Não aprove nem mescle este PR enquanto a rota vulnerável estiver presente. A mantenedora deve decidir o próximo passo do exercício.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PRs para usuários</dc:title>
  <dc:subject>Guia operacional por público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