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5C57C18"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FC20BA">
        <w:rPr>
          <w:lang w:val="en-AU"/>
        </w:rPr>
        <w:t>B</w:t>
      </w:r>
      <w:r w:rsidR="007E7E78" w:rsidRPr="007E7E78">
        <w:rPr>
          <w:lang w:val="en-AU"/>
        </w:rPr>
        <w:t xml:space="preserve">iological evolution discovers innovations in the space of chemical and physical functionalities, </w:t>
      </w:r>
      <w:r w:rsidR="00FC20BA">
        <w:rPr>
          <w:lang w:val="en-AU"/>
        </w:rPr>
        <w:t xml:space="preserve">and </w:t>
      </w:r>
      <w:r w:rsidR="007E7E78" w:rsidRPr="007E7E78">
        <w:rPr>
          <w:lang w:val="en-AU"/>
        </w:rPr>
        <w:t xml:space="preserve">we explore how the addition of genetic information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3988444D" w14:textId="249E76DC" w:rsidR="00C8652E" w:rsidRDefault="00190744" w:rsidP="00774AA9">
      <w:pPr>
        <w:pStyle w:val="heading1"/>
      </w:pPr>
      <w:r>
        <w:t>Introduction</w:t>
      </w:r>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 xml:space="preserve">life-like CAs are defined with strong relaxation to the </w:t>
      </w:r>
      <w:r w:rsidRPr="00315693">
        <w:lastRenderedPageBreak/>
        <w:t>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sandpile,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4D36597C" w:rsidR="00D13C4F" w:rsidRPr="00315693" w:rsidRDefault="00D13C4F" w:rsidP="008E4810">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w:t>
      </w:r>
      <w:r w:rsidRPr="00315693">
        <w:lastRenderedPageBreak/>
        <w:t>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007304BF">
        <w:t xml:space="preserve"> </w:t>
      </w:r>
      <w:r w:rsidRPr="00315693">
        <w:t>The</w:t>
      </w:r>
      <w:r w:rsidR="007304BF">
        <w:t xml:space="preserve"> </w:t>
      </w:r>
      <w:r w:rsidRPr="00315693">
        <w:t>genome of a live cell can encode local departures from the GoL rule, making the system</w:t>
      </w:r>
      <w:r w:rsidR="007304BF">
        <w:t xml:space="preserve"> a</w:t>
      </w:r>
      <w:r w:rsidRPr="00315693">
        <w:t xml:space="preserve"> spatially inhomogeneous cellular automaton.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r>
        <w:t>The genelife model</w:t>
      </w:r>
    </w:p>
    <w:p w14:paraId="10E93799" w14:textId="6B8B6150" w:rsidR="006F1D24" w:rsidRPr="00315693"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also may encode local </w:t>
      </w:r>
      <w:r w:rsidR="009475B5">
        <w:t xml:space="preserve">CA rules, </w:t>
      </w:r>
      <w:r w:rsidRPr="00315693">
        <w:t>de</w:t>
      </w:r>
      <w:r>
        <w:t>viati</w:t>
      </w:r>
      <w:r w:rsidR="009475B5">
        <w:t>ng</w:t>
      </w:r>
      <w:r w:rsidRPr="00315693">
        <w:t xml:space="preserve"> from the GoL rule, making the system a spatially inhomogeneous cellular automaton.  The local state of a cell is described completely by the presence or absence of a genome (the live/</w:t>
      </w:r>
      <w:r w:rsidR="000516AC">
        <w:t>empty</w:t>
      </w:r>
      <w:r w:rsidRPr="00315693">
        <w:t xml:space="preserve"> (1/0) state in the GoL) and its 64-bit sequence.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p>
    <w:p w14:paraId="5E069251" w14:textId="1123165D"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 xml:space="preserve">in </w:t>
      </w:r>
      <w:r w:rsidR="001B1B3C">
        <w:lastRenderedPageBreak/>
        <w:t>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p>
    <w:p w14:paraId="3D280DEF" w14:textId="2FD17CEA" w:rsidR="006F1D24" w:rsidRPr="00315693" w:rsidRDefault="009475B5" w:rsidP="006F1D24">
      <w:r>
        <w:t>To complete</w:t>
      </w:r>
      <w:r w:rsidR="006F1D24" w:rsidRPr="00315693">
        <w:t xml:space="preserve"> the specification of the Genetic GoL system</w:t>
      </w:r>
      <w:r w:rsidR="00D63850">
        <w:t xml:space="preserve"> dynamics</w:t>
      </w:r>
      <w:r w:rsidR="001B22CD">
        <w:t>,</w:t>
      </w:r>
      <w:r w:rsidR="00D63850">
        <w:t xml:space="preserve"> we need to</w:t>
      </w:r>
    </w:p>
    <w:p w14:paraId="44AB61DD" w14:textId="04FC40F9" w:rsidR="006F1D24" w:rsidRPr="00315693" w:rsidRDefault="009475B5" w:rsidP="00D63850">
      <w:pPr>
        <w:pStyle w:val="numitem"/>
        <w:spacing w:before="120" w:after="120"/>
      </w:pPr>
      <w:r>
        <w:t>s</w:t>
      </w:r>
      <w:r w:rsidR="006F1D24" w:rsidRPr="00315693">
        <w:t>pecify how live/empty next states are determined by the configuration of live neighbors and their genomes (departure from GoL rules are possible), and</w:t>
      </w:r>
    </w:p>
    <w:p w14:paraId="7DD64588" w14:textId="59F0C682" w:rsidR="006F1D24" w:rsidRPr="00315693" w:rsidRDefault="009475B5" w:rsidP="00D63850">
      <w:pPr>
        <w:pStyle w:val="numitem"/>
        <w:spacing w:before="120" w:after="120"/>
      </w:pPr>
      <w:r>
        <w:t>s</w:t>
      </w:r>
      <w:r w:rsidR="006F1D24" w:rsidRPr="00315693">
        <w:t xml:space="preserve">pecify how the information in the genomes attached to live states are propagated when the next state is live. </w:t>
      </w:r>
    </w:p>
    <w:p w14:paraId="61597921" w14:textId="4B7FABC0" w:rsidR="006F1D24" w:rsidRPr="00315693" w:rsidRDefault="001B22CD" w:rsidP="006F1D24">
      <w:r>
        <w:t>We</w:t>
      </w:r>
      <w:r w:rsidR="006F1D24" w:rsidRPr="00315693">
        <w:t xml:space="preserve"> </w:t>
      </w:r>
      <w:r w:rsidR="000516AC">
        <w:t>preface</w:t>
      </w:r>
      <w:r w:rsidR="006F1D24" w:rsidRPr="00315693">
        <w:t xml:space="preserve"> this study </w:t>
      </w:r>
      <w:r>
        <w:t xml:space="preserve">with rules which like </w:t>
      </w:r>
      <w:r w:rsidR="006F1D24" w:rsidRPr="00315693">
        <w:t xml:space="preserve">the GoL rules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B5BB9E1"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4934063C" w:rsidR="006F1D24"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5A363057" w14:textId="60B2746A" w:rsidR="006F1D24" w:rsidRPr="00315693" w:rsidRDefault="006F1D24" w:rsidP="004625C0">
      <w:pPr>
        <w:pStyle w:val="numitem"/>
        <w:spacing w:before="120" w:after="120"/>
      </w:pPr>
      <w:r w:rsidRPr="00315693">
        <w:t xml:space="preserve">Semi-totalistic rules </w:t>
      </w:r>
      <w:r w:rsidRPr="000516AC">
        <w:rPr>
          <w:i/>
          <w:iCs/>
        </w:rPr>
        <w:t>s</w:t>
      </w:r>
      <w:r w:rsidRPr="00315693">
        <w:t xml:space="preserve">=1-8 with LUTs for </w:t>
      </w:r>
      <w:r w:rsidR="008E4810">
        <w:t>1-states</w:t>
      </w:r>
      <w:r w:rsidRPr="00315693">
        <w:t xml:space="preserve"> determined by genes (16</w:t>
      </w:r>
      <w:r w:rsidR="008E4810">
        <w:t>/18</w:t>
      </w:r>
      <w:r w:rsidRPr="00315693">
        <w:t>)</w:t>
      </w:r>
    </w:p>
    <w:p w14:paraId="6BE97190" w14:textId="350850CF" w:rsidR="006F1D24" w:rsidRPr="00315693" w:rsidRDefault="006F1D24" w:rsidP="004625C0">
      <w:pPr>
        <w:pStyle w:val="numitem"/>
        <w:spacing w:before="120" w:after="120"/>
      </w:pPr>
      <w:r w:rsidRPr="00315693">
        <w:t xml:space="preserve">Quarter-totalistic rules </w:t>
      </w:r>
      <w:r w:rsidRPr="000516AC">
        <w:rPr>
          <w:i/>
          <w:iCs/>
        </w:rPr>
        <w:t>s</w:t>
      </w:r>
      <w:r w:rsidRPr="00315693">
        <w:t>=1-</w:t>
      </w:r>
      <w:r w:rsidR="00A50E88">
        <w:t>7</w:t>
      </w:r>
      <w:r w:rsidRPr="00315693">
        <w:t xml:space="preserve">, </w:t>
      </w:r>
      <w:r w:rsidRPr="000516AC">
        <w:rPr>
          <w:i/>
          <w:iCs/>
        </w:rPr>
        <w:t>se</w:t>
      </w:r>
      <w:r w:rsidRPr="00315693">
        <w:t>=0-4 with distinct corner and edge counts (46</w:t>
      </w:r>
      <w:r w:rsidR="008E4810">
        <w:t>/50</w:t>
      </w:r>
      <w:r w:rsidRPr="00315693">
        <w:t>)</w:t>
      </w:r>
    </w:p>
    <w:p w14:paraId="75B69A18" w14:textId="13DE3110" w:rsidR="006F1D24" w:rsidRPr="00315693" w:rsidRDefault="000516AC" w:rsidP="004625C0">
      <w:pPr>
        <w:pStyle w:val="numitem"/>
        <w:spacing w:before="120" w:after="120"/>
      </w:pPr>
      <w:r>
        <w:t>Octa</w:t>
      </w:r>
      <w:r w:rsidR="008E4810">
        <w:t>vian</w:t>
      </w:r>
      <w:r w:rsidR="006F1D24" w:rsidRPr="00315693">
        <w:t xml:space="preserve">-rotation symmetric rules for </w:t>
      </w:r>
      <w:r w:rsidR="006F1D24" w:rsidRPr="000516AC">
        <w:rPr>
          <w:i/>
          <w:iCs/>
        </w:rPr>
        <w:t>s</w:t>
      </w:r>
      <w:r w:rsidR="006F1D24" w:rsidRPr="00315693">
        <w:t>=2-6</w:t>
      </w:r>
      <w:r w:rsidR="008E4810">
        <w:t xml:space="preserve">, </w:t>
      </w:r>
      <w:proofErr w:type="spellStart"/>
      <w:r w:rsidR="008E4810" w:rsidRPr="008E4810">
        <w:rPr>
          <w:i/>
          <w:iCs/>
        </w:rPr>
        <w:t>crot</w:t>
      </w:r>
      <w:proofErr w:type="spellEnd"/>
      <w:r w:rsidR="008E4810">
        <w:t>=0-9</w:t>
      </w:r>
      <w:r w:rsidR="006F1D24" w:rsidRPr="00315693">
        <w:t xml:space="preserve"> (64</w:t>
      </w:r>
      <w:r w:rsidR="008E4810">
        <w:t>/68</w:t>
      </w:r>
      <w:r w:rsidR="006F1D24" w:rsidRPr="00315693">
        <w:t>)</w:t>
      </w:r>
    </w:p>
    <w:p w14:paraId="7942836D" w14:textId="4E0CE1DE" w:rsidR="006F1D24" w:rsidRPr="00315693" w:rsidRDefault="008E4810" w:rsidP="004625C0">
      <w:pPr>
        <w:pStyle w:val="numitem"/>
        <w:spacing w:before="120" w:after="120"/>
      </w:pPr>
      <w:r>
        <w:t xml:space="preserve">Isotropic </w:t>
      </w:r>
      <w:r w:rsidR="006F1D24" w:rsidRPr="00315693">
        <w:t xml:space="preserve">rules </w:t>
      </w:r>
      <w:r>
        <w:t xml:space="preserve">in 2D </w:t>
      </w:r>
      <w:r w:rsidR="006F1D24" w:rsidRPr="00315693">
        <w:t xml:space="preserve">(4-rot’n,4-refl’n) for </w:t>
      </w:r>
      <w:r w:rsidR="006F1D24" w:rsidRPr="000516AC">
        <w:rPr>
          <w:i/>
          <w:iCs/>
        </w:rPr>
        <w:t>s</w:t>
      </w:r>
      <w:r w:rsidR="006F1D24" w:rsidRPr="00315693">
        <w:t>=0-4</w:t>
      </w:r>
      <w:r>
        <w:t xml:space="preserve">, </w:t>
      </w:r>
      <w:proofErr w:type="spellStart"/>
      <w:r w:rsidRPr="008E4810">
        <w:rPr>
          <w:i/>
          <w:iCs/>
        </w:rPr>
        <w:t>crot</w:t>
      </w:r>
      <w:proofErr w:type="spellEnd"/>
      <w:r>
        <w:t>=0-12</w:t>
      </w:r>
      <w:r w:rsidR="006F1D24" w:rsidRPr="00315693">
        <w:t xml:space="preserve"> (64</w:t>
      </w:r>
      <w:r>
        <w:t>/102</w:t>
      </w:r>
      <w:r w:rsidR="006F1D24" w:rsidRPr="00315693">
        <w:t>)</w:t>
      </w:r>
    </w:p>
    <w:p w14:paraId="07B8DE6B" w14:textId="3FBAE2DF" w:rsidR="006F1D24" w:rsidRPr="00315693" w:rsidRDefault="006F1D24" w:rsidP="004625C0">
      <w:pPr>
        <w:pStyle w:val="numitem"/>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w:t>
      </w:r>
      <w:r w:rsidR="00583D9D">
        <w:lastRenderedPageBreak/>
        <w:t xml:space="preserve">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089FDD85" w14:textId="77777777" w:rsidR="006F1D24" w:rsidRPr="00315693" w:rsidRDefault="006F1D24" w:rsidP="004625C0">
      <w:pPr>
        <w:pStyle w:val="numitem"/>
        <w:numPr>
          <w:ilvl w:val="0"/>
          <w:numId w:val="15"/>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4625C0">
      <w:pPr>
        <w:pStyle w:val="numitem"/>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w:t>
      </w:r>
      <w:r w:rsidRPr="00315693">
        <w:lastRenderedPageBreak/>
        <w:t xml:space="preserve">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r w:rsidRPr="00095AD7">
        <w:rPr>
          <w:lang w:val="en-AU"/>
        </w:rPr>
        <w:t>Semi-totalistic rules involving only s=2,3</w:t>
      </w:r>
    </w:p>
    <w:p w14:paraId="0775CC49" w14:textId="25AB8EF4" w:rsidR="00095AD7" w:rsidRPr="00095AD7" w:rsidRDefault="00095AD7" w:rsidP="00095AD7">
      <w:pPr>
        <w:pStyle w:val="Heading3"/>
        <w:spacing w:before="0"/>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GoL starting from random compact patterns of live states almost certainly relaxes to a set of unconnected simple patterns or periodic structures, with new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3CCC8220"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m:t>
        </m:r>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w:t>
      </w:r>
      <w:r w:rsidRPr="00095AD7">
        <w:rPr>
          <w:lang w:val="en-AU"/>
        </w:rPr>
        <w:lastRenderedPageBreak/>
        <w:t xml:space="preserve">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7D5B9C15"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lastRenderedPageBreak/>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B865DF">
      <w:pPr>
        <w:pStyle w:val="Heading3"/>
        <w:rPr>
          <w:b/>
        </w:rPr>
      </w:pPr>
      <w:r w:rsidRPr="00916662">
        <w:rPr>
          <w:rStyle w:val="heading30"/>
        </w:rPr>
        <w:t>Genetically</w:t>
      </w:r>
      <w:bookmarkStart w:id="0" w:name="_GoBack"/>
      <w:bookmarkEnd w:id="0"/>
      <w:r w:rsidRPr="00916662">
        <w:rPr>
          <w:rStyle w:val="heading30"/>
        </w:rPr>
        <w:t xml:space="preserve">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B865DF">
      <w:pPr>
        <w:pStyle w:val="Heading4"/>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lastRenderedPageBreak/>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lastRenderedPageBreak/>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 xml:space="preserve">disallow </w:t>
      </w:r>
      <w:proofErr w:type="gramStart"/>
      <w:r w:rsidRPr="00095AD7">
        <w:rPr>
          <w:lang w:val="en-AU"/>
        </w:rPr>
        <w:t>birth:</w:t>
      </w:r>
      <w:proofErr w:type="gramEnd"/>
      <w:r w:rsidRPr="00095AD7">
        <w:rPr>
          <w:lang w:val="en-AU"/>
        </w:rPr>
        <w:t xml:space="preserve">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 xml:space="preserve">6 is potentially minimally disruptive, effectively just reducing the rate of departure from GoL </w:t>
      </w:r>
      <w:proofErr w:type="gramStart"/>
      <w:r w:rsidRPr="00095AD7">
        <w:rPr>
          <w:lang w:val="en-AU"/>
        </w:rPr>
        <w:t>dynamics, and</w:t>
      </w:r>
      <w:proofErr w:type="gramEnd"/>
      <w:r w:rsidRPr="00095AD7">
        <w:rPr>
          <w:lang w:val="en-AU"/>
        </w:rPr>
        <w:t xml:space="preserve">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FE11E5">
      <w:pPr>
        <w:pStyle w:val="Heading4"/>
        <w:rPr>
          <w:rStyle w:val="heading40"/>
        </w:rPr>
      </w:pPr>
      <w:r w:rsidRPr="00FE11E5">
        <w:rPr>
          <w:rStyle w:val="heading40"/>
        </w:rPr>
        <w:t>Models of selective 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r w:rsidRPr="00FE11E5">
        <w:rPr>
          <w:lang w:val="en-AU"/>
        </w:rPr>
        <w:t>Genetically encoded semi-totalistic birth and survival rules for s=1-8</w:t>
      </w:r>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w:t>
      </w:r>
      <w:r w:rsidRPr="00FE11E5">
        <w:rPr>
          <w:lang w:val="en-AU"/>
        </w:rPr>
        <w:lastRenderedPageBreak/>
        <w:t>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r w:rsidRPr="00FE11E5">
        <w:rPr>
          <w:lang w:val="en-AU"/>
        </w:rPr>
        <w:t>Quarter-totalistic rules s=1-8, se=0-4 with distinct corner and edge counts (46)</w:t>
      </w:r>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r>
        <w:rPr>
          <w:lang w:val="en-AU"/>
        </w:rPr>
        <w:t>8</w:t>
      </w:r>
      <w:r w:rsidRPr="00FE11E5">
        <w:rPr>
          <w:lang w:val="en-AU"/>
        </w:rPr>
        <w:t>-rotation</w:t>
      </w:r>
      <w:r>
        <w:rPr>
          <w:lang w:val="en-AU"/>
        </w:rPr>
        <w:t>-</w:t>
      </w:r>
      <w:r w:rsidRPr="00FE11E5">
        <w:rPr>
          <w:lang w:val="en-AU"/>
        </w:rPr>
        <w:t>symmetric genetically encoded rules for s=2-6 (64 configs)</w:t>
      </w:r>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r>
        <w:rPr>
          <w:lang w:val="en-AU"/>
        </w:rPr>
        <w:t>Isotropic</w:t>
      </w:r>
      <w:r w:rsidRPr="00FE11E5">
        <w:rPr>
          <w:lang w:val="en-AU"/>
        </w:rPr>
        <w:t xml:space="preserve"> genetically encoded rules (4-rot’n,4-refl’n) for s=0-4 (64)</w:t>
      </w:r>
    </w:p>
    <w:p w14:paraId="283FDDB7" w14:textId="1AD2C5B0" w:rsidR="00F4682F" w:rsidRDefault="00F4682F" w:rsidP="00F4682F">
      <w:pPr>
        <w:pStyle w:val="heading1"/>
      </w:pPr>
      <w:r>
        <w:t>Analytical tools for spatial genetic computation</w:t>
      </w:r>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r>
        <w:t>Spatial visualization</w:t>
      </w:r>
      <w:r w:rsidR="00FC2E9B">
        <w:t xml:space="preserve"> of cell array</w:t>
      </w:r>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 xml:space="preserve">The genetic sequence space (currently binary of length 64) can be mapped to 24-bit color on 3 8-bit channels (red, green, blue) by a pseudo-random hash function. This will ascribe a particular color to any live cell based on the gene </w:t>
      </w:r>
      <w:r w:rsidR="001D3465">
        <w:lastRenderedPageBreak/>
        <w:t>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lastRenderedPageBreak/>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630EB2">
      <w:pPr>
        <w:pStyle w:val="heading2"/>
        <w:spacing w:before="0"/>
      </w:pPr>
      <w:r>
        <w:t>Time evolution traces of the dynamics of genes and patterns</w:t>
      </w:r>
    </w:p>
    <w:p w14:paraId="1C44358B" w14:textId="6912A424" w:rsidR="00630EB2" w:rsidRDefault="003B7B1C" w:rsidP="003B7B1C">
      <w:pPr>
        <w:pStyle w:val="p1a"/>
      </w:pPr>
      <w:r>
        <w:t xml:space="preserve">The global temporal evolution of the model can be </w:t>
      </w:r>
    </w:p>
    <w:p w14:paraId="552FC783" w14:textId="446A0223" w:rsidR="003B7B1C" w:rsidRDefault="00C447DC" w:rsidP="003B7B1C">
      <w:pPr>
        <w:pStyle w:val="Heading3"/>
      </w:pPr>
      <w:r>
        <w:rPr>
          <w:rStyle w:val="heading30"/>
        </w:rPr>
        <w:t>Online a</w:t>
      </w:r>
      <w:r w:rsidR="003B7B1C">
        <w:rPr>
          <w:rStyle w:val="heading30"/>
        </w:rPr>
        <w:t>ctivity statistics and populations over time</w:t>
      </w:r>
      <w:r w:rsidR="003B7B1C" w:rsidRPr="00774AA9">
        <w:rPr>
          <w:rStyle w:val="heading30"/>
        </w:rPr>
        <w:t>.</w:t>
      </w:r>
      <w:r w:rsidR="003B7B1C" w:rsidRPr="003E3370">
        <w:t xml:space="preserve"> </w:t>
      </w:r>
      <w:r w:rsidR="003B7B1C">
        <w:t>Norman. Advantage of activities (briefly, + references).</w:t>
      </w:r>
    </w:p>
    <w:p w14:paraId="0BE25E20" w14:textId="77777777" w:rsidR="003B7B1C" w:rsidRPr="003B7B1C" w:rsidRDefault="003B7B1C" w:rsidP="003B7B1C">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Default="00C447DC" w:rsidP="003B7B1C">
      <w:pPr>
        <w:pStyle w:val="Heading3"/>
      </w:pPr>
      <w:r>
        <w:rPr>
          <w:rStyle w:val="heading30"/>
        </w:rPr>
        <w:t>Online g</w:t>
      </w:r>
      <w:r w:rsidR="003B7B1C">
        <w:rPr>
          <w:rStyle w:val="heading30"/>
        </w:rPr>
        <w:t>enealogies: structural and temporal</w:t>
      </w:r>
      <w:r>
        <w:rPr>
          <w:rStyle w:val="heading30"/>
        </w:rPr>
        <w:t>, global and clonal</w:t>
      </w:r>
      <w:r w:rsidR="003B7B1C" w:rsidRPr="00774AA9">
        <w:rPr>
          <w:rStyle w:val="heading30"/>
        </w:rPr>
        <w:t>.</w:t>
      </w:r>
      <w:r w:rsidR="003B7B1C" w:rsidRPr="003E3370">
        <w:t xml:space="preserve"> </w:t>
      </w:r>
      <w:r w:rsidR="003B7B1C">
        <w:t>John</w:t>
      </w:r>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C447DC" w:rsidRDefault="00C447DC" w:rsidP="00C447DC">
      <w:pPr>
        <w:pStyle w:val="Heading3"/>
        <w:rPr>
          <w:b/>
        </w:rPr>
      </w:pPr>
      <w:r w:rsidRPr="00C447DC">
        <w:rPr>
          <w:rStyle w:val="heading30"/>
        </w:rPr>
        <w:t>Other statistics over time</w:t>
      </w:r>
      <w: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r>
        <w:t>Results</w:t>
      </w:r>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34AFDAAC" w14:textId="0A8D107C" w:rsidR="00C447DC" w:rsidRDefault="00C447DC" w:rsidP="00C447DC">
      <w:pPr>
        <w:pStyle w:val="figurecaption"/>
        <w:jc w:val="both"/>
      </w:pPr>
      <w:bookmarkStart w:id="1" w:name="_Ref467515387"/>
      <w:r>
        <w:rPr>
          <w:b/>
        </w:rPr>
        <w:t xml:space="preserve">Fig. </w:t>
      </w:r>
      <w:r>
        <w:rPr>
          <w:b/>
        </w:rPr>
        <w:fldChar w:fldCharType="begin"/>
      </w:r>
      <w:r>
        <w:rPr>
          <w:b/>
        </w:rPr>
        <w:instrText xml:space="preserve"> SEQ "Figure" \* MERGEFORMAT </w:instrText>
      </w:r>
      <w:r>
        <w:rPr>
          <w:b/>
        </w:rPr>
        <w:fldChar w:fldCharType="separate"/>
      </w:r>
      <w:r w:rsidR="00550C9D">
        <w:rPr>
          <w:b/>
          <w:noProof/>
        </w:rPr>
        <w:t>1</w:t>
      </w:r>
      <w:r>
        <w:rPr>
          <w:b/>
        </w:rPr>
        <w:fldChar w:fldCharType="end"/>
      </w:r>
      <w:bookmarkEnd w:id="1"/>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r>
        <w:t>Conclusions</w:t>
      </w:r>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r>
        <w:t>References</w:t>
      </w:r>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2" w:name="_Ref467516178"/>
      <w:r>
        <w:t>Author, F.: Article title. Journal 2(5), 99–110 (2016).</w:t>
      </w:r>
      <w:bookmarkEnd w:id="2"/>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0"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1"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2"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3"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4"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780878" w:rsidRDefault="00780878" w:rsidP="00780878">
      <w:pPr>
        <w:pStyle w:val="EndNoteBibliography"/>
        <w:ind w:firstLine="0"/>
        <w:rPr>
          <w:noProof/>
        </w:rPr>
      </w:pPr>
      <w:r w:rsidRPr="00780878">
        <w:rPr>
          <w:noProof/>
        </w:rPr>
        <w:t>20.</w:t>
      </w:r>
      <w:r w:rsidRPr="00780878">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4D46321" w14:textId="77777777" w:rsidR="00780878" w:rsidRPr="00780878" w:rsidRDefault="00780878" w:rsidP="00780878">
      <w:pPr>
        <w:pStyle w:val="EndNoteBibliography"/>
        <w:ind w:firstLine="0"/>
        <w:rPr>
          <w:noProof/>
        </w:rPr>
      </w:pPr>
      <w:r w:rsidRPr="00780878">
        <w:rPr>
          <w:noProof/>
        </w:rPr>
        <w:t>21.</w:t>
      </w:r>
      <w:r w:rsidRPr="00780878">
        <w:rPr>
          <w:noProof/>
        </w:rPr>
        <w:tab/>
        <w:t>Helvik, T., Lindgren, K., Nordahl, M.G.: Local Information in One-Dimensional Cellular Automata. 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30EA099C" w:rsidR="00DC71CD" w:rsidRPr="00C8652E" w:rsidRDefault="00AF33E8" w:rsidP="00C8652E">
      <w:r>
        <w:fldChar w:fldCharType="end"/>
      </w:r>
    </w:p>
    <w:sectPr w:rsidR="00DC71CD" w:rsidRPr="00C8652E" w:rsidSect="00DC71CD">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8C5168E" w14:textId="77777777" w:rsidR="009E62EC" w:rsidRDefault="009E62EC">
      <w:pPr>
        <w:spacing w:line="240" w:lineRule="auto"/>
      </w:pPr>
      <w:r>
        <w:separator/>
      </w:r>
    </w:p>
  </w:endnote>
  <w:endnote w:type="continuationSeparator" w:id="0">
    <w:p w14:paraId="37BE2F3E" w14:textId="77777777" w:rsidR="009E62EC" w:rsidRDefault="009E62E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ourier">
    <w:panose1 w:val="00000000000000000000"/>
    <w:charset w:val="00"/>
    <w:family w:val="auto"/>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2B1966" w14:textId="77777777" w:rsidR="009E62EC" w:rsidRDefault="009E62EC" w:rsidP="006F1D24">
      <w:pPr>
        <w:spacing w:line="240" w:lineRule="auto"/>
        <w:ind w:firstLine="0"/>
      </w:pPr>
      <w:r>
        <w:separator/>
      </w:r>
    </w:p>
  </w:footnote>
  <w:footnote w:type="continuationSeparator" w:id="0">
    <w:p w14:paraId="1DD69F5C" w14:textId="77777777" w:rsidR="009E62EC" w:rsidRPr="00080DE2" w:rsidRDefault="009E62EC"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095AD7" w:rsidRDefault="00095AD7"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095AD7" w:rsidRDefault="00095AD7"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1" w15:restartNumberingAfterBreak="0">
    <w:nsid w:val="1AA44AE7"/>
    <w:multiLevelType w:val="multilevel"/>
    <w:tmpl w:val="72E65396"/>
    <w:numStyleLink w:val="arabnumitem"/>
  </w:abstractNum>
  <w:abstractNum w:abstractNumId="2" w15:restartNumberingAfterBreak="0">
    <w:nsid w:val="1DD522C4"/>
    <w:multiLevelType w:val="multilevel"/>
    <w:tmpl w:val="72E65396"/>
    <w:numStyleLink w:val="arabnumitem"/>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0343264"/>
    <w:multiLevelType w:val="multilevel"/>
    <w:tmpl w:val="72E65396"/>
    <w:numStyleLink w:val="arabnumitem"/>
  </w:abstractNum>
  <w:abstractNum w:abstractNumId="5" w15:restartNumberingAfterBreak="0">
    <w:nsid w:val="355A06A3"/>
    <w:multiLevelType w:val="multilevel"/>
    <w:tmpl w:val="72E65396"/>
    <w:numStyleLink w:val="arabnumitem"/>
  </w:abstractNum>
  <w:abstractNum w:abstractNumId="6"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196142E"/>
    <w:multiLevelType w:val="multilevel"/>
    <w:tmpl w:val="72E65396"/>
    <w:numStyleLink w:val="arabnumitem"/>
  </w:abstractNum>
  <w:abstractNum w:abstractNumId="10"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3"/>
  </w:num>
  <w:num w:numId="4">
    <w:abstractNumId w:val="13"/>
  </w:num>
  <w:num w:numId="5">
    <w:abstractNumId w:val="15"/>
  </w:num>
  <w:num w:numId="6">
    <w:abstractNumId w:val="15"/>
  </w:num>
  <w:num w:numId="7">
    <w:abstractNumId w:val="14"/>
  </w:num>
  <w:num w:numId="8">
    <w:abstractNumId w:val="17"/>
  </w:num>
  <w:num w:numId="9">
    <w:abstractNumId w:val="17"/>
  </w:num>
  <w:num w:numId="10">
    <w:abstractNumId w:val="11"/>
  </w:num>
  <w:num w:numId="11">
    <w:abstractNumId w:val="16"/>
  </w:num>
  <w:num w:numId="12">
    <w:abstractNumId w:val="12"/>
  </w:num>
  <w:num w:numId="13">
    <w:abstractNumId w:val="6"/>
  </w:num>
  <w:num w:numId="1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15"/>
  </w:num>
  <w:num w:numId="16">
    <w:abstractNumId w:val="8"/>
  </w:num>
  <w:num w:numId="17">
    <w:abstractNumId w:val="7"/>
  </w:num>
  <w:num w:numId="18">
    <w:abstractNumId w:val="10"/>
  </w:num>
  <w:num w:numId="19">
    <w:abstractNumId w:val="0"/>
  </w:num>
  <w:num w:numId="2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5"/>
  </w:num>
  <w:num w:numId="23">
    <w:abstractNumId w:val="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4"/>
  </w:num>
  <w:num w:numId="25">
    <w:abstractNumId w:val="2"/>
  </w:num>
  <w:num w:numId="26">
    <w:abstractNumId w:val="9"/>
  </w:num>
  <w:num w:numId="2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3"/>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846F3"/>
    <w:rsid w:val="00290EC4"/>
    <w:rsid w:val="0029448A"/>
    <w:rsid w:val="002A3C20"/>
    <w:rsid w:val="002B7AC5"/>
    <w:rsid w:val="002C648B"/>
    <w:rsid w:val="003102E2"/>
    <w:rsid w:val="0035395A"/>
    <w:rsid w:val="003622AE"/>
    <w:rsid w:val="00383DD5"/>
    <w:rsid w:val="00387BBC"/>
    <w:rsid w:val="003B7B1C"/>
    <w:rsid w:val="003D7E7E"/>
    <w:rsid w:val="003E6E61"/>
    <w:rsid w:val="004625C0"/>
    <w:rsid w:val="00492D19"/>
    <w:rsid w:val="004C687F"/>
    <w:rsid w:val="004D2F4D"/>
    <w:rsid w:val="00547112"/>
    <w:rsid w:val="00550C9D"/>
    <w:rsid w:val="00583D9D"/>
    <w:rsid w:val="005A2A94"/>
    <w:rsid w:val="006137D0"/>
    <w:rsid w:val="006139E2"/>
    <w:rsid w:val="00630EB2"/>
    <w:rsid w:val="0063595B"/>
    <w:rsid w:val="006B7821"/>
    <w:rsid w:val="006F1D24"/>
    <w:rsid w:val="006F2C15"/>
    <w:rsid w:val="007304BF"/>
    <w:rsid w:val="00763C6F"/>
    <w:rsid w:val="00774AA9"/>
    <w:rsid w:val="00780878"/>
    <w:rsid w:val="00781206"/>
    <w:rsid w:val="007E1E6F"/>
    <w:rsid w:val="007E68F1"/>
    <w:rsid w:val="007E7E78"/>
    <w:rsid w:val="007F29A0"/>
    <w:rsid w:val="00806BAC"/>
    <w:rsid w:val="008322DA"/>
    <w:rsid w:val="008760F9"/>
    <w:rsid w:val="008914D2"/>
    <w:rsid w:val="008946C0"/>
    <w:rsid w:val="008A17CB"/>
    <w:rsid w:val="008B14BB"/>
    <w:rsid w:val="008C1D5E"/>
    <w:rsid w:val="008C4528"/>
    <w:rsid w:val="008E4810"/>
    <w:rsid w:val="008E71F0"/>
    <w:rsid w:val="00905AA2"/>
    <w:rsid w:val="00916662"/>
    <w:rsid w:val="009475B5"/>
    <w:rsid w:val="0097093C"/>
    <w:rsid w:val="00991EF5"/>
    <w:rsid w:val="009949A3"/>
    <w:rsid w:val="009B7024"/>
    <w:rsid w:val="009E62EC"/>
    <w:rsid w:val="00A030E8"/>
    <w:rsid w:val="00A4462D"/>
    <w:rsid w:val="00A50E88"/>
    <w:rsid w:val="00AE7A04"/>
    <w:rsid w:val="00AF33E8"/>
    <w:rsid w:val="00AF6A79"/>
    <w:rsid w:val="00B53818"/>
    <w:rsid w:val="00B865DF"/>
    <w:rsid w:val="00B92295"/>
    <w:rsid w:val="00BA44E2"/>
    <w:rsid w:val="00C01483"/>
    <w:rsid w:val="00C027F8"/>
    <w:rsid w:val="00C14FB3"/>
    <w:rsid w:val="00C41E0B"/>
    <w:rsid w:val="00C447DC"/>
    <w:rsid w:val="00C52CD1"/>
    <w:rsid w:val="00C8652E"/>
    <w:rsid w:val="00CC7866"/>
    <w:rsid w:val="00D07B1E"/>
    <w:rsid w:val="00D13C4F"/>
    <w:rsid w:val="00D25BE1"/>
    <w:rsid w:val="00D515E5"/>
    <w:rsid w:val="00D63850"/>
    <w:rsid w:val="00D972CB"/>
    <w:rsid w:val="00DC71CD"/>
    <w:rsid w:val="00E37C1E"/>
    <w:rsid w:val="00E52D78"/>
    <w:rsid w:val="00E87560"/>
    <w:rsid w:val="00F056AB"/>
    <w:rsid w:val="00F20D1C"/>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overflowPunct/>
      <w:autoSpaceDE/>
      <w:autoSpaceDN/>
      <w:adjustRightInd/>
      <w:spacing w:before="240" w:line="240" w:lineRule="auto"/>
      <w:ind w:firstLine="0"/>
      <w:jc w:val="left"/>
      <w:textAlignment w:val="auto"/>
    </w:pPr>
    <w:rPr>
      <w:rFonts w:asciiTheme="minorHAnsi" w:eastAsiaTheme="minorHAnsi" w:hAnsiTheme="minorHAnsi" w:cstheme="minorHAnsi"/>
      <w:b/>
      <w:bCs/>
      <w:lang w:val="en-AU"/>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AF33E8"/>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github.com/ShprAlex/SproutLife/wiki"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conwaylife.com/wiki/LifeWiki"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rendell-attic.org/gol/tm.htm" TargetMode="Externa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www.springer.com/lncs" TargetMode="Externa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yperlink" Target="https://github.com/a5kin/evolif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237380-8E8E-D946-9E58-4CDE8A6A7F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720</TotalTime>
  <Pages>16</Pages>
  <Words>8480</Words>
  <Characters>48341</Characters>
  <Application>Microsoft Office Word</Application>
  <DocSecurity>0</DocSecurity>
  <Lines>402</Lines>
  <Paragraphs>113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56708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38</cp:revision>
  <dcterms:created xsi:type="dcterms:W3CDTF">2019-09-08T14:26:00Z</dcterms:created>
  <dcterms:modified xsi:type="dcterms:W3CDTF">2019-09-18T17:42:00Z</dcterms:modified>
</cp:coreProperties>
</file>