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39C200E8" w:rsidR="003A09F5" w:rsidRDefault="00EE30B7" w:rsidP="004D46C2">
      <w:pPr>
        <w:jc w:val="both"/>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deleted when the cell dies. We discovered a </w:t>
      </w:r>
      <w:r w:rsidR="00B02C9C">
        <w:t>deterministic</w:t>
      </w:r>
      <w:r w:rsidR="00B02C9C">
        <w:t xml:space="preserve"> and spatially symmetric rule</w:t>
      </w:r>
      <w:r w:rsidR="00D36C36">
        <w:t xml:space="preserve"> </w:t>
      </w:r>
      <w:r w:rsidR="00B02C9C">
        <w:t xml:space="preserve">to implement a genetically neutral choice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p>
    <w:p w14:paraId="11AE5113" w14:textId="77777777" w:rsidR="003A09F5" w:rsidRDefault="003A09F5" w:rsidP="004D46C2">
      <w:pPr>
        <w:jc w:val="both"/>
      </w:pPr>
    </w:p>
    <w:p w14:paraId="290500F9" w14:textId="4600FFDB" w:rsidR="003A09F5" w:rsidRDefault="00084C86" w:rsidP="004D46C2">
      <w:pPr>
        <w:pStyle w:val="Heading1"/>
        <w:jc w:val="both"/>
      </w:pPr>
      <w:r>
        <w:t>Introduction</w:t>
      </w:r>
      <w:r w:rsidR="003A09F5">
        <w:t xml:space="preserve"> </w:t>
      </w:r>
    </w:p>
    <w:p w14:paraId="09971EC5" w14:textId="7F85CC3A" w:rsidR="00742744" w:rsidRDefault="00084C86" w:rsidP="004D46C2">
      <w:pPr>
        <w:pStyle w:val="BodyText"/>
        <w:jc w:val="both"/>
      </w:pPr>
      <w:r>
        <w:t xml:space="preserve">Conway’s Game of Life </w:t>
      </w:r>
      <w:r w:rsidR="00AE25C6">
        <w:t xml:space="preserve">(GoL) </w:t>
      </w:r>
      <w:r w:rsidR="00AE6CA7">
        <w:t xml:space="preserve">[Ref 1,2,3]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E152AA">
        <w:t xml:space="preserve">In Golly’s compact notation for life-like 2d cellular automaton rules, </w:t>
      </w:r>
      <w:r w:rsidR="009E0E89">
        <w:t>T</w:t>
      </w:r>
      <w:r w:rsidR="00E152AA">
        <w:t xml:space="preserve">he game of life is </w:t>
      </w:r>
      <w:r w:rsidR="009E0E89">
        <w:t xml:space="preserve">a </w:t>
      </w:r>
      <w:proofErr w:type="spellStart"/>
      <w:r w:rsidR="009E0E89">
        <w:t>totalistic</w:t>
      </w:r>
      <w:proofErr w:type="spellEnd"/>
      <w:r w:rsidR="009E0E89">
        <w:t xml:space="preserve"> cellular automaton (CA) rule, depending only on the sum of the neighbour states rather than their detailed configuration, and can be </w:t>
      </w:r>
      <w:r w:rsidR="00E152AA">
        <w:t xml:space="preserve">denoted by the code S23/B3, meaning that a live cell </w:t>
      </w:r>
      <w:r w:rsidR="00E152AA" w:rsidRPr="009E0E89">
        <w:rPr>
          <w:rFonts w:cs="Times New Roman (Body CS)"/>
          <w:u w:val="single"/>
        </w:rPr>
        <w:t>s</w:t>
      </w:r>
      <w:r w:rsidR="00E152AA">
        <w:t>urvives (</w:t>
      </w:r>
      <w:r w:rsidR="004D46C2">
        <w:t>a “1”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rs alive in the 8 cells surrounding the site</w:t>
      </w:r>
      <w:r w:rsidR="009A053B">
        <w:t xml:space="preserve"> </w:t>
      </w:r>
      <w:r w:rsidR="009E0E89">
        <w:t>(</w:t>
      </w:r>
      <w:r w:rsidR="009A053B">
        <w:t>otherwise d</w:t>
      </w:r>
      <w:r w:rsidR="009E0E89">
        <w:t>ying</w:t>
      </w:r>
      <w:r w:rsidR="009A053B">
        <w:t xml:space="preserve"> to </w:t>
      </w:r>
      <w:r w:rsidR="004D46C2">
        <w:t>“0”</w:t>
      </w:r>
      <w:r w:rsidR="009A053B">
        <w:t xml:space="preserve"> at time </w:t>
      </w:r>
      <w:r w:rsidR="009A053B">
        <w:rPr>
          <w:i/>
        </w:rPr>
        <w:t>t+1</w:t>
      </w:r>
      <w:r w:rsidR="009A053B">
        <w:t>)</w:t>
      </w:r>
      <w:r w:rsidR="00E152AA">
        <w:t xml:space="preserve">, and an empty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E152AA">
        <w:t xml:space="preserve">) </w:t>
      </w:r>
      <w:r w:rsidR="009E0E89">
        <w:t xml:space="preserve">only </w:t>
      </w:r>
      <w:r w:rsidR="00E152AA">
        <w:t>if there are exa</w:t>
      </w:r>
      <w:r w:rsidR="009A053B">
        <w:t>ctly 3 neighbo</w:t>
      </w:r>
      <w:r w:rsidR="004D46C2">
        <w:t>u</w:t>
      </w:r>
      <w:r w:rsidR="009A053B">
        <w:t>rs alive.</w:t>
      </w:r>
      <w:r w:rsidR="004D46C2">
        <w:t xml:space="preserve"> Starting from random initial </w:t>
      </w:r>
      <w:r w:rsidR="00AE6CA7">
        <w:t xml:space="preserve">state </w:t>
      </w:r>
      <w:r w:rsidR="004D46C2">
        <w:t>patterns on a finite compact domain</w:t>
      </w:r>
      <w:r w:rsidR="00AE6CA7">
        <w:t xml:space="preserve">, it is well known that the GoL almost always settles down to a combination of </w:t>
      </w:r>
      <w:r w:rsidR="00983C56">
        <w:t xml:space="preserve">isolated </w:t>
      </w:r>
      <w:r w:rsidR="00AE6CA7">
        <w:t>static and simply periodic structures or gliders which are individually of limited spatial extent [Ref 4,5]. Although specially engineered initial states can have extremely long transients</w:t>
      </w:r>
      <w:r w:rsidR="00983C56">
        <w:t>, occupying large regions of space</w:t>
      </w:r>
      <w:r w:rsidR="00AE6CA7">
        <w:t xml:space="preserve">, and indeed the Gol has been shown to support universal computation [Ref 6,7], </w:t>
      </w:r>
      <w:r w:rsidR="00983C56">
        <w:t>the absence of complex interconnected pattern persistence starting from random initial conditions means that it is not a good candidate for the emergence of complexity.</w:t>
      </w:r>
      <w:r w:rsidR="00742744">
        <w:t xml:space="preserve"> </w:t>
      </w:r>
    </w:p>
    <w:p w14:paraId="1B23719D" w14:textId="2EFAB2B1" w:rsidR="00262C91" w:rsidRDefault="00742744" w:rsidP="004D46C2">
      <w:pPr>
        <w:pStyle w:val="BodyText"/>
        <w:jc w:val="both"/>
      </w:pPr>
      <w:r>
        <w:lastRenderedPageBreak/>
        <w:t xml:space="preserve">However, because of its rich dynamics from special initial conditions, documented in massive catalogue projects [Ref 8,9] and other articles [Ref 10,11,12], it would appear to provide an interesting model of a rich but very simple “physics” or “chemistry” that may be coupled to biological evolution through genetic information. The coupling of GoL to genetic information has already been </w:t>
      </w:r>
      <w:r w:rsidR="009E0E89">
        <w:t xml:space="preserve">attempted in various ways,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the live states</w:t>
      </w:r>
      <w:r w:rsidR="00262C91">
        <w:t>. Genetic inheritance is ensured by a</w:t>
      </w:r>
      <w:r w:rsidR="00262C91">
        <w:t xml:space="preserve"> newly born live cell’s genome </w:t>
      </w:r>
      <w:r w:rsidR="00262C91">
        <w:t>being</w:t>
      </w:r>
      <w:r w:rsidR="00262C91">
        <w:t xml:space="preserve"> copied (potentially with mutation</w:t>
      </w:r>
      <w:r w:rsidR="00262C91">
        <w:t xml:space="preserve"> and recombination</w:t>
      </w:r>
      <w:r w:rsidR="00262C91">
        <w:t xml:space="preserve">) from one </w:t>
      </w:r>
      <w:r w:rsidR="00262C91">
        <w:t xml:space="preserve">or more </w:t>
      </w:r>
      <w:r w:rsidR="00262C91">
        <w:t xml:space="preserve">of the live neighbour cells (there are three in the GoL) and </w:t>
      </w:r>
      <w:r w:rsidR="00262C91">
        <w:t>being</w:t>
      </w:r>
      <w:r w:rsidR="00262C91">
        <w:t xml:space="preserve"> deleted when the cell dies.</w:t>
      </w:r>
      <w:r w:rsidR="00262C91">
        <w:t xml:space="preserve"> In this article we focus on the simplest case of mutation and asexual reproduction without recombination. The </w:t>
      </w:r>
    </w:p>
    <w:p w14:paraId="1B3C7E8E" w14:textId="4758222A" w:rsidR="00262C91" w:rsidRDefault="00262C91" w:rsidP="004D46C2">
      <w:pPr>
        <w:pStyle w:val="BodyText"/>
        <w:jc w:val="both"/>
      </w:pPr>
      <w:r>
        <w:t xml:space="preserve">We can examine genetics associated with the unmodified </w:t>
      </w:r>
    </w:p>
    <w:p w14:paraId="0F6D91A4" w14:textId="77777777" w:rsidR="00262C91" w:rsidRDefault="00262C91" w:rsidP="004D46C2">
      <w:pPr>
        <w:pStyle w:val="BodyText"/>
        <w:jc w:val="both"/>
      </w:pPr>
    </w:p>
    <w:p w14:paraId="79DBE7B9" w14:textId="7ACFC2B5" w:rsidR="00262C91" w:rsidRDefault="00262C91" w:rsidP="004D46C2">
      <w:pPr>
        <w:pStyle w:val="BodyText"/>
        <w:jc w:val="both"/>
      </w:pPr>
      <w:r>
        <w:t xml:space="preserve">As we shall see, and in contrast with prior </w:t>
      </w:r>
    </w:p>
    <w:p w14:paraId="6498DA31" w14:textId="10286CA0" w:rsidR="00AE25C6" w:rsidRDefault="00AE25C6" w:rsidP="004D46C2">
      <w:pPr>
        <w:pStyle w:val="BodyText"/>
        <w:jc w:val="both"/>
      </w:pPr>
      <w:r>
        <w:t xml:space="preserve">, and prescribing extra-GoL rules that specify how the genes affect the GoL dynamics and how genetic information is transferred from </w:t>
      </w:r>
      <w:proofErr w:type="gramStart"/>
      <w:r>
        <w:t>one time</w:t>
      </w:r>
      <w:proofErr w:type="gramEnd"/>
      <w:r>
        <w:t xml:space="preserve"> step to the next.</w:t>
      </w:r>
    </w:p>
    <w:p w14:paraId="11E48253" w14:textId="50C93F69" w:rsidR="00EE30B7" w:rsidRDefault="00E152AA" w:rsidP="004D46C2">
      <w:pPr>
        <w:pStyle w:val="BodyText"/>
        <w:jc w:val="both"/>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0"/>
      <w:commentRangeStart w:id="1"/>
      <w:r w:rsidR="00C001E2">
        <w:t>S2g</w:t>
      </w:r>
      <w:r w:rsidR="000612D7">
        <w:t>b3g</w:t>
      </w:r>
      <w:r w:rsidR="00C001E2">
        <w:t xml:space="preserve">B2g3 </w:t>
      </w:r>
      <w:commentRangeEnd w:id="0"/>
      <w:r w:rsidR="00361D60">
        <w:rPr>
          <w:rStyle w:val="CommentReference"/>
        </w:rPr>
        <w:commentReference w:id="0"/>
      </w:r>
      <w:commentRangeEnd w:id="1"/>
      <w:r w:rsidR="003B4994">
        <w:rPr>
          <w:rStyle w:val="CommentReference"/>
        </w:rPr>
        <w:commentReference w:id="1"/>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Default="00EE30B7" w:rsidP="004D46C2">
      <w:pPr>
        <w:jc w:val="both"/>
      </w:pPr>
    </w:p>
    <w:p w14:paraId="5C1AAE64" w14:textId="5CAC31D9" w:rsidR="008B3E51" w:rsidRDefault="008B3E51" w:rsidP="004D46C2">
      <w:pPr>
        <w:jc w:val="both"/>
      </w:pPr>
      <w:r>
        <w:t xml:space="preserve">Notation: Rule extensions </w:t>
      </w:r>
      <w:r w:rsidRPr="00472760">
        <w:t> </w:t>
      </w:r>
      <w:hyperlink r:id="rId9" w:tooltip="Golly (program)" w:history="1">
        <w:r w:rsidRPr="00472760">
          <w:rPr>
            <w:rStyle w:val="Hyperlink"/>
          </w:rPr>
          <w:t>Golly</w:t>
        </w:r>
      </w:hyperlink>
      <w:r w:rsidRPr="00472760">
        <w:t> open-source cellular automaton package </w:t>
      </w:r>
    </w:p>
    <w:p w14:paraId="55012839" w14:textId="58D58107" w:rsidR="00244BD9" w:rsidRDefault="00244BD9" w:rsidP="004D46C2">
      <w:pPr>
        <w:jc w:val="both"/>
      </w:pPr>
    </w:p>
    <w:p w14:paraId="11C3C4E2" w14:textId="264FD49A" w:rsidR="009C10D2" w:rsidRDefault="009C10D2" w:rsidP="007A74DA">
      <w:pPr>
        <w:pStyle w:val="Heading1"/>
      </w:pPr>
      <w:r>
        <w:t>Some text blocks</w:t>
      </w:r>
    </w:p>
    <w:p w14:paraId="604DEE24" w14:textId="77777777" w:rsidR="007A74DA" w:rsidRPr="007A74DA" w:rsidRDefault="00244BD9" w:rsidP="007A74DA">
      <w:pPr>
        <w:pStyle w:val="Heading2"/>
      </w:pPr>
      <w:r w:rsidRPr="007A74DA">
        <w:t xml:space="preserve">Movement vs copying. </w:t>
      </w:r>
    </w:p>
    <w:p w14:paraId="11AACBF4" w14:textId="092EB7CD"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w:t>
      </w:r>
      <w:r>
        <w:lastRenderedPageBreak/>
        <w:t xml:space="preserve">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4A94FF26" w14:textId="510D36F6" w:rsidR="007A74DA" w:rsidRDefault="007A74DA" w:rsidP="004D46C2">
      <w:pPr>
        <w:jc w:val="both"/>
      </w:pPr>
    </w:p>
    <w:p w14:paraId="03025343" w14:textId="28B5BD89" w:rsidR="007A74DA" w:rsidRDefault="007A74DA" w:rsidP="007A74DA">
      <w:pPr>
        <w:pStyle w:val="Heading2"/>
      </w:pPr>
      <w:r>
        <w:t>3D GoL Extension</w:t>
      </w:r>
    </w:p>
    <w:p w14:paraId="5F34FE2B" w14:textId="54BCCE4F"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proofErr w:type="spellStart"/>
      <w:r>
        <w:t>totalistic</w:t>
      </w:r>
      <w:proofErr w:type="spellEnd"/>
      <w:r>
        <w:t xml:space="preserve"> rules with 26 neighbours there were strong constraints for rules that exhibited the central properties of the game of life:</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w:t>
      </w:r>
      <w:r w:rsidRPr="007A74DA">
        <w:rPr>
          <w:i/>
          <w:sz w:val="21"/>
          <w:szCs w:val="21"/>
          <w:lang w:val="en-US"/>
        </w:rPr>
        <w:t xml:space="preserve"> </w:t>
      </w:r>
      <w:r w:rsidRPr="007A74DA">
        <w:rPr>
          <w:i/>
          <w:sz w:val="21"/>
          <w:szCs w:val="21"/>
          <w:lang w:val="en-US"/>
        </w:rPr>
        <w:t>of Life" if and only if both</w:t>
      </w:r>
      <w:r w:rsidRPr="007A74DA">
        <w:rPr>
          <w:i/>
          <w:sz w:val="21"/>
          <w:szCs w:val="21"/>
          <w:lang w:val="en-US"/>
        </w:rPr>
        <w:t xml:space="preserve"> </w:t>
      </w:r>
      <w:r w:rsidRPr="007A74DA">
        <w:rPr>
          <w:i/>
          <w:sz w:val="21"/>
          <w:szCs w:val="21"/>
          <w:lang w:val="en-US"/>
        </w:rPr>
        <w:t>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w:t>
      </w:r>
      <w:r w:rsidRPr="007A74DA">
        <w:rPr>
          <w:i/>
          <w:sz w:val="21"/>
          <w:szCs w:val="21"/>
          <w:lang w:val="en-US"/>
        </w:rPr>
        <w:t>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w:t>
      </w:r>
      <w:r w:rsidRPr="007A74DA">
        <w:rPr>
          <w:i/>
          <w:sz w:val="21"/>
          <w:szCs w:val="21"/>
          <w:lang w:val="en-US"/>
        </w:rPr>
        <w:t xml:space="preserve"> </w:t>
      </w:r>
      <w:r w:rsidRPr="007A74DA">
        <w:rPr>
          <w:i/>
          <w:sz w:val="21"/>
          <w:szCs w:val="21"/>
          <w:lang w:val="en-US"/>
        </w:rPr>
        <w:t>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w:t>
      </w:r>
      <w:r w:rsidRPr="007A74DA">
        <w:rPr>
          <w:i/>
          <w:sz w:val="21"/>
          <w:szCs w:val="21"/>
          <w:lang w:val="en-US"/>
        </w:rPr>
        <w:t xml:space="preserve"> </w:t>
      </w:r>
      <w:r w:rsidRPr="007A74DA">
        <w:rPr>
          <w:i/>
          <w:sz w:val="21"/>
          <w:szCs w:val="21"/>
          <w:lang w:val="en-US"/>
        </w:rPr>
        <w:t>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32C7CD74"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 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totalistic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face-cent</w:t>
      </w:r>
      <w:r w:rsidR="00326705">
        <w:rPr>
          <w:sz w:val="21"/>
          <w:szCs w:val="21"/>
          <w:lang w:val="en-US"/>
        </w:rPr>
        <w:t>e</w:t>
      </w:r>
      <w:r w:rsidR="00326705">
        <w:rPr>
          <w:sz w:val="21"/>
          <w:szCs w:val="21"/>
          <w:lang w:val="en-US"/>
        </w:rPr>
        <w:t>red (6)</w:t>
      </w:r>
      <w:r w:rsidR="00326705">
        <w:rPr>
          <w:sz w:val="21"/>
          <w:szCs w:val="21"/>
          <w:lang w:val="en-US"/>
        </w:rPr>
        <w:t>,</w:t>
      </w:r>
      <w:r w:rsidR="00326705">
        <w:rPr>
          <w:sz w:val="21"/>
          <w:szCs w:val="21"/>
          <w:lang w:val="en-US"/>
        </w:rPr>
        <w:t xml:space="preserve">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bookmarkStart w:id="2" w:name="_GoBack"/>
      <w:bookmarkEnd w:id="2"/>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rman Packard" w:date="2018-10-29T14:21:00Z" w:initials="NP">
    <w:p w14:paraId="0F424B61" w14:textId="2AF2E009" w:rsidR="00361D60" w:rsidRDefault="00361D60">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1" w:author="John S. McCaskill" w:date="2018-11-23T08:52:00Z" w:initials="JSM">
    <w:p w14:paraId="09FBC860" w14:textId="038D3EBB" w:rsidR="003B4994" w:rsidRDefault="003B4994">
      <w:pPr>
        <w:pStyle w:val="CommentText"/>
      </w:pPr>
      <w:r>
        <w:rPr>
          <w:rStyle w:val="CommentReference"/>
        </w:rPr>
        <w:annotationRef/>
      </w:r>
      <w:r>
        <w:t xml:space="preserve">The difference between </w:t>
      </w:r>
      <w:r w:rsidR="00244BD9">
        <w:t xml:space="preserve">birth with </w:t>
      </w:r>
      <w:r>
        <w:t xml:space="preserve">B and b is that B refers to the </w:t>
      </w:r>
      <w:proofErr w:type="spellStart"/>
      <w:r>
        <w:t>gol</w:t>
      </w:r>
      <w:proofErr w:type="spellEnd"/>
      <w:r>
        <w:t xml:space="preserve"> state and </w:t>
      </w:r>
      <w:r w:rsidR="00244BD9">
        <w:t xml:space="preserve">b refers to the gene state. Whereas for </w:t>
      </w:r>
      <w:proofErr w:type="spellStart"/>
      <w:r w:rsidR="00244BD9">
        <w:t>gol</w:t>
      </w:r>
      <w:proofErr w:type="spellEnd"/>
      <w:r w:rsidR="00244BD9">
        <w:t xml:space="preserve"> state birth, the genes are always copied, for </w:t>
      </w:r>
      <w:proofErr w:type="spellStart"/>
      <w:r w:rsidR="00244BD9">
        <w:t>gol</w:t>
      </w:r>
      <w:proofErr w:type="spellEnd"/>
      <w:r w:rsidR="00244BD9">
        <w:t xml:space="preserve"> state survival the genes may be left as they are or overwritten. The latter is a kind of birth (Moran) and signified by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24B61" w15:done="0"/>
  <w15:commentEx w15:paraId="09FBC860" w15:paraIdParent="0F424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24B61" w16cid:durableId="1FA14D5F"/>
  <w16cid:commentId w16cid:paraId="09FBC860" w16cid:durableId="1FA23E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C6B34" w14:textId="77777777" w:rsidR="0042343C" w:rsidRDefault="0042343C" w:rsidP="00742744">
      <w:r>
        <w:separator/>
      </w:r>
    </w:p>
  </w:endnote>
  <w:endnote w:type="continuationSeparator" w:id="0">
    <w:p w14:paraId="45FE4A56" w14:textId="77777777" w:rsidR="0042343C" w:rsidRDefault="0042343C" w:rsidP="0074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AF43" w14:textId="77777777" w:rsidR="0042343C" w:rsidRDefault="0042343C" w:rsidP="00742744">
      <w:r>
        <w:separator/>
      </w:r>
    </w:p>
  </w:footnote>
  <w:footnote w:type="continuationSeparator" w:id="0">
    <w:p w14:paraId="32E16889" w14:textId="77777777" w:rsidR="0042343C" w:rsidRDefault="0042343C" w:rsidP="007427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0B7"/>
    <w:rsid w:val="000612D7"/>
    <w:rsid w:val="00084C86"/>
    <w:rsid w:val="00117198"/>
    <w:rsid w:val="001E1678"/>
    <w:rsid w:val="00244BD9"/>
    <w:rsid w:val="00262C91"/>
    <w:rsid w:val="002C159F"/>
    <w:rsid w:val="00326705"/>
    <w:rsid w:val="00361D60"/>
    <w:rsid w:val="003721FF"/>
    <w:rsid w:val="003A07BB"/>
    <w:rsid w:val="003A09F5"/>
    <w:rsid w:val="003B4994"/>
    <w:rsid w:val="0042343C"/>
    <w:rsid w:val="00472760"/>
    <w:rsid w:val="004D46C2"/>
    <w:rsid w:val="0059237F"/>
    <w:rsid w:val="00613494"/>
    <w:rsid w:val="006A2970"/>
    <w:rsid w:val="00741111"/>
    <w:rsid w:val="00742744"/>
    <w:rsid w:val="007A74DA"/>
    <w:rsid w:val="008B3E51"/>
    <w:rsid w:val="00962570"/>
    <w:rsid w:val="009627FC"/>
    <w:rsid w:val="00983C56"/>
    <w:rsid w:val="009A053B"/>
    <w:rsid w:val="009C10D2"/>
    <w:rsid w:val="009C345B"/>
    <w:rsid w:val="009E0E89"/>
    <w:rsid w:val="00A9011B"/>
    <w:rsid w:val="00AE25C6"/>
    <w:rsid w:val="00AE6CA7"/>
    <w:rsid w:val="00B02C9C"/>
    <w:rsid w:val="00B100C5"/>
    <w:rsid w:val="00B95A4C"/>
    <w:rsid w:val="00BC79B0"/>
    <w:rsid w:val="00BD3C93"/>
    <w:rsid w:val="00BD465A"/>
    <w:rsid w:val="00BD6E9A"/>
    <w:rsid w:val="00C001E2"/>
    <w:rsid w:val="00C040BC"/>
    <w:rsid w:val="00CA3617"/>
    <w:rsid w:val="00D36C36"/>
    <w:rsid w:val="00DE50E6"/>
    <w:rsid w:val="00E152AA"/>
    <w:rsid w:val="00E178A3"/>
    <w:rsid w:val="00E60A63"/>
    <w:rsid w:val="00E972E3"/>
    <w:rsid w:val="00EE30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Golly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S. McCaskill</cp:lastModifiedBy>
  <cp:revision>3</cp:revision>
  <dcterms:created xsi:type="dcterms:W3CDTF">2018-10-29T18:53:00Z</dcterms:created>
  <dcterms:modified xsi:type="dcterms:W3CDTF">2018-11-26T18:32:00Z</dcterms:modified>
</cp:coreProperties>
</file>