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риклад-виконання"/>
    <w:p>
      <w:pPr>
        <w:pStyle w:val="Heading2"/>
      </w:pPr>
      <w:r>
        <w:t xml:space="preserve">Приклад виконання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короткі теоретичні відомості про шифр Цезаря та частотний аналіз;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текст програми з поясненням ключових функцій;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роботи програми: шифрування, дешифрування, визначення ключа;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знімки екрана із сеансом роботи;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 за результатами роботи.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