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421F25"/>
          <w:sz w:val="24"/>
        </w:rPr>
        <w:t>Dominio de la Sierra</w:t>
      </w:r>
    </w:p>
    <w:p>
      <w:r>
        <w:rPr>
          <w:rFonts w:ascii="Calibri" w:hAnsi="Calibri" w:eastAsia="Calibri"/>
          <w:b/>
          <w:color w:val="421F25"/>
          <w:sz w:val="44"/>
        </w:rPr>
        <w:t>Manual técnico de uso de la API</w:t>
      </w:r>
    </w:p>
    <w:p>
      <w:r>
        <w:rPr>
          <w:rFonts w:ascii="Calibri" w:hAnsi="Calibri" w:eastAsia="Calibri"/>
          <w:b w:val="0"/>
          <w:color w:val="5C5450"/>
          <w:sz w:val="20"/>
        </w:rPr>
        <w:t>Versión 1.0  ·  27/09/2026  ·  Contrato HTTP /api/v1  ·  Uso interno de desarrollo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Este documento describe cómo arrancar, invocar y interpretar la API pública de catálogo en el estado actual del sistema. No cubre pedidos, pagos, facturación ni VeriFactu: esos módulos no están implementados todavía.</w:t>
      </w:r>
    </w:p>
    <w:p>
      <w:pPr>
        <w:pStyle w:val="Heading1"/>
      </w:pPr>
      <w:r>
        <w:rPr>
          <w:rFonts w:ascii="Calibri" w:hAnsi="Calibri"/>
          <w:color w:val="421F25"/>
        </w:rPr>
        <w:t>1. Alcance actual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La API expone un único recurso de lectura para el catálogo de ecommerce: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/api/v1/products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El backend es la fuente de verdad de precios, IVA, visibilidad (Active) y paginación. El cliente (Angular, Swagger, Postman o scripts) no debe recalcular el catálogo ni enviar precios.</w:t>
      </w:r>
    </w:p>
    <w:p>
      <w:pPr>
        <w:pStyle w:val="Heading1"/>
      </w:pPr>
      <w:r>
        <w:rPr>
          <w:rFonts w:ascii="Calibri" w:hAnsi="Calibri"/>
          <w:color w:val="421F25"/>
        </w:rPr>
        <w:t>2. Entorno local</w:t>
      </w:r>
    </w:p>
    <w:p>
      <w:pPr>
        <w:pStyle w:val="Heading2"/>
      </w:pPr>
      <w:r>
        <w:rPr>
          <w:rFonts w:ascii="Calibri" w:hAnsi="Calibri"/>
          <w:color w:val="421F25"/>
        </w:rPr>
        <w:t>2.1 Requisitos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Runtime API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.NET 10 / ASP.NET Core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Base de datos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PostgreSQL 17 (Docker)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Contenedor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dominio-sierra-postgres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Base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dominio_sierra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Usuario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dominio_sierra_app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Contraseña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Variable POSTGRES_PASSWORD en el archivo .env de la raíz (nunca en Git)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Puerto Postgres (host)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5432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Puerto API (perfil http)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5141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21F25"/>
        </w:rPr>
        <w:t>2.2 Arranque</w:t>
      </w:r>
    </w:p>
    <w:p>
      <w:pPr>
        <w:spacing w:after="80"/>
      </w:pPr>
      <w:r>
        <w:rPr>
          <w:rFonts w:ascii="Calibri" w:hAnsi="Calibri" w:eastAsia="Calibri"/>
          <w:b/>
          <w:color w:val="1D1917"/>
          <w:sz w:val="22"/>
        </w:rPr>
        <w:t>PostgreSQL: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cd C:\Users\Aerus\Desktop\Dominio</w:t>
        <w:br/>
        <w:t>docker compose up -d</w:t>
        <w:br/>
        <w:t>docker ps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Comprobar que el contenedor aparece como healthy.</w:t>
      </w:r>
    </w:p>
    <w:p>
      <w:pPr>
        <w:spacing w:after="80"/>
      </w:pPr>
      <w:r>
        <w:rPr>
          <w:rFonts w:ascii="Calibri" w:hAnsi="Calibri" w:eastAsia="Calibri"/>
          <w:b/>
          <w:color w:val="1D1917"/>
          <w:sz w:val="22"/>
        </w:rPr>
        <w:t>API (perfil HTTP, el que usa Angular y Swagger en local):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cd C:\Users\Aerus\Desktop\Dominio\C#</w:t>
        <w:br/>
        <w:t>&amp; "C:\Program Files\dotnet\dotnet.exe" run --project src\DominioDeLaSierra.Api --launch-profile http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Cuando el log muestre la siguiente línea, la API está lista: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Now listening on: http://localhost:5141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También se puede ejecutar el proyecto DominioDeLaSierra.Api desde Cursor o Visual Studio eligiendo el perfil de arranque «http».</w:t>
      </w:r>
    </w:p>
    <w:p>
      <w:pPr>
        <w:pStyle w:val="Heading1"/>
      </w:pPr>
      <w:r>
        <w:rPr>
          <w:rFonts w:ascii="Calibri" w:hAnsi="Calibri"/>
          <w:color w:val="421F25"/>
        </w:rPr>
        <w:t>3. URL base y convenciones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Base URL (desarrollo HTTP)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http://localhost:5141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Prefijo de versión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/api/v1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Formato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JSON (camelCase)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Autenticación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Ninguna en esta versión. El catálogo es de lectura pública.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HTTPS en desarrollo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Desactivado en el perfil de Development para no romper llamadas desde Angular en HTTP.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CORS permitido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http://localhost:4200 y http://127.0.0.1:4200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OpenAPI / Swagger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http://localhost:5141/swagger (solo Development)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En producción la API se publicará en api.dominiodelasierra.com bajo HTTPS. Este documento cubre únicamente el entorno de desarrollo actual.</w:t>
      </w:r>
    </w:p>
    <w:p>
      <w:pPr>
        <w:pStyle w:val="Heading1"/>
      </w:pPr>
      <w:r>
        <w:rPr>
          <w:rFonts w:ascii="Calibri" w:hAnsi="Calibri"/>
          <w:color w:val="421F25"/>
        </w:rPr>
        <w:t>4. Recurso: catálogo de productos</w:t>
      </w:r>
    </w:p>
    <w:p>
      <w:pPr>
        <w:pStyle w:val="Heading2"/>
      </w:pPr>
      <w:r>
        <w:rPr>
          <w:rFonts w:ascii="Calibri" w:hAnsi="Calibri"/>
          <w:color w:val="421F25"/>
        </w:rPr>
        <w:t>4.1 Operación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Método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GET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Ruta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/api/v1/products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URL completa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http://localhost:5141/api/v1/products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Descripción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Lista paginada de productos activos cuya categoría también está activa.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21F25"/>
        </w:rPr>
        <w:t>4.2 Parámetros de consulta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Todos son opcionales. Se envían en la query string.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436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36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 defecto</w:t>
            </w:r>
          </w:p>
        </w:tc>
        <w:tc>
          <w:tcPr>
            <w:tcW w:type="dxa" w:w="2436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Reglas</w:t>
            </w:r>
          </w:p>
        </w:tc>
      </w:tr>
      <w:tr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1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Debe ser ≥ 1.</w:t>
            </w:r>
          </w:p>
        </w:tc>
      </w:tr>
      <w:tr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pageSize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24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Entre 1 y 100 (inclusive).</w:t>
            </w:r>
          </w:p>
        </w:tc>
      </w:tr>
      <w:tr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search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—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Búsqueda insensible a mayúsculas sobre Name, Reference y Slug (PostgreSQL ILIKE).</w:t>
            </w:r>
          </w:p>
        </w:tc>
      </w:tr>
      <w:tr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category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—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Slug de categoría, por ejemplo tintos. No es el UUID.</w:t>
            </w:r>
          </w:p>
        </w:tc>
      </w:tr>
      <w:tr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minPrice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decimal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—</w:t>
            </w:r>
          </w:p>
        </w:tc>
        <w:tc>
          <w:tcPr>
            <w:tcW w:type="dxa" w:w="24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Precio mínimo inclusive. No negativo.</w:t>
            </w:r>
          </w:p>
        </w:tc>
      </w:tr>
      <w:tr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maxPrice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decimal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—</w:t>
            </w:r>
          </w:p>
        </w:tc>
        <w:tc>
          <w:tcPr>
            <w:tcW w:type="dxa" w:w="2436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Precio máximo inclusive. No negativo. No puede ser menor que minPrice.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21F25"/>
        </w:rPr>
        <w:t>4.3 Ejemplos de petición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Listado estándar (24 ítems por página):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http://localhost:5141/api/v1/products?page=1&amp;pageSize=24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Búsqueda: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http://localhost:5141/api/v1/products?search=crianza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Filtro por categoría: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http://localhost:5141/api/v1/products?category=tintos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Rango de precio: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http://localhost:5141/api/v1/products?minPrice=10&amp;maxPrice=30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Combinado: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http://localhost:5141/api/v1/products?page=1&amp;pageSize=24&amp;category=tintos&amp;minPrice=10</w:t>
      </w:r>
    </w:p>
    <w:p>
      <w:pPr>
        <w:pStyle w:val="Heading2"/>
      </w:pPr>
      <w:r>
        <w:rPr>
          <w:rFonts w:ascii="Calibri" w:hAnsi="Calibri"/>
          <w:color w:val="421F25"/>
        </w:rPr>
        <w:t>4.4 Respuesta 200 OK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Cuerpo JSON: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{</w:t>
        <w:br/>
        <w:t xml:space="preserve">  "items": [</w:t>
        <w:br/>
        <w:t xml:space="preserve">    {</w:t>
        <w:br/>
        <w:t xml:space="preserve">      "id": "22222222-2222-2222-2222-222222222222",</w:t>
        <w:br/>
        <w:t xml:space="preserve">      "reference": "CRZ-001",</w:t>
        <w:br/>
        <w:t xml:space="preserve">      "name": "Vino Crianza",</w:t>
        <w:br/>
        <w:t xml:space="preserve">      "slug": "vino-crianza",</w:t>
        <w:br/>
        <w:t xml:space="preserve">      "description": "Crianza de prueba para el catálogo.",</w:t>
        <w:br/>
        <w:t xml:space="preserve">      "price": 18.90,</w:t>
        <w:br/>
        <w:t xml:space="preserve">      "vatRate": 21.00,</w:t>
        <w:br/>
        <w:t xml:space="preserve">      "categoryId": "11111111-1111-1111-1111-111111111111",</w:t>
        <w:br/>
        <w:t xml:space="preserve">      "categoryName": "Tintos",</w:t>
        <w:br/>
        <w:t xml:space="preserve">      "categorySlug": "tintos"</w:t>
        <w:br/>
        <w:t xml:space="preserve">    }</w:t>
        <w:br/>
        <w:t xml:space="preserve">  ],</w:t>
        <w:br/>
        <w:t xml:space="preserve">  "page": 1,</w:t>
        <w:br/>
        <w:t xml:space="preserve">  "pageSize": 24,</w:t>
        <w:br/>
        <w:t xml:space="preserve">  "totalItems": 1,</w:t>
        <w:br/>
        <w:t xml:space="preserve">  "totalPages": 1</w:t>
        <w:br/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array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Productos de la página actual. Vacío si no hay coincidencias.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Página solicitada.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pageSize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Tamaño de página aplicado.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totalItems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Total de coincidencias en PostgreSQL (no solo la página).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totalPages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int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Número de páginas. 0 si totalItems es 0.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items[].id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uuid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Identificador del producto.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items[].reference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Referencia única de bodega.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items[].name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Nombre comercial.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items[].slug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Slug único para URL pública (/vinos/{slug}).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items[].description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Descripción almacenada.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items[].price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number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Precio con 2 decimales (numeric 12,2).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items[].vatRate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number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Tipo de IVA (numeric 5,2). Informativo en listado.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items[].categoryId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uuid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FK a Categories.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items[].categoryName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Nombre de categoría (join).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items[].categorySlug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string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Slug de categoría para filtros.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Solo se devuelven productos con Active = true y categoría Active = true. No hay borrado físico de productos con histórico; se desactivan.</w:t>
      </w:r>
    </w:p>
    <w:p>
      <w:pPr>
        <w:pStyle w:val="Heading2"/>
      </w:pPr>
      <w:r>
        <w:rPr>
          <w:rFonts w:ascii="Calibri" w:hAnsi="Calibri"/>
          <w:color w:val="421F25"/>
        </w:rPr>
        <w:t>4.5 Errores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3249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Cuerpo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200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Petición válida, aunque items esté vacío.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PagedResult descrito arriba.</w:t>
            </w:r>
          </w:p>
        </w:tc>
      </w:tr>
      <w:tr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400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page &lt; 1; pageSize fuera de 1–100; precios negativos; minPrice &gt; maxPrice.</w:t>
            </w:r>
          </w:p>
        </w:tc>
        <w:tc>
          <w:tcPr>
            <w:tcW w:type="dxa" w:w="3249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{ "error": "mensaje" }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500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Fallo interno (por ejemplo, PostgreSQL caído o contraseña no configurada).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Problema de infraestructura; revisar logs de la API.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Ejemplo de 400: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GET http://localhost:5141/api/v1/products?page=0</w:t>
      </w:r>
    </w:p>
    <w:p>
      <w:pPr>
        <w:pStyle w:val="Heading1"/>
      </w:pPr>
      <w:r>
        <w:rPr>
          <w:rFonts w:ascii="Calibri" w:hAnsi="Calibri"/>
          <w:color w:val="421F25"/>
        </w:rPr>
        <w:t>5. Cómo probarla</w:t>
      </w:r>
    </w:p>
    <w:p>
      <w:pPr>
        <w:pStyle w:val="Heading2"/>
      </w:pPr>
      <w:r>
        <w:rPr>
          <w:rFonts w:ascii="Calibri" w:hAnsi="Calibri"/>
          <w:color w:val="421F25"/>
        </w:rPr>
        <w:t>5.1 Swagger UI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Abrir en el navegador: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http://localhost:5141/swagger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Expandir GET /api/v1/products → Try it out → rellenar parámetros → Execute. Se ve el código HTTP y el JSON.</w:t>
      </w:r>
    </w:p>
    <w:p>
      <w:pPr>
        <w:pStyle w:val="Heading2"/>
      </w:pPr>
      <w:r>
        <w:rPr>
          <w:rFonts w:ascii="Calibri" w:hAnsi="Calibri"/>
          <w:color w:val="421F25"/>
        </w:rPr>
        <w:t>5.2 Navegador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Pegar la URL GET en la barra de direcciones. El JSON se muestra en crudo. Sirve para una comprobación rápida de 200.</w:t>
      </w:r>
    </w:p>
    <w:p>
      <w:pPr>
        <w:pStyle w:val="Heading2"/>
      </w:pPr>
      <w:r>
        <w:rPr>
          <w:rFonts w:ascii="Calibri" w:hAnsi="Calibri"/>
          <w:color w:val="421F25"/>
        </w:rPr>
        <w:t>5.3 PowerShell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Invoke-RestMethod "http://localhost:5141/api/v1/products?page=1&amp;pageSize=24" | ConvertTo-Json -Depth 5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Comprobar un 400: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try { Invoke-WebRequest "http://localhost:5141/api/v1/products?page=0" -UseBasicParsing } catch { $_.Exception.Response.StatusCode.value__ }</w:t>
      </w:r>
    </w:p>
    <w:p>
      <w:pPr>
        <w:pStyle w:val="Heading2"/>
      </w:pPr>
      <w:r>
        <w:rPr>
          <w:rFonts w:ascii="Calibri" w:hAnsi="Calibri"/>
          <w:color w:val="421F25"/>
        </w:rPr>
        <w:t>5.4 curl (Git Bash o WSL)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curl -s "http://localhost:5141/api/v1/products?category=tintos"</w:t>
      </w:r>
    </w:p>
    <w:p>
      <w:pPr>
        <w:pStyle w:val="Heading2"/>
      </w:pPr>
      <w:r>
        <w:rPr>
          <w:rFonts w:ascii="Calibri" w:hAnsi="Calibri"/>
          <w:color w:val="421F25"/>
        </w:rPr>
        <w:t>5.5 Angular (circuito completo)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Con la API en 5141 y el front en Angular/web (`npm start`), el catálogo llama a este mismo GET. Comprobar:</w:t>
      </w:r>
    </w:p>
    <w:p>
      <w:pPr>
        <w:spacing w:after="200"/>
        <w:ind w:left="283"/>
      </w:pPr>
      <w:r>
        <w:rPr>
          <w:rFonts w:ascii="Consolas" w:hAnsi="Consolas" w:eastAsia="Consolas"/>
          <w:b w:val="0"/>
          <w:color w:val="1D1917"/>
          <w:sz w:val="19"/>
        </w:rPr>
        <w:t>http://localhost:4200/vinos</w:t>
        <w:br/>
        <w:t>http://localhost:4200/vinos/vino-crianza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Dato de referencia actual en base de datos de desarrollo: producto CRZ-001 / Vino Crianza / 18,90 € / categoría tintos. Si Swagger lo muestra y Angular no, revisar que el front use el origen permitido por CORS y que la API esté en el puerto 5141.</w:t>
      </w:r>
    </w:p>
    <w:p>
      <w:pPr>
        <w:pStyle w:val="Heading1"/>
      </w:pPr>
      <w:r>
        <w:rPr>
          <w:rFonts w:ascii="Calibri" w:hAnsi="Calibri"/>
          <w:color w:val="421F25"/>
        </w:rPr>
        <w:t>6. Contratos que el cliente no debe hacer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• No enviar price, vatRate ni totales en un futuro POST de pedido; el servidor recalculará.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• No usar entidades EF ni el modelo de PostgreSQL como contrato; el contrato es el DTO JSON de esta API.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• No asumir 1 pedido = 1 factura ni campos Stripe dentro de Order (módulos futuros).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• No existe todavía GET /api/v1/products/{slug}. La ficha Angular resuelve el slug sobre el listado cargado.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• No existe autenticación ni /api/v1/admin en esta versión.</w:t>
      </w:r>
    </w:p>
    <w:p>
      <w:pPr>
        <w:pStyle w:val="Heading1"/>
      </w:pPr>
      <w:r>
        <w:rPr>
          <w:rFonts w:ascii="Calibri" w:hAnsi="Calibri"/>
          <w:color w:val="421F25"/>
        </w:rPr>
        <w:t>7. Diagnóstico rápido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4873"/>
            <w:shd w:fill="421F2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Comprobación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No connection / no escucha 5141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Arrancar la API con --launch-profile http. Confirmar Now listening on.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Error de contraseña PostgreSQL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Existe .env en la raíz del repo con POSTGRES_PASSWORD. No está en appsettings.json.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relation does not exist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Aplicar migraciones EF (InitialCatalog). Deben existir Categories, Products, __EFMigrationsHistory.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items: [] con 200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No hay productos Active, la categoría está inactiva, o el filtro no coincide. Probar sin query.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CORS en el navegador Angular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Origen del front debe ser localhost:4200 o 127.0.0.1:4200. Recargar tras reiniciar la API.</w:t>
            </w:r>
          </w:p>
        </w:tc>
      </w:tr>
      <w:tr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Redirect a HTTPS / certificado</w:t>
            </w:r>
          </w:p>
        </w:tc>
        <w:tc>
          <w:tcPr>
            <w:tcW w:type="dxa" w:w="4873"/>
            <w:shd w:fill="F7F3EE" w:val="clear"/>
          </w:tcPr>
          <w:p>
            <w:r/>
            <w:r>
              <w:rPr>
                <w:rFonts w:ascii="Calibri" w:hAnsi="Calibri" w:eastAsia="Calibri"/>
                <w:b w:val="0"/>
                <w:color w:val="1D1917"/>
                <w:sz w:val="20"/>
              </w:rPr>
              <w:t>Usar el perfil http (puerto 5141), no mezclar llamadas HTTP con redirección HTTPS.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421F25"/>
        </w:rPr>
        <w:t>8. Control de versiones del contrato</w:t>
      </w:r>
    </w:p>
    <w:p>
      <w:pPr>
        <w:spacing w:after="160"/>
      </w:pPr>
      <w:r>
        <w:rPr>
          <w:rFonts w:ascii="Calibri" w:hAnsi="Calibri" w:eastAsia="Calibri"/>
          <w:b w:val="0"/>
          <w:color w:val="1D1917"/>
          <w:sz w:val="22"/>
        </w:rPr>
        <w:t>Cualquier cambio incompatible (renombrar campos, cambiar el significado de category, alterar la paginación) debe versionarse bajo /api/v2 o documentarse como ruptura. Mientras el prefijo sea /api/v1, los clientes pueden depender de los nombres camelCase de este documento.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5C5450"/>
        <w:sz w:val="16"/>
      </w:rPr>
      <w:t>Dominio de la Sierra  ·  Manual técnico de uso de la API v1.0  ·  Confidencial /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