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F9701" w14:textId="77777777" w:rsidR="00027053" w:rsidRDefault="00E6510B" w:rsidP="00027053">
      <w:pPr>
        <w:pStyle w:val="Articletitle"/>
        <w:jc w:val="center"/>
      </w:pPr>
      <w:bookmarkStart w:id="0" w:name="_GoBack"/>
      <w:bookmarkEnd w:id="0"/>
      <w:r>
        <w:t xml:space="preserve">Are Language-disadvantaged Students at a Higher Risk of Dropping Out of School? </w:t>
      </w:r>
      <w:r w:rsidR="00027053">
        <w:t>Evidence from Paraguay</w:t>
      </w:r>
    </w:p>
    <w:p w14:paraId="58ED563E" w14:textId="3116FDF5" w:rsidR="00661045" w:rsidRDefault="00661045" w:rsidP="00A222C6">
      <w:pPr>
        <w:pStyle w:val="Articletitle"/>
        <w:jc w:val="center"/>
      </w:pPr>
    </w:p>
    <w:p w14:paraId="24127AB7" w14:textId="40810279" w:rsidR="00442B9C" w:rsidRPr="001A3F5E" w:rsidRDefault="00A222C6" w:rsidP="009914A5">
      <w:pPr>
        <w:pStyle w:val="Authornames"/>
        <w:rPr>
          <w:lang w:val="en-US"/>
        </w:rPr>
      </w:pPr>
      <w:r w:rsidRPr="001A3F5E">
        <w:rPr>
          <w:lang w:val="en-US"/>
        </w:rPr>
        <w:t>Lyliana Gayoso de Ervin</w:t>
      </w:r>
      <w:r w:rsidR="004F428E" w:rsidRPr="001A3F5E">
        <w:rPr>
          <w:vertAlign w:val="superscript"/>
          <w:lang w:val="en-US"/>
        </w:rPr>
        <w:t>a</w:t>
      </w:r>
      <w:r w:rsidR="004F428E" w:rsidRPr="001A3F5E">
        <w:rPr>
          <w:lang w:val="en-US"/>
        </w:rPr>
        <w:t xml:space="preserve">* </w:t>
      </w:r>
    </w:p>
    <w:p w14:paraId="73FA916C" w14:textId="761DE970" w:rsidR="00A222C6" w:rsidRPr="001A3F5E" w:rsidRDefault="00B64FA3" w:rsidP="00A2360E">
      <w:pPr>
        <w:pStyle w:val="Affiliation"/>
        <w:rPr>
          <w:lang w:val="en-US"/>
        </w:rPr>
      </w:pPr>
      <w:r w:rsidRPr="001A3F5E">
        <w:rPr>
          <w:vertAlign w:val="superscript"/>
          <w:lang w:val="en-US"/>
        </w:rPr>
        <w:t>a</w:t>
      </w:r>
      <w:r w:rsidR="00A222C6" w:rsidRPr="001A3F5E">
        <w:rPr>
          <w:vertAlign w:val="superscript"/>
          <w:lang w:val="en-US"/>
        </w:rPr>
        <w:t xml:space="preserve"> </w:t>
      </w:r>
      <w:r w:rsidR="006F5E17" w:rsidRPr="001A3F5E">
        <w:rPr>
          <w:lang w:val="en-US"/>
        </w:rPr>
        <w:t>Center for Economics and Human Development</w:t>
      </w:r>
      <w:r w:rsidRPr="001A3F5E">
        <w:rPr>
          <w:lang w:val="en-US"/>
        </w:rPr>
        <w:t xml:space="preserve">, </w:t>
      </w:r>
      <w:r w:rsidR="00A222C6" w:rsidRPr="001A3F5E">
        <w:rPr>
          <w:lang w:val="en-US"/>
        </w:rPr>
        <w:t>Asunción</w:t>
      </w:r>
      <w:r w:rsidRPr="001A3F5E">
        <w:rPr>
          <w:lang w:val="en-US"/>
        </w:rPr>
        <w:t xml:space="preserve">, </w:t>
      </w:r>
      <w:r w:rsidR="00A222C6" w:rsidRPr="001A3F5E">
        <w:rPr>
          <w:lang w:val="en-US"/>
        </w:rPr>
        <w:t>Paraguay</w:t>
      </w:r>
    </w:p>
    <w:p w14:paraId="6EA9DF5B" w14:textId="77777777" w:rsidR="000A4428" w:rsidRDefault="005C056D" w:rsidP="00A2360E">
      <w:pPr>
        <w:pStyle w:val="Correspondencedetails"/>
      </w:pPr>
      <w:r>
        <w:t>*</w:t>
      </w:r>
      <w:r w:rsidR="00A222C6">
        <w:t>C</w:t>
      </w:r>
      <w:r w:rsidR="00C14585">
        <w:t>orresponding author</w:t>
      </w:r>
      <w:r w:rsidR="00A222C6">
        <w:t xml:space="preserve">. Email: </w:t>
      </w:r>
      <w:hyperlink r:id="rId8" w:history="1">
        <w:r w:rsidR="00A222C6" w:rsidRPr="00EB7A32">
          <w:rPr>
            <w:rStyle w:val="Hyperlink"/>
          </w:rPr>
          <w:t>lgayoso@cedeh.org.py</w:t>
        </w:r>
      </w:hyperlink>
      <w:r w:rsidR="00A222C6">
        <w:t xml:space="preserve">, </w:t>
      </w:r>
      <w:hyperlink r:id="rId9" w:history="1">
        <w:r w:rsidR="00A222C6" w:rsidRPr="00EB7A32">
          <w:rPr>
            <w:rStyle w:val="Hyperlink"/>
          </w:rPr>
          <w:t>lyligayoso@gmail.com</w:t>
        </w:r>
      </w:hyperlink>
      <w:r w:rsidR="00A222C6">
        <w:t xml:space="preserve"> </w:t>
      </w:r>
    </w:p>
    <w:p w14:paraId="1541325E" w14:textId="646C5C7E" w:rsidR="00A222C6" w:rsidRDefault="00C14585" w:rsidP="00A222C6">
      <w:pPr>
        <w:pStyle w:val="Articletitle"/>
        <w:jc w:val="center"/>
      </w:pPr>
      <w:r>
        <w:br w:type="page"/>
      </w:r>
      <w:r w:rsidR="001D3379">
        <w:lastRenderedPageBreak/>
        <w:t>Are</w:t>
      </w:r>
      <w:r w:rsidR="00C77897">
        <w:t xml:space="preserve"> </w:t>
      </w:r>
      <w:r w:rsidR="00A222C6">
        <w:t>Language-disadvantaged Students</w:t>
      </w:r>
      <w:r w:rsidR="001D3379">
        <w:t xml:space="preserve"> at a Higher </w:t>
      </w:r>
      <w:r w:rsidR="00A222C6">
        <w:t xml:space="preserve">Risk of </w:t>
      </w:r>
      <w:r w:rsidR="001D3379">
        <w:t xml:space="preserve">Dropping Out of School? </w:t>
      </w:r>
      <w:r w:rsidR="00027053">
        <w:t>Evidence from Paraguay</w:t>
      </w:r>
    </w:p>
    <w:p w14:paraId="0135F55A" w14:textId="77777777" w:rsidR="00C246C5" w:rsidRDefault="00C246C5" w:rsidP="009B24B5">
      <w:pPr>
        <w:pStyle w:val="Articletitle"/>
      </w:pPr>
    </w:p>
    <w:p w14:paraId="0E122FD3" w14:textId="3AD138E3" w:rsidR="00A222C6" w:rsidRPr="00395B47" w:rsidRDefault="00A222C6" w:rsidP="00395B47">
      <w:pPr>
        <w:pStyle w:val="Keywords"/>
        <w:jc w:val="both"/>
      </w:pPr>
      <w:r w:rsidRPr="00296F31">
        <w:rPr>
          <w:sz w:val="24"/>
        </w:rPr>
        <w:t>Dropping out of school can have serious consequences in a child's future opportunities</w:t>
      </w:r>
      <w:r w:rsidR="004C09D3">
        <w:rPr>
          <w:sz w:val="24"/>
        </w:rPr>
        <w:t xml:space="preserve">, </w:t>
      </w:r>
      <w:r w:rsidR="004C09D3" w:rsidRPr="004C09D3">
        <w:rPr>
          <w:sz w:val="24"/>
        </w:rPr>
        <w:t>widen</w:t>
      </w:r>
      <w:r w:rsidR="004C09D3">
        <w:rPr>
          <w:sz w:val="24"/>
        </w:rPr>
        <w:t>ing</w:t>
      </w:r>
      <w:r w:rsidR="004C09D3" w:rsidRPr="004C09D3">
        <w:rPr>
          <w:sz w:val="24"/>
        </w:rPr>
        <w:t xml:space="preserve"> educational attainment gaps and perpetuat</w:t>
      </w:r>
      <w:r w:rsidR="004C09D3">
        <w:rPr>
          <w:sz w:val="24"/>
        </w:rPr>
        <w:t>ing</w:t>
      </w:r>
      <w:r w:rsidR="004C09D3" w:rsidRPr="004C09D3">
        <w:rPr>
          <w:sz w:val="24"/>
        </w:rPr>
        <w:t xml:space="preserve"> inequalities</w:t>
      </w:r>
      <w:r w:rsidR="004C09D3">
        <w:rPr>
          <w:sz w:val="24"/>
        </w:rPr>
        <w:t>. In developing countries,</w:t>
      </w:r>
      <w:r w:rsidR="00395B47">
        <w:rPr>
          <w:sz w:val="24"/>
        </w:rPr>
        <w:t xml:space="preserve"> </w:t>
      </w:r>
      <w:r w:rsidR="00395B47" w:rsidRPr="00395B47">
        <w:rPr>
          <w:sz w:val="24"/>
        </w:rPr>
        <w:t xml:space="preserve">the </w:t>
      </w:r>
      <w:r w:rsidR="00395B47" w:rsidRPr="00395B47">
        <w:rPr>
          <w:color w:val="000000"/>
          <w:sz w:val="24"/>
        </w:rPr>
        <w:t>mismatch between language of instruction and students’ mother tongue</w:t>
      </w:r>
      <w:r w:rsidR="00395B47">
        <w:rPr>
          <w:color w:val="000000"/>
          <w:sz w:val="24"/>
        </w:rPr>
        <w:t xml:space="preserve"> </w:t>
      </w:r>
      <w:r w:rsidR="00395B47" w:rsidRPr="00395B47">
        <w:rPr>
          <w:sz w:val="24"/>
        </w:rPr>
        <w:t xml:space="preserve">has been recognize as a cause for </w:t>
      </w:r>
      <w:r w:rsidR="00395B47">
        <w:rPr>
          <w:sz w:val="24"/>
        </w:rPr>
        <w:t xml:space="preserve">school </w:t>
      </w:r>
      <w:r w:rsidR="00395B47" w:rsidRPr="00395B47">
        <w:rPr>
          <w:sz w:val="24"/>
        </w:rPr>
        <w:t>dropout</w:t>
      </w:r>
      <w:r w:rsidR="00395B47">
        <w:rPr>
          <w:sz w:val="24"/>
        </w:rPr>
        <w:t xml:space="preserve">. </w:t>
      </w:r>
      <w:r w:rsidR="00535BD4">
        <w:rPr>
          <w:sz w:val="24"/>
        </w:rPr>
        <w:t>However, r</w:t>
      </w:r>
      <w:r w:rsidR="004C09D3">
        <w:rPr>
          <w:sz w:val="24"/>
        </w:rPr>
        <w:t xml:space="preserve">esearch </w:t>
      </w:r>
      <w:r w:rsidR="00535BD4">
        <w:rPr>
          <w:sz w:val="24"/>
        </w:rPr>
        <w:t>examining the</w:t>
      </w:r>
      <w:r w:rsidR="004C09D3">
        <w:rPr>
          <w:sz w:val="24"/>
        </w:rPr>
        <w:t xml:space="preserve"> drop out </w:t>
      </w:r>
      <w:r w:rsidR="00535BD4">
        <w:rPr>
          <w:sz w:val="24"/>
        </w:rPr>
        <w:t xml:space="preserve">behaviour of students with different linguistic backgrounds </w:t>
      </w:r>
      <w:r w:rsidR="004C09D3">
        <w:rPr>
          <w:sz w:val="24"/>
        </w:rPr>
        <w:t xml:space="preserve">is scarce. </w:t>
      </w:r>
      <w:r w:rsidRPr="00296F31">
        <w:rPr>
          <w:sz w:val="24"/>
        </w:rPr>
        <w:t xml:space="preserve">In this study, I </w:t>
      </w:r>
      <w:r w:rsidR="00535BD4" w:rsidRPr="00296F31">
        <w:rPr>
          <w:sz w:val="24"/>
        </w:rPr>
        <w:t>examine if language-disadvantaged students, those who do not speak the language of instruction, are at a higher risk of dropping out of primary school</w:t>
      </w:r>
      <w:r w:rsidR="00535BD4">
        <w:rPr>
          <w:sz w:val="24"/>
        </w:rPr>
        <w:t xml:space="preserve"> in </w:t>
      </w:r>
      <w:r w:rsidR="00535BD4" w:rsidRPr="00296F31">
        <w:rPr>
          <w:sz w:val="24"/>
        </w:rPr>
        <w:t>Paraguay –a bilingual, developing country</w:t>
      </w:r>
      <w:r w:rsidR="00535BD4">
        <w:rPr>
          <w:sz w:val="24"/>
        </w:rPr>
        <w:t xml:space="preserve">. Applying survival </w:t>
      </w:r>
      <w:r w:rsidR="005A56C5">
        <w:rPr>
          <w:sz w:val="24"/>
        </w:rPr>
        <w:t xml:space="preserve">techniques </w:t>
      </w:r>
      <w:r w:rsidR="00535BD4">
        <w:rPr>
          <w:sz w:val="24"/>
        </w:rPr>
        <w:t xml:space="preserve">to household survey data, </w:t>
      </w:r>
      <w:r w:rsidR="005A56C5">
        <w:rPr>
          <w:sz w:val="24"/>
        </w:rPr>
        <w:t>I</w:t>
      </w:r>
      <w:r w:rsidR="00535BD4">
        <w:rPr>
          <w:sz w:val="24"/>
        </w:rPr>
        <w:t xml:space="preserve"> </w:t>
      </w:r>
      <w:r w:rsidRPr="00296F31">
        <w:rPr>
          <w:sz w:val="24"/>
        </w:rPr>
        <w:t>estimated survival functions</w:t>
      </w:r>
      <w:r w:rsidR="005A56C5">
        <w:rPr>
          <w:sz w:val="24"/>
        </w:rPr>
        <w:t xml:space="preserve"> of each language group. The results </w:t>
      </w:r>
      <w:r w:rsidRPr="00296F31">
        <w:rPr>
          <w:sz w:val="24"/>
        </w:rPr>
        <w:t>indicate that language-disadvantaged students, Guaraní speakers, are more likely to leave primary school at any given grade after the second grade</w:t>
      </w:r>
      <w:r w:rsidR="00535BD4">
        <w:rPr>
          <w:sz w:val="24"/>
        </w:rPr>
        <w:t>,</w:t>
      </w:r>
      <w:r w:rsidRPr="00296F31">
        <w:rPr>
          <w:sz w:val="24"/>
        </w:rPr>
        <w:t xml:space="preserve"> compare</w:t>
      </w:r>
      <w:r w:rsidR="00097DD6">
        <w:rPr>
          <w:sz w:val="24"/>
        </w:rPr>
        <w:t>d</w:t>
      </w:r>
      <w:r w:rsidRPr="00296F31">
        <w:rPr>
          <w:sz w:val="24"/>
        </w:rPr>
        <w:t xml:space="preserve"> to Spanish and bilingual speak</w:t>
      </w:r>
      <w:r w:rsidR="00535BD4">
        <w:rPr>
          <w:sz w:val="24"/>
        </w:rPr>
        <w:t>ing students</w:t>
      </w:r>
      <w:r w:rsidRPr="00296F31">
        <w:rPr>
          <w:sz w:val="24"/>
        </w:rPr>
        <w:t xml:space="preserve">. Furthermore, the probability of dropping out of school for Guaraní speakers </w:t>
      </w:r>
      <w:r w:rsidR="00535BD4">
        <w:rPr>
          <w:sz w:val="24"/>
        </w:rPr>
        <w:t>reaches its peak</w:t>
      </w:r>
      <w:r w:rsidRPr="00296F31">
        <w:rPr>
          <w:sz w:val="24"/>
        </w:rPr>
        <w:t xml:space="preserve"> at sixth grade. The results of the hazard models reinforce these findings, indicating that after controlling for a rich set of covariates</w:t>
      </w:r>
      <w:r w:rsidR="00535BD4">
        <w:rPr>
          <w:sz w:val="24"/>
        </w:rPr>
        <w:t>,</w:t>
      </w:r>
      <w:r w:rsidRPr="00296F31">
        <w:rPr>
          <w:sz w:val="24"/>
        </w:rPr>
        <w:t xml:space="preserve"> Guaraní speakers are more likely to leave primary school at any given year. These findings prompt further consideration of differential </w:t>
      </w:r>
      <w:r w:rsidR="00FE43C6">
        <w:rPr>
          <w:sz w:val="24"/>
        </w:rPr>
        <w:t xml:space="preserve">retention </w:t>
      </w:r>
      <w:r w:rsidRPr="00296F31">
        <w:rPr>
          <w:sz w:val="24"/>
        </w:rPr>
        <w:t xml:space="preserve">intervention approaches in countries with </w:t>
      </w:r>
      <w:r w:rsidR="00535BD4">
        <w:rPr>
          <w:sz w:val="24"/>
        </w:rPr>
        <w:t>language diversity</w:t>
      </w:r>
      <w:r w:rsidRPr="00296F31">
        <w:rPr>
          <w:sz w:val="24"/>
        </w:rPr>
        <w:t>.</w:t>
      </w:r>
    </w:p>
    <w:p w14:paraId="6AC178FC" w14:textId="45EDB89B" w:rsidR="0020415E" w:rsidRPr="00296F31" w:rsidRDefault="00997B0F" w:rsidP="00A222C6">
      <w:pPr>
        <w:pStyle w:val="Keywords"/>
        <w:rPr>
          <w:sz w:val="24"/>
        </w:rPr>
      </w:pPr>
      <w:r w:rsidRPr="00296F31">
        <w:rPr>
          <w:sz w:val="24"/>
        </w:rPr>
        <w:t xml:space="preserve">Keywords: </w:t>
      </w:r>
      <w:r w:rsidR="007A45F2" w:rsidRPr="00296F31">
        <w:rPr>
          <w:sz w:val="24"/>
        </w:rPr>
        <w:t xml:space="preserve">dropout, language heterogeneity, </w:t>
      </w:r>
      <w:r w:rsidR="00261C12" w:rsidRPr="00296F31">
        <w:rPr>
          <w:sz w:val="24"/>
        </w:rPr>
        <w:t xml:space="preserve">educational gaps, </w:t>
      </w:r>
      <w:r w:rsidR="007A45F2" w:rsidRPr="00296F31">
        <w:rPr>
          <w:sz w:val="24"/>
        </w:rPr>
        <w:t>survival analysis</w:t>
      </w:r>
      <w:r w:rsidR="00261C12" w:rsidRPr="00296F31">
        <w:rPr>
          <w:sz w:val="24"/>
        </w:rPr>
        <w:t>, Paraguay</w:t>
      </w:r>
    </w:p>
    <w:p w14:paraId="1B4B3DE5" w14:textId="77777777" w:rsidR="002B1B1A" w:rsidRDefault="00A222C6" w:rsidP="00A51EA5">
      <w:pPr>
        <w:pStyle w:val="Subjectcodes"/>
      </w:pPr>
      <w:r>
        <w:t>JEL</w:t>
      </w:r>
      <w:r w:rsidR="001B398F">
        <w:t xml:space="preserve"> </w:t>
      </w:r>
      <w:r w:rsidR="002B1B1A">
        <w:t>codes</w:t>
      </w:r>
      <w:r w:rsidR="00AA7777">
        <w:t xml:space="preserve">: </w:t>
      </w:r>
      <w:r w:rsidRPr="00A222C6">
        <w:t>I20, I21, I24</w:t>
      </w:r>
    </w:p>
    <w:p w14:paraId="309229FF" w14:textId="77777777" w:rsidR="00A222C6" w:rsidRDefault="00A222C6" w:rsidP="00A222C6">
      <w:pPr>
        <w:pStyle w:val="Paragraph"/>
      </w:pPr>
    </w:p>
    <w:p w14:paraId="7261F121" w14:textId="77777777" w:rsidR="00A222C6" w:rsidRDefault="00A222C6" w:rsidP="00A222C6">
      <w:pPr>
        <w:pStyle w:val="Newparagraph"/>
      </w:pPr>
    </w:p>
    <w:p w14:paraId="326C627F" w14:textId="77777777" w:rsidR="00A222C6" w:rsidRDefault="00A222C6" w:rsidP="00A222C6">
      <w:pPr>
        <w:pStyle w:val="Newparagraph"/>
      </w:pPr>
    </w:p>
    <w:p w14:paraId="030B5E02" w14:textId="77777777" w:rsidR="00A222C6" w:rsidRDefault="00A222C6" w:rsidP="00A222C6">
      <w:pPr>
        <w:pStyle w:val="Newparagraph"/>
      </w:pPr>
    </w:p>
    <w:p w14:paraId="66222B38" w14:textId="77777777" w:rsidR="00A222C6" w:rsidRDefault="00A222C6" w:rsidP="00A222C6">
      <w:pPr>
        <w:pStyle w:val="Newparagraph"/>
      </w:pPr>
    </w:p>
    <w:p w14:paraId="7A9DC54E" w14:textId="77777777" w:rsidR="00997B0F" w:rsidRPr="00E222F0" w:rsidRDefault="00A222C6" w:rsidP="00E222F0">
      <w:pPr>
        <w:pStyle w:val="Heading1"/>
        <w:spacing w:before="0" w:after="0" w:line="480" w:lineRule="auto"/>
        <w:ind w:right="0"/>
        <w:contextualSpacing w:val="0"/>
        <w:jc w:val="center"/>
        <w:rPr>
          <w:lang w:val="en-US" w:eastAsia="ru-RU"/>
        </w:rPr>
      </w:pPr>
      <w:r w:rsidRPr="00E222F0">
        <w:rPr>
          <w:lang w:val="en-US" w:eastAsia="ru-RU"/>
        </w:rPr>
        <w:t>Introduction</w:t>
      </w:r>
    </w:p>
    <w:p w14:paraId="22239A06" w14:textId="74181544" w:rsidR="00C04B61" w:rsidRDefault="00D95B30" w:rsidP="00296F31">
      <w:pPr>
        <w:pStyle w:val="Newparagraph"/>
        <w:ind w:firstLine="0"/>
        <w:jc w:val="both"/>
      </w:pPr>
      <w:r>
        <w:t xml:space="preserve">Despite the great achievements in terms of education access, </w:t>
      </w:r>
      <w:r w:rsidR="0060483F">
        <w:t>h</w:t>
      </w:r>
      <w:r w:rsidR="00F34432" w:rsidRPr="00BF1874">
        <w:t>igh dropout rates continue to be a severe problem</w:t>
      </w:r>
      <w:r w:rsidR="00176913" w:rsidRPr="00BF1874">
        <w:t xml:space="preserve"> in the world. </w:t>
      </w:r>
      <w:r w:rsidR="00623DAA" w:rsidRPr="00BF1874">
        <w:t>Dropping out of school can have serious consequences for child</w:t>
      </w:r>
      <w:r w:rsidR="00176913" w:rsidRPr="00BF1874">
        <w:t>ren</w:t>
      </w:r>
      <w:r w:rsidR="00623DAA" w:rsidRPr="00BF1874">
        <w:t xml:space="preserve"> later functioning and adaptation and long-term opportunities</w:t>
      </w:r>
      <w:r w:rsidR="00176913" w:rsidRPr="00BF1874">
        <w:t>,</w:t>
      </w:r>
      <w:r w:rsidR="00EE1E94" w:rsidRPr="00BF1874">
        <w:t xml:space="preserve"> </w:t>
      </w:r>
      <w:r w:rsidR="00623DAA" w:rsidRPr="00BF1874">
        <w:t>impos</w:t>
      </w:r>
      <w:r w:rsidR="00176913" w:rsidRPr="00BF1874">
        <w:t>ing</w:t>
      </w:r>
      <w:r w:rsidR="00623DAA" w:rsidRPr="00BF1874">
        <w:t xml:space="preserve"> high costs to society </w:t>
      </w:r>
      <w:r w:rsidR="00597BB0" w:rsidRPr="00BF1874">
        <w:fldChar w:fldCharType="begin" w:fldLock="1"/>
      </w:r>
      <w:r w:rsidR="004C53E0">
        <w:instrText>ADDIN CSL_CITATION {"citationItems":[{"id":"ITEM-1","itemData":{"author":[{"dropping-particle":"","family":"Rumberger","given":"Russell W","non-dropping-particle":"","parse-names":false,"suffix":""}],"container-title":"Review of educational research","id":"ITEM-1","issue":"2","issued":{"date-parts":[["1987"]]},"page":"101-121","publisher":"Sage Publications","title":"High school dropouts: A review of issues and evidence","type":"article-journal","volume":"57"},"uris":["http://www.mendeley.com/documents/?uuid=d6b37e87-2ce0-4140-8aee-6ae53fdafd11"]},{"id":"ITEM-2","itemData":{"author":[{"dropping-particle":"","family":"DesJardins","given":"Stephen L","non-dropping-particle":"","parse-names":false,"suffix":""},{"dropping-particle":"","family":"Ahlburg","given":"Dennis A","non-dropping-particle":"","parse-names":false,"suffix":""},{"dropping-particle":"","family":"McCall","given":"Brian P","non-dropping-particle":"","parse-names":false,"suffix":""}],"container-title":"Economics of Education Review","id":"ITEM-2","issue":"3","issued":{"date-parts":[["1999"]]},"page":"375-390","publisher":"Elsevier","title":"An event history model of student departure","type":"article-journal","volume":"18"},"uris":["http://www.mendeley.com/documents/?uuid=07d8bf4d-ed62-4916-923b-850b1a4389ce"]},{"id":"ITEM-3","itemData":{"author":[{"dropping-particle":"","family":"Plank","given":"Stephen B","non-dropping-particle":"","parse-names":false,"suffix":""},{"dropping-particle":"","family":"DeLuca","given":"Stefanie","non-dropping-particle":"","parse-names":false,"suffix":""},{"dropping-particle":"","family":"Estacion","given":"Angela","non-dropping-particle":"","parse-names":false,"suffix":""}],"container-title":"Sociology of Education","id":"ITEM-3","issue":"4","issued":{"date-parts":[["2008"]]},"page":"345-370","publisher":"SAGE Publications","title":"High school dropout and the role of career and technical education: A survival analysis of surviving high school","type":"article-journal","volume":"81"},"uris":["http://www.mendeley.com/documents/?uuid=0dd718fa-0d01-45ad-92af-32c0d831c911"]},{"id":"ITEM-4","itemData":{"author":[{"dropping-particle":"","family":"Cairns","given":"Robert B","non-dropping-particle":"","parse-names":false,"suffix":""},{"dropping-particle":"","family":"Cairns","given":"Beverley D","non-dropping-particle":"","parse-names":false,"suffix":""},{"dropping-particle":"","family":"Neckerman","given":"Holly J","non-dropping-particle":"","parse-names":false,"suffix":""}],"container-title":"Child development","id":"ITEM-4","issued":{"date-parts":[["1989"]]},"page":"1437-1452","publisher":"JSTOR","title":"Early school dropout: Configurations and determinants","type":"article-journal"},"uris":["http://www.mendeley.com/documents/?uuid=41706ce5-0eca-4ae9-a693-38b3dcaa4f66"]}],"mendeley":{"formattedCitation":"(Cairns, Cairns, &amp; Neckerman, 1989; DesJardins, Ahlburg, &amp; McCall, 1999; Plank, DeLuca, &amp; Estacion, 2008; Rumberger, 1987)","plainTextFormattedCitation":"(Cairns, Cairns, &amp; Neckerman, 1989; DesJardins, Ahlburg, &amp; McCall, 1999; Plank, DeLuca, &amp; Estacion, 2008; Rumberger, 1987)","previouslyFormattedCitation":"(Cairns, Cairns, &amp; Neckerman, 1989; DesJardins, Ahlburg, &amp; McCall, 1999; Plank, DeLuca, &amp; Estacion, 2008; Rumberger, 1987)"},"properties":{"noteIndex":0},"schema":"https://github.com/citation-style-language/schema/raw/master/csl-citation.json"}</w:instrText>
      </w:r>
      <w:r w:rsidR="00597BB0" w:rsidRPr="00BF1874">
        <w:fldChar w:fldCharType="separate"/>
      </w:r>
      <w:r w:rsidR="004C53E0" w:rsidRPr="004C53E0">
        <w:rPr>
          <w:noProof/>
        </w:rPr>
        <w:t>(Cairns, Cairns, &amp; Neckerman, 1989; DesJardins, Ahlburg, &amp; McCall, 1999; Plank, DeLuca, &amp; Estacion, 2008; Rumberger, 1987)</w:t>
      </w:r>
      <w:r w:rsidR="00597BB0" w:rsidRPr="00BF1874">
        <w:fldChar w:fldCharType="end"/>
      </w:r>
      <w:r w:rsidR="00597BB0" w:rsidRPr="00BF1874">
        <w:t xml:space="preserve">. </w:t>
      </w:r>
      <w:r w:rsidR="0060483F">
        <w:t>Moreover</w:t>
      </w:r>
      <w:r w:rsidR="00176913" w:rsidRPr="00BF1874">
        <w:t xml:space="preserve">, </w:t>
      </w:r>
      <w:r w:rsidR="00D806FA">
        <w:t xml:space="preserve">school </w:t>
      </w:r>
      <w:r w:rsidR="00C04B61">
        <w:t>dropout</w:t>
      </w:r>
      <w:r w:rsidR="00D806FA">
        <w:t xml:space="preserve"> </w:t>
      </w:r>
      <w:r w:rsidR="00176913" w:rsidRPr="00BF1874">
        <w:t>can widen educational attainment gaps and perpetuate inequalities</w:t>
      </w:r>
      <w:r w:rsidR="00D806FA">
        <w:t>, since t</w:t>
      </w:r>
      <w:r w:rsidR="00BF1874" w:rsidRPr="00BF1874">
        <w:t>he non-completion of school</w:t>
      </w:r>
      <w:r w:rsidR="00D806FA">
        <w:t xml:space="preserve"> </w:t>
      </w:r>
      <w:r w:rsidR="00BF1874" w:rsidRPr="00BF1874">
        <w:t>results in children who have not acquired the most basic skills</w:t>
      </w:r>
      <w:r w:rsidR="00D806FA">
        <w:t xml:space="preserve"> to fully function in society</w:t>
      </w:r>
      <w:r w:rsidR="00BF1874" w:rsidRPr="00BF1874">
        <w:t xml:space="preserve"> </w:t>
      </w:r>
      <w:r w:rsidR="00BF1874" w:rsidRPr="00BF1874">
        <w:fldChar w:fldCharType="begin" w:fldLock="1"/>
      </w:r>
      <w:r w:rsidR="00BF1874" w:rsidRPr="00BF1874">
        <w:instrText>ADDIN CSL_CITATION {"citationItems":[{"id":"ITEM-1","itemData":{"author":[{"dropping-particle":"","family":"Sabates","given":"Ricardo","non-dropping-particle":"","parse-names":false,"suffix":""},{"dropping-particle":"","family":"Akyeampong","given":"Kwame","non-dropping-particle":"","parse-names":false,"suffix":""},{"dropping-particle":"","family":"Westbrook","given":"Jo","non-dropping-particle":"","parse-names":false,"suffix":""},{"dropping-particle":"","family":"Hunt","given":"Frances","non-dropping-particle":"","parse-names":false,"suffix":""}],"container-title":"Vienna: Paper commissioned for the EFA Global Monitoring Report, The hidden crisis: Armed conflict and education","id":"ITEM-1","issued":{"date-parts":[["2011"]]},"title":"School dropout: Patterns, causes, changes and policies","type":"article-journal"},"uris":["http://www.mendeley.com/documents/?uuid=9b38ba2c-2fd1-4513-bd29-579c919a97fc"]}],"mendeley":{"formattedCitation":"(Sabates, Akyeampong, Westbrook, &amp; Hunt, 2011)","plainTextFormattedCitation":"(Sabates, Akyeampong, Westbrook, &amp; Hunt, 2011)","previouslyFormattedCitation":"(Sabates, Akyeampong, Westbrook, &amp; Hunt, 2011)"},"properties":{"noteIndex":0},"schema":"https://github.com/citation-style-language/schema/raw/master/csl-citation.json"}</w:instrText>
      </w:r>
      <w:r w:rsidR="00BF1874" w:rsidRPr="00BF1874">
        <w:fldChar w:fldCharType="separate"/>
      </w:r>
      <w:r w:rsidR="00BF1874" w:rsidRPr="00BF1874">
        <w:rPr>
          <w:noProof/>
        </w:rPr>
        <w:t>(Sabates, Akyeampong, Westbrook, &amp; Hunt, 2011)</w:t>
      </w:r>
      <w:r w:rsidR="00BF1874" w:rsidRPr="00BF1874">
        <w:fldChar w:fldCharType="end"/>
      </w:r>
      <w:r w:rsidR="00BF1874" w:rsidRPr="00BF1874">
        <w:t xml:space="preserve">. </w:t>
      </w:r>
      <w:r w:rsidR="00C04B61">
        <w:t>To timely ad</w:t>
      </w:r>
      <w:r w:rsidR="00520890">
        <w:t>o</w:t>
      </w:r>
      <w:r w:rsidR="00C04B61">
        <w:t xml:space="preserve">pt interventions that will help students stay in </w:t>
      </w:r>
      <w:r w:rsidR="0060483F">
        <w:t>school</w:t>
      </w:r>
      <w:r w:rsidR="00C04B61">
        <w:t xml:space="preserve"> and make progress </w:t>
      </w:r>
      <w:r w:rsidR="00DF31D5">
        <w:t>through</w:t>
      </w:r>
      <w:r w:rsidR="00C04B61">
        <w:t xml:space="preserve"> the educational ladder, it is important to understand</w:t>
      </w:r>
      <w:r w:rsidR="0094730E">
        <w:t xml:space="preserve"> which students are more vulnerable to drop out and the</w:t>
      </w:r>
      <w:r w:rsidR="00C04B61">
        <w:t xml:space="preserve"> factors that lead </w:t>
      </w:r>
      <w:r w:rsidR="0094730E">
        <w:t xml:space="preserve">these students </w:t>
      </w:r>
      <w:r w:rsidR="00C04B61">
        <w:t>to drop</w:t>
      </w:r>
      <w:r w:rsidR="00FE43C6">
        <w:t>ping</w:t>
      </w:r>
      <w:r w:rsidR="00C04B61">
        <w:t xml:space="preserve"> out of school. </w:t>
      </w:r>
    </w:p>
    <w:p w14:paraId="48EB44D7" w14:textId="6AEDC9E7" w:rsidR="00520890" w:rsidRDefault="00EE1E94" w:rsidP="00296F31">
      <w:pPr>
        <w:pStyle w:val="Paragraph"/>
        <w:ind w:firstLine="720"/>
        <w:jc w:val="both"/>
        <w:rPr>
          <w:color w:val="000000"/>
        </w:rPr>
      </w:pPr>
      <w:r>
        <w:t xml:space="preserve">A large branch of the literature </w:t>
      </w:r>
      <w:r w:rsidR="00B22E6E" w:rsidRPr="00B22E6E">
        <w:t xml:space="preserve">have examined </w:t>
      </w:r>
      <w:r w:rsidR="00483262">
        <w:t>how</w:t>
      </w:r>
      <w:r w:rsidR="00B22E6E" w:rsidRPr="00B22E6E">
        <w:t xml:space="preserve"> </w:t>
      </w:r>
      <w:r w:rsidR="00483262">
        <w:t>gender</w:t>
      </w:r>
      <w:r w:rsidR="00B22E6E" w:rsidRPr="00B22E6E">
        <w:t>, socioeconomic status, race</w:t>
      </w:r>
      <w:r w:rsidR="00F245B7">
        <w:t>, ethnicity, and curriculum</w:t>
      </w:r>
      <w:r w:rsidR="00483262">
        <w:t xml:space="preserve"> affect dropouts in </w:t>
      </w:r>
      <w:r w:rsidR="00B22E6E" w:rsidRPr="00B22E6E">
        <w:t xml:space="preserve">high school and middle school </w:t>
      </w:r>
      <w:r w:rsidR="00F245B7">
        <w:fldChar w:fldCharType="begin" w:fldLock="1"/>
      </w:r>
      <w:r w:rsidR="003A57AF">
        <w:instrText>ADDIN CSL_CITATION {"citationItems":[{"id":"ITEM-1","itemData":{"author":[{"dropping-particle":"","family":"Rumberger","given":"Russell W","non-dropping-particle":"","parse-names":false,"suffix":""}],"container-title":"American Educational Research Journal","id":"ITEM-1","issue":"2","issued":{"date-parts":[["1983"]]},"page":"199-220","publisher":"Sage Publications","title":"Dropping out of high school: The influence of race, sex, and family background","type":"article-journal","volume":"20"},"uris":["http://www.mendeley.com/documents/?uuid=160393a2-b2fa-401f-a9b4-fe9494b54915"]},{"id":"ITEM-2","itemData":{"author":[{"dropping-particle":"","family":"Duncan","given":"Greg J","non-dropping-particle":"","parse-names":false,"suffix":""}],"container-title":"American journal of Education","id":"ITEM-2","issued":{"date-parts":[["1994"]]},"page":"20-53","publisher":"JSTOR","title":"Families and neighbors as sources of disadvantage in the schooling decisions of white and black adolescents","type":"article-journal"},"uris":["http://www.mendeley.com/documents/?uuid=fc622981-88d4-4325-be5f-2422fdc83789"]},{"id":"ITEM-3","itemData":{"ISSN":"00380407, 19398573","abstract":"In tracking the educational progress of a sample of Baltimore school-children from entrance into first grade in fall 1982 through early spring 1996, the authors examined the children's personal qualities, first-grade experiences, and family circumstances as precursors to high school dropout. Logistic regression analyses were used to identify predictors of dropout involving family context measures (stressful family changes, parents' attitudes, and parents' socialization practices), children's personal resources (attitudes and behaviors), and school experiences (test scores, marks, and track placements). These various measures were found to influence dropout independently of sociodemographic factors and account for much of the difference in the odds of dropout associated with family socioeconomic status, gender, family type, and other \"risk factors.\" The authors take a life-course perspective on dropout, viewing it as the culmination of a long-term process of academic disengagement.","author":[{"dropping-particle":"","family":"Karl","given":"L Alexander","non-dropping-particle":"","parse-names":false,"suffix":""},{"dropping-particle":"","family":"Entwisle","given":"Doris R","non-dropping-particle":"","parse-names":false,"suffix":""},{"dropping-particle":"","family":"Horsey","given":"Carrie S","non-dropping-particle":"","parse-names":false,"suffix":""}],"container-title":"Sociology of Education","id":"ITEM-3","issue":"2","issued":{"date-parts":[["1997"]]},"page":"87-107","publisher":"[Sage Publications, Inc., American Sociological Association]","title":"From First Grade Forward: Early Foundations of High School Dropout","type":"article-journal","volume":"70"},"uris":["http://www.mendeley.com/documents/?uuid=ab20cc91-bfcf-4a46-8aa3-96ba1e2adc4f"]},{"id":"ITEM-4","itemData":{"author":[{"dropping-particle":"V","family":"Cameron","given":"Stephen","non-dropping-particle":"","parse-names":false,"suffix":""},{"dropping-particle":"","family":"Heckman","given":"James J","non-dropping-particle":"","parse-names":false,"suffix":""}],"container-title":"Journal of political Economy","id":"ITEM-4","issue":"3","issued":{"date-parts":[["2001"]]},"page":"455-499","publisher":"JSTOR","title":"The dynamics of educational attainment for black, hispanic, and white males","type":"article-journal","volume":"109"},"uris":["http://www.mendeley.com/documents/?uuid=f03d6a2c-37d1-47db-a737-8f2bd27279f7"]},{"id":"ITEM-5","itemData":{"author":[{"dropping-particle":"","family":"Carpenter","given":"Dick M","non-dropping-particle":"","parse-names":false,"suffix":""},{"dropping-particle":"","family":"Ramirez","given":"Al","non-dropping-particle":"","parse-names":false,"suffix":""}],"container-title":"Journal of Advanced Academics","id":"ITEM-5","issue":"1","issued":{"date-parts":[["2007"]]},"page":"32-64","publisher":"SAGE Publications","title":"More than one gap: Dropout rate gaps between and among Black, Hispanic, and White students","type":"article-journal","volume":"19"},"uris":["http://www.mendeley.com/documents/?uuid=78f5e9ce-0b9c-489b-8030-b14454b7c43f"]},{"id":"ITEM-6","itemData":{"author":[{"dropping-particle":"","family":"Plank","given":"Stephen B","non-dropping-particle":"","parse-names":false,"suffix":""},{"dropping-particle":"","family":"DeLuca","given":"Stefanie","non-dropping-particle":"","parse-names":false,"suffix":""},{"dropping-particle":"","family":"Estacion","given":"Angela","non-dropping-particle":"","parse-names":false,"suffix":""}],"container-title":"Sociology of Education","id":"ITEM-6","issue":"4","issued":{"date-parts":[["2008"]]},"page":"345-370","publisher":"SAGE Publications","title":"High school dropout and the role of career and technical education: A survival analysis of surviving high school","type":"article-journal","volume":"81"},"uris":["http://www.mendeley.com/documents/?uuid=0dd718fa-0d01-45ad-92af-32c0d831c911"]}],"mendeley":{"formattedCitation":"(S. V Cameron &amp; Heckman, 2001; Carpenter &amp; Ramirez, 2007; Duncan, 1994; Karl, Entwisle, &amp; Horsey, 1997; Plank et al., 2008; Rumberger, 1983)","plainTextFormattedCitation":"(S. V Cameron &amp; Heckman, 2001; Carpenter &amp; Ramirez, 2007; Duncan, 1994; Karl, Entwisle, &amp; Horsey, 1997; Plank et al., 2008; Rumberger, 1983)","previouslyFormattedCitation":"(S. V Cameron &amp; Heckman, 2001; Carpenter &amp; Ramirez, 2007; Duncan, 1994; Karl, Entwisle, &amp; Horsey, 1997; Plank et al., 2008; Rumberger, 1983)"},"properties":{"noteIndex":0},"schema":"https://github.com/citation-style-language/schema/raw/master/csl-citation.json"}</w:instrText>
      </w:r>
      <w:r w:rsidR="00F245B7">
        <w:fldChar w:fldCharType="separate"/>
      </w:r>
      <w:r w:rsidR="00F245B7" w:rsidRPr="00F245B7">
        <w:rPr>
          <w:noProof/>
        </w:rPr>
        <w:t>(S. V Cameron &amp; Heckman, 2001; Carpenter &amp; Ramirez, 2007; Duncan, 1994; Karl, Entwisle, &amp; Horsey, 1997; Plank et al., 2008; Rumberger, 1983)</w:t>
      </w:r>
      <w:r w:rsidR="00F245B7">
        <w:fldChar w:fldCharType="end"/>
      </w:r>
      <w:r w:rsidR="00F245B7">
        <w:t xml:space="preserve">. </w:t>
      </w:r>
      <w:r w:rsidR="00C04B61">
        <w:t>While these studies have mostly focused on developed countries, in</w:t>
      </w:r>
      <w:r w:rsidR="00B22E6E" w:rsidRPr="00B22E6E">
        <w:t xml:space="preserve"> developing countries, </w:t>
      </w:r>
      <w:r w:rsidR="00F245B7">
        <w:t xml:space="preserve">factors such as </w:t>
      </w:r>
      <w:r w:rsidR="00B22E6E" w:rsidRPr="00B22E6E">
        <w:t>gender</w:t>
      </w:r>
      <w:r w:rsidR="00C04B61">
        <w:t>,</w:t>
      </w:r>
      <w:r w:rsidR="00B22E6E" w:rsidRPr="00B22E6E">
        <w:t xml:space="preserve"> income and wealth</w:t>
      </w:r>
      <w:r w:rsidR="00C04B61">
        <w:t>,</w:t>
      </w:r>
      <w:r w:rsidR="00B22E6E" w:rsidRPr="00B22E6E">
        <w:t xml:space="preserve"> teacher and school quality</w:t>
      </w:r>
      <w:r w:rsidR="00C04B61">
        <w:t>,</w:t>
      </w:r>
      <w:r w:rsidR="00B22E6E" w:rsidRPr="00B22E6E">
        <w:t xml:space="preserve"> and school supply are some that appear to have a major impact</w:t>
      </w:r>
      <w:r w:rsidR="005B5AF6">
        <w:t xml:space="preserve"> in drop outs</w:t>
      </w:r>
      <w:r w:rsidR="00B22E6E" w:rsidRPr="00B22E6E">
        <w:t xml:space="preserve"> </w:t>
      </w:r>
      <w:r w:rsidR="00597BB0">
        <w:fldChar w:fldCharType="begin" w:fldLock="1"/>
      </w:r>
      <w:r w:rsidR="005149A0">
        <w:instrText>ADDIN CSL_CITATION {"citationItems":[{"id":"ITEM-1","itemData":{"author":[{"dropping-particle":"","family":"Sabates","given":"Ricardo","non-dropping-particle":"","parse-names":false,"suffix":""},{"dropping-particle":"","family":"Akyeampong","given":"Kwame","non-dropping-particle":"","parse-names":false,"suffix":""},{"dropping-particle":"","family":"Westbrook","given":"Jo","non-dropping-particle":"","parse-names":false,"suffix":""},{"dropping-particle":"","family":"Hunt","given":"Frances","non-dropping-particle":"","parse-names":false,"suffix":""}],"container-title":"Vienna: Paper commissioned for the EFA Global Monitoring Report, The hidden crisis: Armed conflict and education","id":"ITEM-1","issued":{"date-parts":[["2011"]]},"title":"School dropout: Patterns, causes, changes and policies","type":"article-journal"},"uris":["http://www.mendeley.com/documents/?uuid=9b38ba2c-2fd1-4513-bd29-579c919a97fc"]}],"mendeley":{"formattedCitation":"(Sabates et al., 2011)","plainTextFormattedCitation":"(Sabates et al., 2011)","previouslyFormattedCitation":"(Sabates et al., 2011)"},"properties":{"noteIndex":0},"schema":"https://github.com/citation-style-language/schema/raw/master/csl-citation.json"}</w:instrText>
      </w:r>
      <w:r w:rsidR="00597BB0">
        <w:fldChar w:fldCharType="separate"/>
      </w:r>
      <w:r w:rsidR="00597BB0" w:rsidRPr="00597BB0">
        <w:rPr>
          <w:noProof/>
        </w:rPr>
        <w:t>(Sabates et al., 2011)</w:t>
      </w:r>
      <w:r w:rsidR="00597BB0">
        <w:fldChar w:fldCharType="end"/>
      </w:r>
      <w:r w:rsidR="00B22E6E" w:rsidRPr="00B22E6E">
        <w:t xml:space="preserve">. </w:t>
      </w:r>
      <w:r w:rsidR="00D806FA">
        <w:t>In addition</w:t>
      </w:r>
      <w:r w:rsidR="00BF1874">
        <w:t xml:space="preserve">, the </w:t>
      </w:r>
      <w:r w:rsidR="00BF1874">
        <w:rPr>
          <w:color w:val="000000"/>
        </w:rPr>
        <w:t xml:space="preserve">mismatch between language of instruction and students’ mother tongue have also been recognized as a cause for school dropout </w:t>
      </w:r>
      <w:r w:rsidR="00BF1874">
        <w:rPr>
          <w:color w:val="000000"/>
        </w:rPr>
        <w:fldChar w:fldCharType="begin" w:fldLock="1"/>
      </w:r>
      <w:r w:rsidR="00BF1874">
        <w:rPr>
          <w:color w:val="000000"/>
        </w:rPr>
        <w:instrText>ADDIN CSL_CITATION {"citationItems":[{"id":"ITEM-1","itemData":{"author":[{"dropping-particle":"","family":"Hunt","given":"Frances","non-dropping-particle":"","parse-names":false,"suffix":""}],"id":"ITEM-1","issued":{"date-parts":[["2008"]]},"publisher":"ERIC","title":"Dropping Out from School: A Cross Country Review of the Literature. Create Pathways to Access. Research Monograph, No. 16.","type":"book"},"uris":["http://www.mendeley.com/documents/?uuid=60b83670-fe1d-4911-9a22-be460a7720ef"]},{"id":"ITEM-2","itemData":{"author":[{"dropping-particle":"","family":"Sabates","given":"Ricardo","non-dropping-particle":"","parse-names":false,"suffix":""},{"dropping-particle":"","family":"Akyeampong","given":"Kwame","non-dropping-particle":"","parse-names":false,"suffix":""},{"dropping-particle":"","family":"Westbrook","given":"Jo","non-dropping-particle":"","parse-names":false,"suffix":""},{"dropping-particle":"","family":"Hunt","given":"Frances","non-dropping-particle":"","parse-names":false,"suffix":""}],"container-title":"Vienna: Paper commissioned for the EFA Global Monitoring Report, The hidden crisis: Armed conflict and education","id":"ITEM-2","issued":{"date-parts":[["2011"]]},"title":"School dropout: Patterns, causes, changes and policies","type":"article-journal"},"uris":["http://www.mendeley.com/documents/?uuid=9b38ba2c-2fd1-4513-bd29-579c919a97fc"]}],"mendeley":{"formattedCitation":"(Hunt, 2008; Sabates et al., 2011)","plainTextFormattedCitation":"(Hunt, 2008; Sabates et al., 2011)","previouslyFormattedCitation":"(Hunt, 2008; Sabates et al., 2011)"},"properties":{"noteIndex":0},"schema":"https://github.com/citation-style-language/schema/raw/master/csl-citation.json"}</w:instrText>
      </w:r>
      <w:r w:rsidR="00BF1874">
        <w:rPr>
          <w:color w:val="000000"/>
        </w:rPr>
        <w:fldChar w:fldCharType="separate"/>
      </w:r>
      <w:r w:rsidR="00BF1874" w:rsidRPr="00C905E7">
        <w:rPr>
          <w:noProof/>
          <w:color w:val="000000"/>
        </w:rPr>
        <w:t>(Hunt, 2008; Sabates et al., 2011)</w:t>
      </w:r>
      <w:r w:rsidR="00BF1874">
        <w:rPr>
          <w:color w:val="000000"/>
        </w:rPr>
        <w:fldChar w:fldCharType="end"/>
      </w:r>
      <w:r w:rsidR="00BF1874">
        <w:rPr>
          <w:color w:val="000000"/>
        </w:rPr>
        <w:t>.</w:t>
      </w:r>
      <w:r w:rsidR="0020139C">
        <w:rPr>
          <w:rStyle w:val="FootnoteReference"/>
          <w:color w:val="000000"/>
        </w:rPr>
        <w:footnoteReference w:id="1"/>
      </w:r>
      <w:r w:rsidR="00BF1874">
        <w:rPr>
          <w:color w:val="000000"/>
        </w:rPr>
        <w:t xml:space="preserve"> </w:t>
      </w:r>
      <w:r w:rsidR="00D806FA">
        <w:rPr>
          <w:color w:val="000000"/>
        </w:rPr>
        <w:t xml:space="preserve">Despite this recognition, little is </w:t>
      </w:r>
      <w:r w:rsidR="00D806FA">
        <w:rPr>
          <w:color w:val="000000"/>
        </w:rPr>
        <w:lastRenderedPageBreak/>
        <w:t>known about the dropout behaviour of individuals with different linguistic backgrounds</w:t>
      </w:r>
      <w:r w:rsidR="009201B2">
        <w:rPr>
          <w:color w:val="000000"/>
        </w:rPr>
        <w:t xml:space="preserve"> under the same education regime</w:t>
      </w:r>
      <w:r w:rsidR="00D806FA">
        <w:rPr>
          <w:color w:val="000000"/>
        </w:rPr>
        <w:t>.</w:t>
      </w:r>
    </w:p>
    <w:p w14:paraId="6FAC6E5B" w14:textId="0B201A0B" w:rsidR="003813C1" w:rsidRDefault="004B51E1" w:rsidP="00296F31">
      <w:pPr>
        <w:pStyle w:val="Paragraph"/>
        <w:ind w:firstLine="720"/>
        <w:jc w:val="both"/>
      </w:pPr>
      <w:r>
        <w:rPr>
          <w:color w:val="000000"/>
        </w:rPr>
        <w:t>This paper contributes to the literature by examining</w:t>
      </w:r>
      <w:r w:rsidR="001D3379">
        <w:rPr>
          <w:color w:val="000000"/>
        </w:rPr>
        <w:t xml:space="preserve"> if language-disadvantaged </w:t>
      </w:r>
      <w:r w:rsidR="001D3379" w:rsidRPr="00520890">
        <w:t>students</w:t>
      </w:r>
      <w:r w:rsidR="00520890" w:rsidRPr="00520890">
        <w:t xml:space="preserve">, </w:t>
      </w:r>
      <w:r w:rsidR="00682A70">
        <w:t xml:space="preserve">defined as </w:t>
      </w:r>
      <w:r w:rsidR="00520890" w:rsidRPr="00520890">
        <w:t>those who do not speak the language of instruction,</w:t>
      </w:r>
      <w:r w:rsidR="005F5998" w:rsidRPr="00520890">
        <w:t xml:space="preserve"> </w:t>
      </w:r>
      <w:r w:rsidR="001D3379">
        <w:rPr>
          <w:color w:val="000000"/>
        </w:rPr>
        <w:t>are at a higher risk of drop</w:t>
      </w:r>
      <w:r w:rsidR="005F5998">
        <w:rPr>
          <w:color w:val="000000"/>
        </w:rPr>
        <w:t xml:space="preserve">ping out </w:t>
      </w:r>
      <w:r w:rsidR="00DB51BF">
        <w:rPr>
          <w:color w:val="000000"/>
        </w:rPr>
        <w:t xml:space="preserve">of primary school </w:t>
      </w:r>
      <w:r w:rsidR="005F5998">
        <w:rPr>
          <w:color w:val="000000"/>
        </w:rPr>
        <w:t>compare</w:t>
      </w:r>
      <w:r w:rsidR="00097DD6">
        <w:rPr>
          <w:color w:val="000000"/>
        </w:rPr>
        <w:t>d</w:t>
      </w:r>
      <w:r w:rsidR="005F5998">
        <w:rPr>
          <w:color w:val="000000"/>
        </w:rPr>
        <w:t xml:space="preserve"> to </w:t>
      </w:r>
      <w:r w:rsidR="00DB51BF">
        <w:rPr>
          <w:color w:val="000000"/>
        </w:rPr>
        <w:t xml:space="preserve">their </w:t>
      </w:r>
      <w:r w:rsidR="005F5998">
        <w:rPr>
          <w:color w:val="000000"/>
        </w:rPr>
        <w:t xml:space="preserve">language-advantaged </w:t>
      </w:r>
      <w:r w:rsidR="00DB51BF">
        <w:rPr>
          <w:color w:val="000000"/>
        </w:rPr>
        <w:t>counterparts</w:t>
      </w:r>
      <w:r w:rsidR="001D3379">
        <w:rPr>
          <w:color w:val="000000"/>
        </w:rPr>
        <w:t xml:space="preserve">. </w:t>
      </w:r>
      <w:r w:rsidR="009201B2">
        <w:rPr>
          <w:color w:val="000000"/>
        </w:rPr>
        <w:t>In addition</w:t>
      </w:r>
      <w:r w:rsidR="00DB51BF">
        <w:rPr>
          <w:color w:val="000000"/>
        </w:rPr>
        <w:t xml:space="preserve">, </w:t>
      </w:r>
      <w:r w:rsidR="009201B2">
        <w:rPr>
          <w:color w:val="000000"/>
        </w:rPr>
        <w:t>this study</w:t>
      </w:r>
      <w:r w:rsidR="00DB51BF">
        <w:rPr>
          <w:color w:val="000000"/>
        </w:rPr>
        <w:t xml:space="preserve"> </w:t>
      </w:r>
      <w:r w:rsidR="00520890">
        <w:rPr>
          <w:color w:val="000000"/>
        </w:rPr>
        <w:t>assess</w:t>
      </w:r>
      <w:r w:rsidR="009201B2">
        <w:rPr>
          <w:color w:val="000000"/>
        </w:rPr>
        <w:t>es</w:t>
      </w:r>
      <w:r w:rsidR="00DB51BF">
        <w:rPr>
          <w:color w:val="000000"/>
        </w:rPr>
        <w:t xml:space="preserve"> whether the factors affecting language-disadvantaged dropouts are the same or differ from those affecting language-advantaged dropouts. </w:t>
      </w:r>
      <w:r>
        <w:rPr>
          <w:color w:val="000000"/>
        </w:rPr>
        <w:t xml:space="preserve">I examine this issue in Paraguay, a country known for its </w:t>
      </w:r>
      <w:r w:rsidR="00FC680C">
        <w:rPr>
          <w:color w:val="000000"/>
        </w:rPr>
        <w:t xml:space="preserve">high </w:t>
      </w:r>
      <w:r w:rsidR="004B4206">
        <w:rPr>
          <w:color w:val="000000"/>
        </w:rPr>
        <w:t xml:space="preserve">levels of </w:t>
      </w:r>
      <w:r>
        <w:rPr>
          <w:color w:val="000000"/>
        </w:rPr>
        <w:t xml:space="preserve">bilingualism. </w:t>
      </w:r>
      <w:r w:rsidR="00BF1874">
        <w:rPr>
          <w:color w:val="000000"/>
        </w:rPr>
        <w:t>Paraguay</w:t>
      </w:r>
      <w:r w:rsidR="003C590A">
        <w:rPr>
          <w:color w:val="000000"/>
        </w:rPr>
        <w:t>, as a</w:t>
      </w:r>
      <w:r w:rsidR="00DB51BF">
        <w:rPr>
          <w:color w:val="000000"/>
        </w:rPr>
        <w:t xml:space="preserve"> bilingual country</w:t>
      </w:r>
      <w:r w:rsidR="003C590A">
        <w:rPr>
          <w:color w:val="000000"/>
        </w:rPr>
        <w:t>, has</w:t>
      </w:r>
      <w:r w:rsidR="00DB51BF">
        <w:rPr>
          <w:color w:val="000000"/>
        </w:rPr>
        <w:t xml:space="preserve"> </w:t>
      </w:r>
      <w:r>
        <w:rPr>
          <w:color w:val="000000"/>
        </w:rPr>
        <w:t xml:space="preserve">two co-official languages: Spanish and </w:t>
      </w:r>
      <w:r w:rsidR="00DB51BF">
        <w:rPr>
          <w:color w:val="000000"/>
        </w:rPr>
        <w:t xml:space="preserve">the indigenous language of </w:t>
      </w:r>
      <w:r>
        <w:rPr>
          <w:color w:val="000000"/>
        </w:rPr>
        <w:t>Guaraní</w:t>
      </w:r>
      <w:r w:rsidR="00DB51BF">
        <w:rPr>
          <w:color w:val="000000"/>
        </w:rPr>
        <w:t>.</w:t>
      </w:r>
      <w:r>
        <w:rPr>
          <w:color w:val="000000"/>
        </w:rPr>
        <w:t xml:space="preserve"> Spanish has been the dominant language in formal sectors as well as the main language of instruction since colonial times</w:t>
      </w:r>
      <w:r w:rsidR="004C53E0">
        <w:rPr>
          <w:color w:val="000000"/>
        </w:rPr>
        <w:t xml:space="preserve"> and its mainly spoken in urban areas</w:t>
      </w:r>
      <w:r w:rsidR="00A40261">
        <w:rPr>
          <w:color w:val="000000"/>
        </w:rPr>
        <w:t xml:space="preserve"> </w:t>
      </w:r>
      <w:r w:rsidR="00A40261">
        <w:rPr>
          <w:color w:val="000000"/>
        </w:rPr>
        <w:fldChar w:fldCharType="begin" w:fldLock="1"/>
      </w:r>
      <w:r w:rsidR="005149A0">
        <w:rPr>
          <w:color w:val="000000"/>
        </w:rPr>
        <w:instrText>ADDIN CSL_CITATION {"citationItems":[{"id":"ITEM-1","itemData":{"author":[{"dropping-particle":"","family":"Corvalan","given":"Grazziella","non-dropping-particle":"","parse-names":false,"suffix":""}],"container-title":"Prospects: Quarterly Review of Education","id":"ITEM-1","issue":"1","issued":{"date-parts":[["1984"]]},"page":"95-106","publisher":"ERIC","title":"Education in the Mother Tongue and Educational Achievement in Paraguay.","type":"article-journal","volume":"14"},"uris":["http://www.mendeley.com/documents/?uuid=508b085b-2758-44f0-a750-91826b5e05d2"]},{"id":"ITEM-2","itemData":{"author":[{"dropping-particle":"","family":"Gynan","given":"Shaw N","non-dropping-particle":"","parse-names":false,"suffix":""}],"container-title":"Current Issues in Language Planning","id":"ITEM-2","issue":"1","issued":{"date-parts":[["2001"]]},"page":"53-118","publisher":"Taylor &amp; Francis","title":"Language planning and policy in Paraguay","type":"article-journal","volume":"2"},"uris":["http://www.mendeley.com/documents/?uuid=94cca2ba-193c-466c-ad2c-528c07867d4d"]}],"mendeley":{"formattedCitation":"(Corvalan, 1984; Gynan, 2001)","plainTextFormattedCitation":"(Corvalan, 1984; Gynan, 2001)","previouslyFormattedCitation":"(Corvalan, 1984; Gynan, 2001)"},"properties":{"noteIndex":0},"schema":"https://github.com/citation-style-language/schema/raw/master/csl-citation.json"}</w:instrText>
      </w:r>
      <w:r w:rsidR="00A40261">
        <w:rPr>
          <w:color w:val="000000"/>
        </w:rPr>
        <w:fldChar w:fldCharType="separate"/>
      </w:r>
      <w:r w:rsidR="00A40261" w:rsidRPr="004B51E1">
        <w:rPr>
          <w:noProof/>
          <w:color w:val="000000"/>
        </w:rPr>
        <w:t>(Corvalan, 1984; Gynan, 2001)</w:t>
      </w:r>
      <w:r w:rsidR="00A40261">
        <w:rPr>
          <w:color w:val="000000"/>
        </w:rPr>
        <w:fldChar w:fldCharType="end"/>
      </w:r>
      <w:r>
        <w:rPr>
          <w:color w:val="000000"/>
        </w:rPr>
        <w:t>.</w:t>
      </w:r>
      <w:r w:rsidR="00A40261">
        <w:rPr>
          <w:color w:val="000000"/>
        </w:rPr>
        <w:t xml:space="preserve"> </w:t>
      </w:r>
      <w:r w:rsidR="00DB51BF">
        <w:rPr>
          <w:color w:val="000000"/>
        </w:rPr>
        <w:t xml:space="preserve">Guaraní </w:t>
      </w:r>
      <w:r w:rsidR="00520890">
        <w:rPr>
          <w:color w:val="000000"/>
        </w:rPr>
        <w:t xml:space="preserve">is mostly spoken in rural areas and its use does not imply indigenous status, as in other countries such as Bolivia </w:t>
      </w:r>
      <w:r w:rsidR="00520890" w:rsidRPr="009201B2">
        <w:fldChar w:fldCharType="begin" w:fldLock="1"/>
      </w:r>
      <w:r w:rsidR="005F0C64" w:rsidRPr="009201B2">
        <w:instrText>ADDIN CSL_CITATION {"citationItems":[{"id":"ITEM-1","itemData":{"author":[{"dropping-particle":"","family":"Mortimer","given":"Katherine","non-dropping-particle":"","parse-names":false,"suffix":""}],"container-title":"Working Papers in Educational Linguistics (WPEL)","id":"ITEM-1","issue":"2","issued":{"date-parts":[["2006"]]},"page":"3","title":"Guarani Académico or Jopará? Educator Perspectives and Ideological Debate in Paraguayan Bilingual Education","type":"article-journal","volume":"21"},"uris":["http://www.mendeley.com/documents/?uuid=93565280-523b-4f2d-9afc-20fe23612378"]}],"mendeley":{"formattedCitation":"(Mortimer, 2006)","plainTextFormattedCitation":"(Mortimer, 2006)","previouslyFormattedCitation":"(Mortimer, 2006)"},"properties":{"noteIndex":0},"schema":"https://github.com/citation-style-language/schema/raw/master/csl-citation.json"}</w:instrText>
      </w:r>
      <w:r w:rsidR="00520890" w:rsidRPr="009201B2">
        <w:fldChar w:fldCharType="separate"/>
      </w:r>
      <w:r w:rsidR="00520890" w:rsidRPr="009201B2">
        <w:rPr>
          <w:noProof/>
        </w:rPr>
        <w:t>(Mortimer, 2006)</w:t>
      </w:r>
      <w:r w:rsidR="00520890" w:rsidRPr="009201B2">
        <w:fldChar w:fldCharType="end"/>
      </w:r>
      <w:r w:rsidR="00520890" w:rsidRPr="009201B2">
        <w:t>.</w:t>
      </w:r>
      <w:r w:rsidR="00520890" w:rsidRPr="009201B2">
        <w:rPr>
          <w:rStyle w:val="FootnoteReference"/>
        </w:rPr>
        <w:footnoteReference w:id="2"/>
      </w:r>
      <w:r w:rsidR="009201B2" w:rsidRPr="009201B2">
        <w:t xml:space="preserve"> </w:t>
      </w:r>
      <w:r w:rsidR="00DF7533">
        <w:t>Educational attainment gaps and achievement learning gaps due to language differences have been documented in Paraguay, with Guaraní speak</w:t>
      </w:r>
      <w:r w:rsidR="0094730E">
        <w:t>ers</w:t>
      </w:r>
      <w:r w:rsidR="00DF7533">
        <w:t xml:space="preserve"> experiencing the lowest levels of educational attainment and achievement </w:t>
      </w:r>
      <w:r w:rsidR="00DF7533">
        <w:fldChar w:fldCharType="begin" w:fldLock="1"/>
      </w:r>
      <w:r w:rsidR="00DF7533">
        <w:instrText>ADDIN CSL_CITATION {"citationItems":[{"id":"ITEM-1","itemData":{"author":[{"dropping-particle":"","family":"Corvalan","given":"Grazziella","non-dropping-particle":"","parse-names":false,"suffix":""}],"container-title":"Prospects: Quarterly Review of Education","id":"ITEM-1","issue":"1","issued":{"date-parts":[["1984"]]},"page":"95-106","publisher":"ERIC","title":"Education in the Mother Tongue and Educational Achievement in Paraguay.","type":"article-journal","volume":"14"},"uris":["http://www.mendeley.com/documents/?uuid=508b085b-2758-44f0-a750-91826b5e05d2"]},{"id":"ITEM-2","itemData":{"author":[{"dropping-particle":"","family":"Patrinos","given":"Harry Anthony","non-dropping-particle":"","parse-names":false,"suffix":""},{"dropping-particle":"","family":"Velez","given":"Eduardo","non-dropping-particle":"","parse-names":false,"suffix":""},{"dropping-particle":"","family":"Psacharopoulos","given":"George","non-dropping-particle":"","parse-names":false,"suffix":""}],"container-title":"The Journal of developing areas","id":"ITEM-2","issued":{"date-parts":[["1994"]]},"page":"57-68","publisher":"JSTOR","title":"Language, education, and earnings in Asuncion, Paraguay","type":"article-journal"},"uris":["http://www.mendeley.com/documents/?uuid=79b63fa9-c640-4c47-a523-648a4e9f974b"]},{"id":"ITEM-3","itemData":{"author":[{"dropping-particle":"","family":"Psacharopoulos","given":"George","non-dropping-particle":"","parse-names":false,"suffix":""},{"dropping-particle":"","family":"Velez","given":"Eduardo","non-dropping-particle":"","parse-names":false,"suffix":""},{"dropping-particle":"","family":"Patrinos","given":"Harry Anthony","non-dropping-particle":"","parse-names":false,"suffix":""}],"container-title":"Economics of Education Review","id":"ITEM-3","issue":"4","issued":{"date-parts":[["1994"]]},"page":"321-327","publisher":"Elsevier","title":"Education and earnings in Paraguay","type":"article-journal","volume":"13"},"uris":["http://www.mendeley.com/documents/?uuid=3c7b389c-c4d0-4276-8ce3-e252ee80d6ab"]}],"mendeley":{"formattedCitation":"(Corvalan, 1984; Patrinos, Velez, &amp; Psacharopoulos, 1994; Psacharopoulos, Velez, &amp; Patrinos, 1994)","plainTextFormattedCitation":"(Corvalan, 1984; Patrinos, Velez, &amp; Psacharopoulos, 1994; Psacharopoulos, Velez, &amp; Patrinos, 1994)","previouslyFormattedCitation":"(Corvalan, 1984; Patrinos, Velez, &amp; Psacharopoulos, 1994; Psacharopoulos, Velez, &amp; Patrinos, 1994)"},"properties":{"noteIndex":0},"schema":"https://github.com/citation-style-language/schema/raw/master/csl-citation.json"}</w:instrText>
      </w:r>
      <w:r w:rsidR="00DF7533">
        <w:fldChar w:fldCharType="separate"/>
      </w:r>
      <w:r w:rsidR="00DF7533" w:rsidRPr="00DF7533">
        <w:rPr>
          <w:noProof/>
        </w:rPr>
        <w:t>(Corvalan, 1984; Patrinos, Velez, &amp; Psacharopoulos, 1994; Psacharopoulos, Velez, &amp; Patrinos, 1994)</w:t>
      </w:r>
      <w:r w:rsidR="00DF7533">
        <w:fldChar w:fldCharType="end"/>
      </w:r>
      <w:r w:rsidR="00DF7533">
        <w:t>. More recently, although</w:t>
      </w:r>
      <w:r w:rsidRPr="009201B2">
        <w:t xml:space="preserve"> it is compulsory and free to attend school for nine years</w:t>
      </w:r>
      <w:r w:rsidR="00DF7533">
        <w:t>, as of</w:t>
      </w:r>
      <w:r w:rsidRPr="009201B2">
        <w:t xml:space="preserve"> 201</w:t>
      </w:r>
      <w:r w:rsidR="00FC680C" w:rsidRPr="009201B2">
        <w:t>7</w:t>
      </w:r>
      <w:r w:rsidRPr="009201B2">
        <w:t>, average educational attainment of Guaran</w:t>
      </w:r>
      <w:r w:rsidR="00A40261" w:rsidRPr="009201B2">
        <w:t xml:space="preserve">í </w:t>
      </w:r>
      <w:r w:rsidRPr="009201B2">
        <w:t xml:space="preserve">speakers was </w:t>
      </w:r>
      <w:r w:rsidR="00FC680C" w:rsidRPr="009201B2">
        <w:t>8.9</w:t>
      </w:r>
      <w:r w:rsidRPr="009201B2">
        <w:t xml:space="preserve"> years,</w:t>
      </w:r>
      <w:r w:rsidR="0094730E">
        <w:t xml:space="preserve"> on average,</w:t>
      </w:r>
      <w:r w:rsidR="00DF7533">
        <w:t xml:space="preserve"> compare</w:t>
      </w:r>
      <w:r w:rsidR="00097DD6">
        <w:t>d</w:t>
      </w:r>
      <w:r w:rsidR="00DF7533">
        <w:t xml:space="preserve"> to 12.1 and </w:t>
      </w:r>
      <w:r w:rsidR="00DF7533" w:rsidRPr="009201B2">
        <w:t xml:space="preserve">11.1 </w:t>
      </w:r>
      <w:r w:rsidR="0094730E">
        <w:t xml:space="preserve">average </w:t>
      </w:r>
      <w:r w:rsidR="00DF7533" w:rsidRPr="009201B2">
        <w:t>years of education</w:t>
      </w:r>
      <w:r w:rsidR="00DF7533">
        <w:t xml:space="preserve"> obtained by Spanish and bilingual speakers.</w:t>
      </w:r>
      <w:r w:rsidR="00DF7533">
        <w:rPr>
          <w:rStyle w:val="FootnoteReference"/>
        </w:rPr>
        <w:footnoteReference w:id="3"/>
      </w:r>
      <w:r w:rsidR="00DF7533">
        <w:t xml:space="preserve"> </w:t>
      </w:r>
      <w:r w:rsidR="003813C1">
        <w:t xml:space="preserve">These statistics </w:t>
      </w:r>
      <w:r w:rsidR="00DF7533">
        <w:t xml:space="preserve">reflect </w:t>
      </w:r>
      <w:r w:rsidR="0094730E">
        <w:t>a</w:t>
      </w:r>
      <w:r w:rsidR="00DF7533">
        <w:t xml:space="preserve"> persistent </w:t>
      </w:r>
      <w:r w:rsidR="003813C1">
        <w:t xml:space="preserve">educational attainment gap between Guaraní and Spanish speakers, which could partly be due to higher dropouts of Guaraní speaking </w:t>
      </w:r>
      <w:r w:rsidR="003813C1">
        <w:lastRenderedPageBreak/>
        <w:t xml:space="preserve">students. </w:t>
      </w:r>
      <w:r w:rsidR="00DF7533">
        <w:t>However, t</w:t>
      </w:r>
      <w:r w:rsidR="0094730E">
        <w:t>o my knowledge, t</w:t>
      </w:r>
      <w:r w:rsidR="00DF7533">
        <w:t xml:space="preserve">here are not studies that have investigated </w:t>
      </w:r>
      <w:r w:rsidR="0094730E">
        <w:t xml:space="preserve">about the drop out behaviour of these students. </w:t>
      </w:r>
    </w:p>
    <w:p w14:paraId="684351F8" w14:textId="6630EFC8" w:rsidR="00A40261" w:rsidRDefault="0090193F" w:rsidP="00296F31">
      <w:pPr>
        <w:pStyle w:val="Paragraph"/>
        <w:ind w:firstLine="720"/>
        <w:jc w:val="both"/>
      </w:pPr>
      <w:r>
        <w:t>Instructing children in</w:t>
      </w:r>
      <w:r w:rsidR="00F72AD8">
        <w:t xml:space="preserve"> students’ </w:t>
      </w:r>
      <w:r>
        <w:t xml:space="preserve">mother tongue has been suggested as </w:t>
      </w:r>
      <w:r w:rsidR="00DF7533">
        <w:t>the best medium of instruction</w:t>
      </w:r>
      <w:r>
        <w:t xml:space="preserve"> </w:t>
      </w:r>
      <w:r w:rsidR="003813C1">
        <w:t>since early 1950s</w:t>
      </w:r>
      <w:r w:rsidR="00F72AD8">
        <w:t>.</w:t>
      </w:r>
      <w:r w:rsidR="003813C1">
        <w:t xml:space="preserve"> </w:t>
      </w:r>
      <w:r w:rsidR="00F72AD8">
        <w:t>D</w:t>
      </w:r>
      <w:r>
        <w:t xml:space="preserve">espite this, </w:t>
      </w:r>
      <w:r w:rsidR="003813C1">
        <w:t xml:space="preserve">there has been a great debate over </w:t>
      </w:r>
      <w:r w:rsidR="00F72AD8">
        <w:t>what is best</w:t>
      </w:r>
      <w:r w:rsidR="00DF31D5">
        <w:t xml:space="preserve"> in </w:t>
      </w:r>
      <w:r w:rsidR="003813C1">
        <w:t xml:space="preserve">language policy in the following decades </w:t>
      </w:r>
      <w:r w:rsidR="003813C1">
        <w:fldChar w:fldCharType="begin" w:fldLock="1"/>
      </w:r>
      <w:r w:rsidR="00DF7533">
        <w:instrText>ADDIN CSL_CITATION {"citationItems":[{"id":"ITEM-1","itemData":{"author":[{"dropping-particle":"","family":"UNESCO","given":"","non-dropping-particle":"","parse-names":false,"suffix":""}],"id":"ITEM-1","issued":{"date-parts":[["1953"]]},"publisher-place":"Paris, France","title":"The Use of Vernacular Language in Education","type":"report"},"uris":["http://www.mendeley.com/documents/?uuid=94231d1e-8151-40c4-a781-31f5c758822c"]},{"id":"ITEM-2","itemData":{"author":[{"dropping-particle":"","family":"Patrinos","given":"Harry Anthony","non-dropping-particle":"","parse-names":false,"suffix":""},{"dropping-particle":"","family":"Velez","given":"Eduardo","non-dropping-particle":"","parse-names":false,"suffix":""},{"dropping-particle":"","family":"Psacharopoulos","given":"George","non-dropping-particle":"","parse-names":false,"suffix":""}],"container-title":"The Journal of developing areas","id":"ITEM-2","issued":{"date-parts":[["1994"]]},"page":"57-68","publisher":"JSTOR","title":"Language, education, and earnings in Asuncion, Paraguay","type":"article-journal"},"uris":["http://www.mendeley.com/documents/?uuid=79b63fa9-c640-4c47-a523-648a4e9f974b"]},{"id":"ITEM-3","itemData":{"author":[{"dropping-particle":"","family":"UNESCO","given":"","non-dropping-particle":"","parse-names":false,"suffix":""}],"id":"ITEM-3","issued":{"date-parts":[["2008"]]},"publisher-place":"Paris, France","title":"Mother Tongue Matters: Local Language as a Key to Effective Learning","type":"report"},"uris":["http://www.mendeley.com/documents/?uuid=c2991c46-7560-42a7-8da1-ace4e8a485e0"]}],"mendeley":{"formattedCitation":"(Patrinos et al., 1994; UNESCO, 1953, 2008)","plainTextFormattedCitation":"(Patrinos et al., 1994; UNESCO, 1953, 2008)","previouslyFormattedCitation":"(Patrinos et al., 1994; UNESCO, 1953, 2008)"},"properties":{"noteIndex":0},"schema":"https://github.com/citation-style-language/schema/raw/master/csl-citation.json"}</w:instrText>
      </w:r>
      <w:r w:rsidR="003813C1">
        <w:fldChar w:fldCharType="separate"/>
      </w:r>
      <w:r w:rsidR="00DF7533" w:rsidRPr="00DF7533">
        <w:rPr>
          <w:noProof/>
        </w:rPr>
        <w:t>(Patrinos et al., 1994; UNESCO, 1953, 2008)</w:t>
      </w:r>
      <w:r w:rsidR="003813C1">
        <w:fldChar w:fldCharType="end"/>
      </w:r>
      <w:r w:rsidR="003813C1">
        <w:t>. Many advocate that instruction in</w:t>
      </w:r>
      <w:r w:rsidR="003813C1" w:rsidRPr="004C4ECF">
        <w:t xml:space="preserve"> </w:t>
      </w:r>
      <w:r w:rsidR="003813C1">
        <w:t xml:space="preserve">students’ </w:t>
      </w:r>
      <w:r w:rsidR="003813C1" w:rsidRPr="004C4ECF">
        <w:t xml:space="preserve">mother tongue </w:t>
      </w:r>
      <w:r w:rsidR="003813C1">
        <w:t xml:space="preserve">permits </w:t>
      </w:r>
      <w:r w:rsidR="003813C1" w:rsidRPr="004C4ECF">
        <w:t>progression through school levels and school completion</w:t>
      </w:r>
      <w:r w:rsidR="003813C1">
        <w:t xml:space="preserve"> </w:t>
      </w:r>
      <w:r w:rsidR="003813C1">
        <w:fldChar w:fldCharType="begin" w:fldLock="1"/>
      </w:r>
      <w:r w:rsidR="003813C1">
        <w:instrText>ADDIN CSL_CITATION {"citationItems":[{"id":"ITEM-1","itemData":{"author":[{"dropping-particle":"","family":"Corvalan","given":"Grazziella","non-dropping-particle":"","parse-names":false,"suffix":""}],"container-title":"Prospects: Quarterly Review of Education","id":"ITEM-1","issue":"1","issued":{"date-parts":[["1984"]]},"page":"95-106","publisher":"ERIC","title":"Education in the Mother Tongue and Educational Achievement in Paraguay.","type":"article-journal","volume":"14"},"uris":["http://www.mendeley.com/documents/?uuid=508b085b-2758-44f0-a750-91826b5e05d2"]}],"mendeley":{"formattedCitation":"(Corvalan, 1984)","plainTextFormattedCitation":"(Corvalan, 1984)","previouslyFormattedCitation":"(Corvalan, 1984)"},"properties":{"noteIndex":0},"schema":"https://github.com/citation-style-language/schema/raw/master/csl-citation.json"}</w:instrText>
      </w:r>
      <w:r w:rsidR="003813C1">
        <w:fldChar w:fldCharType="separate"/>
      </w:r>
      <w:r w:rsidR="003813C1" w:rsidRPr="004C4ECF">
        <w:rPr>
          <w:noProof/>
        </w:rPr>
        <w:t>(Corvalan, 1984)</w:t>
      </w:r>
      <w:r w:rsidR="003813C1">
        <w:fldChar w:fldCharType="end"/>
      </w:r>
      <w:r w:rsidR="003813C1">
        <w:t xml:space="preserve">. </w:t>
      </w:r>
      <w:r w:rsidR="00027053">
        <w:t>I</w:t>
      </w:r>
      <w:r w:rsidR="00DF31D5">
        <w:t>t</w:t>
      </w:r>
      <w:r w:rsidR="00027053">
        <w:t xml:space="preserve"> has also</w:t>
      </w:r>
      <w:r w:rsidR="00DF31D5">
        <w:t xml:space="preserve"> been argued that </w:t>
      </w:r>
      <w:r w:rsidR="009A162E">
        <w:t>it is easier</w:t>
      </w:r>
      <w:r w:rsidR="00DF31D5">
        <w:t xml:space="preserve"> for students</w:t>
      </w:r>
      <w:r w:rsidR="009A162E">
        <w:t xml:space="preserve"> to acquire literacy skills in their mother tongue than can later be transferred to other languages </w:t>
      </w:r>
      <w:r w:rsidR="009A162E">
        <w:fldChar w:fldCharType="begin" w:fldLock="1"/>
      </w:r>
      <w:r w:rsidR="00F72AD8">
        <w:instrText>ADDIN CSL_CITATION {"citationItems":[{"id":"ITEM-1","itemData":{"author":[{"dropping-particle":"","family":"Patrinos","given":"Harry Anthony","non-dropping-particle":"","parse-names":false,"suffix":""},{"dropping-particle":"","family":"Velez","given":"Eduardo","non-dropping-particle":"","parse-names":false,"suffix":""},{"dropping-particle":"","family":"Psacharopoulos","given":"George","non-dropping-particle":"","parse-names":false,"suffix":""}],"container-title":"The Journal of developing areas","id":"ITEM-1","issued":{"date-parts":[["1994"]]},"page":"57-68","publisher":"JSTOR","title":"Language, education, and earnings in Asuncion, Paraguay","type":"article-journal"},"uris":["http://www.mendeley.com/documents/?uuid=79b63fa9-c640-4c47-a523-648a4e9f974b"]}],"mendeley":{"formattedCitation":"(Patrinos et al., 1994)","plainTextFormattedCitation":"(Patrinos et al., 1994)","previouslyFormattedCitation":"(Patrinos et al., 1994)"},"properties":{"noteIndex":0},"schema":"https://github.com/citation-style-language/schema/raw/master/csl-citation.json"}</w:instrText>
      </w:r>
      <w:r w:rsidR="009A162E">
        <w:fldChar w:fldCharType="separate"/>
      </w:r>
      <w:r w:rsidR="009A162E" w:rsidRPr="009A162E">
        <w:rPr>
          <w:noProof/>
        </w:rPr>
        <w:t>(Patrinos et al., 1994)</w:t>
      </w:r>
      <w:r w:rsidR="009A162E">
        <w:fldChar w:fldCharType="end"/>
      </w:r>
      <w:r w:rsidR="009A162E">
        <w:t xml:space="preserve">. </w:t>
      </w:r>
      <w:r w:rsidR="00DF31D5">
        <w:t xml:space="preserve">However, others </w:t>
      </w:r>
      <w:r w:rsidR="00027053">
        <w:t>claim</w:t>
      </w:r>
      <w:r w:rsidR="00DF31D5">
        <w:t xml:space="preserve"> than teaching in students’ mother tongue instead of in the</w:t>
      </w:r>
      <w:r w:rsidR="00F72AD8">
        <w:t xml:space="preserve"> language </w:t>
      </w:r>
      <w:r w:rsidR="00027053">
        <w:t>associated with</w:t>
      </w:r>
      <w:r w:rsidR="00F72AD8">
        <w:t xml:space="preserve"> an advantaged status can </w:t>
      </w:r>
      <w:r w:rsidR="00DF31D5">
        <w:t xml:space="preserve">actually place students at a </w:t>
      </w:r>
      <w:r w:rsidR="00F72AD8">
        <w:t xml:space="preserve">social and economic </w:t>
      </w:r>
      <w:r w:rsidR="00DF31D5">
        <w:t>disadvantage</w:t>
      </w:r>
      <w:r w:rsidR="00F72AD8">
        <w:t xml:space="preserve"> </w:t>
      </w:r>
      <w:r w:rsidR="00F72AD8">
        <w:fldChar w:fldCharType="begin" w:fldLock="1"/>
      </w:r>
      <w:r w:rsidR="0060483F">
        <w:instrText>ADDIN CSL_CITATION {"citationItems":[{"id":"ITEM-1","itemData":{"author":[{"dropping-particle":"","family":"Patrinos","given":"Harry Anthony","non-dropping-particle":"","parse-names":false,"suffix":""},{"dropping-particle":"","family":"Velez","given":"Eduardo","non-dropping-particle":"","parse-names":false,"suffix":""},{"dropping-particle":"","family":"Psacharopoulos","given":"George","non-dropping-particle":"","parse-names":false,"suffix":""}],"container-title":"The Journal of developing areas","id":"ITEM-1","issued":{"date-parts":[["1994"]]},"page":"57-68","publisher":"JSTOR","title":"Language, education, and earnings in Asuncion, Paraguay","type":"article-journal"},"uris":["http://www.mendeley.com/documents/?uuid=79b63fa9-c640-4c47-a523-648a4e9f974b"]},{"id":"ITEM-2","itemData":{"author":[{"dropping-particle":"","family":"Sandoval","given":"Luis Ortiz","non-dropping-particle":"","parse-names":false,"suffix":""}],"container-title":"Revista Latinoamericana de Estudios Educativo","id":"ITEM-2","issued":{"date-parts":[["2012"]]},"title":"Reforma educativa y conservación social. Aspectos sociales del cambio educativo en Paraguay.","type":"article-journal","volume":"42"},"uris":["http://www.mendeley.com/documents/?uuid=ee9ef9ba-541e-4b20-a8ff-19d4b82a0a76"]}],"mendeley":{"formattedCitation":"(Patrinos et al., 1994; Sandoval, 2012)","plainTextFormattedCitation":"(Patrinos et al., 1994; Sandoval, 2012)","previouslyFormattedCitation":"(Patrinos et al., 1994; Sandoval, 2012)"},"properties":{"noteIndex":0},"schema":"https://github.com/citation-style-language/schema/raw/master/csl-citation.json"}</w:instrText>
      </w:r>
      <w:r w:rsidR="00F72AD8">
        <w:fldChar w:fldCharType="separate"/>
      </w:r>
      <w:r w:rsidR="00F72AD8" w:rsidRPr="00F72AD8">
        <w:rPr>
          <w:noProof/>
        </w:rPr>
        <w:t>(Patrinos et al., 1994; Sandoval, 2012)</w:t>
      </w:r>
      <w:r w:rsidR="00F72AD8">
        <w:fldChar w:fldCharType="end"/>
      </w:r>
      <w:r w:rsidR="00DF31D5">
        <w:t>.</w:t>
      </w:r>
      <w:r w:rsidR="00F72AD8">
        <w:t xml:space="preserve"> </w:t>
      </w:r>
      <w:r w:rsidR="009A162E">
        <w:t>Building on th</w:t>
      </w:r>
      <w:r w:rsidR="00F72AD8">
        <w:t>e first</w:t>
      </w:r>
      <w:r w:rsidR="009A162E">
        <w:t xml:space="preserve"> line of thought, </w:t>
      </w:r>
      <w:r w:rsidR="00F72AD8">
        <w:t>I hypothesize that language-disadvantaged students face a higher risk of dropping out of school compare</w:t>
      </w:r>
      <w:r w:rsidR="00097DD6">
        <w:t>d</w:t>
      </w:r>
      <w:r w:rsidR="00F72AD8">
        <w:t xml:space="preserve"> to their language-advantaged counterparts. L</w:t>
      </w:r>
      <w:r w:rsidR="009A162E">
        <w:t>anguage-disadvantaged students may face language barriers at each stage of the educational ladder</w:t>
      </w:r>
      <w:r w:rsidR="00F72AD8">
        <w:t>, which can</w:t>
      </w:r>
      <w:r w:rsidR="0094730E">
        <w:t xml:space="preserve"> be a deterrent to schooling progression and</w:t>
      </w:r>
      <w:r w:rsidR="00F72AD8">
        <w:t xml:space="preserve"> create early literacy problems</w:t>
      </w:r>
      <w:r w:rsidR="009A162E">
        <w:t>.</w:t>
      </w:r>
      <w:r w:rsidR="00F72AD8">
        <w:t xml:space="preserve"> These problems</w:t>
      </w:r>
      <w:r w:rsidR="009A162E">
        <w:t xml:space="preserve"> will eventually grow</w:t>
      </w:r>
      <w:r w:rsidR="00F72AD8">
        <w:t xml:space="preserve">, as the curriculum of higher grades require the </w:t>
      </w:r>
      <w:r w:rsidR="00027053">
        <w:t>comprehension</w:t>
      </w:r>
      <w:r w:rsidR="00F72AD8">
        <w:t xml:space="preserve"> of more complex </w:t>
      </w:r>
      <w:r w:rsidR="00027053">
        <w:t>concept</w:t>
      </w:r>
      <w:r w:rsidR="00F72AD8">
        <w:t>s</w:t>
      </w:r>
      <w:r w:rsidR="009A162E">
        <w:t>,</w:t>
      </w:r>
      <w:r w:rsidR="00F72AD8">
        <w:t xml:space="preserve"> ultimately </w:t>
      </w:r>
      <w:r w:rsidR="009A162E">
        <w:t xml:space="preserve">leading students to drop out of school. </w:t>
      </w:r>
    </w:p>
    <w:p w14:paraId="270C15C0" w14:textId="2BD632D7" w:rsidR="005F0C64" w:rsidRPr="00F72AD8" w:rsidRDefault="00731903" w:rsidP="00296F31">
      <w:pPr>
        <w:pStyle w:val="Paragraph"/>
        <w:ind w:firstLine="720"/>
        <w:jc w:val="both"/>
        <w:rPr>
          <w:lang w:val="en-US"/>
        </w:rPr>
      </w:pPr>
      <w:r>
        <w:t>To empirically evaluate this topic</w:t>
      </w:r>
      <w:r w:rsidR="00A40261">
        <w:t>,</w:t>
      </w:r>
      <w:r w:rsidR="00A40261" w:rsidRPr="00A40261">
        <w:t xml:space="preserve"> I apply Survival Analysis techniques</w:t>
      </w:r>
      <w:r w:rsidR="005F0C64">
        <w:t xml:space="preserve"> to </w:t>
      </w:r>
      <w:r w:rsidR="005F0C64" w:rsidRPr="00A40261">
        <w:t>data drawn from the 2012 Income and Expenditure Survey</w:t>
      </w:r>
      <w:r w:rsidR="005F0C64">
        <w:t xml:space="preserve"> of Paraguay </w:t>
      </w:r>
      <w:r w:rsidR="005F0C64">
        <w:fldChar w:fldCharType="begin" w:fldLock="1"/>
      </w:r>
      <w:r w:rsidR="003813C1">
        <w:instrText>ADDIN CSL_CITATION {"citationItems":[{"id":"ITEM-1","itemData":{"author":[{"dropping-particle":"","family":"DGEEC","given":"","non-dropping-particle":"","parse-names":false,"suffix":""}],"id":"ITEM-1","issued":{"date-parts":[["2012"]]},"publisher":"Dirección General de Estadísticas, Encuestas y Censos","title":"Income and Expenditure and Living Standards Survey","type":"article"},"uris":["http://www.mendeley.com/documents/?uuid=929a1b79-8134-4d7c-8b73-ad9963f518b8"]}],"mendeley":{"formattedCitation":"(DGEEC, 2012)","plainTextFormattedCitation":"(DGEEC, 2012)","previouslyFormattedCitation":"(DGEEC, 2012)"},"properties":{"noteIndex":0},"schema":"https://github.com/citation-style-language/schema/raw/master/csl-citation.json"}</w:instrText>
      </w:r>
      <w:r w:rsidR="005F0C64">
        <w:fldChar w:fldCharType="separate"/>
      </w:r>
      <w:r w:rsidR="005F0C64" w:rsidRPr="005F0C64">
        <w:rPr>
          <w:noProof/>
        </w:rPr>
        <w:t>(DGEEC, 2012)</w:t>
      </w:r>
      <w:r w:rsidR="005F0C64">
        <w:fldChar w:fldCharType="end"/>
      </w:r>
      <w:r w:rsidR="005F0C64">
        <w:t xml:space="preserve">. </w:t>
      </w:r>
      <w:r w:rsidR="00F72AD8">
        <w:t xml:space="preserve">This methodology allows </w:t>
      </w:r>
      <w:r w:rsidR="00F72AD8" w:rsidRPr="00F72AD8">
        <w:t>to estimate the probabilities of dropping out</w:t>
      </w:r>
      <w:r w:rsidR="00F72AD8">
        <w:t xml:space="preserve">, and </w:t>
      </w:r>
      <w:r w:rsidR="00F72AD8" w:rsidRPr="00F72AD8">
        <w:t>remedies analytical problems that arise when using standard statistical techniques</w:t>
      </w:r>
      <w:r w:rsidR="00F72AD8">
        <w:t>. In</w:t>
      </w:r>
      <w:r w:rsidR="00F72AD8" w:rsidRPr="00F72AD8">
        <w:t xml:space="preserve"> particular, it allows to account for the temporal dimension of student departure from primary school, and censored data.</w:t>
      </w:r>
      <w:r w:rsidR="00F72AD8">
        <w:rPr>
          <w:lang w:val="en-US"/>
        </w:rPr>
        <w:t xml:space="preserve"> </w:t>
      </w:r>
      <w:r w:rsidR="005F0C64">
        <w:t xml:space="preserve">The results obtained </w:t>
      </w:r>
      <w:r w:rsidR="005F0C64" w:rsidRPr="00A40261">
        <w:t>indicate that</w:t>
      </w:r>
      <w:r w:rsidR="005F0C64">
        <w:t xml:space="preserve"> language-disadvantage</w:t>
      </w:r>
      <w:r w:rsidR="0020139C">
        <w:t>d</w:t>
      </w:r>
      <w:r w:rsidR="005F0C64">
        <w:t xml:space="preserve"> students, </w:t>
      </w:r>
      <w:r w:rsidR="005F0C64" w:rsidRPr="00A40261">
        <w:t>Guaran</w:t>
      </w:r>
      <w:r w:rsidR="005F0C64">
        <w:t>í</w:t>
      </w:r>
      <w:r w:rsidR="005F0C64" w:rsidRPr="00A40261">
        <w:t xml:space="preserve"> speakers</w:t>
      </w:r>
      <w:r w:rsidR="005F0C64">
        <w:t>, face a higher risk of dropping out of primary school</w:t>
      </w:r>
      <w:r w:rsidR="00027053">
        <w:t xml:space="preserve">. </w:t>
      </w:r>
      <w:r w:rsidR="005F0C64" w:rsidRPr="00A40261">
        <w:t xml:space="preserve">Based on the </w:t>
      </w:r>
      <w:r w:rsidR="005F0C64" w:rsidRPr="00A40261">
        <w:lastRenderedPageBreak/>
        <w:t>results of the hazard models, Guaran</w:t>
      </w:r>
      <w:r w:rsidR="005F0C64">
        <w:t>í</w:t>
      </w:r>
      <w:r w:rsidR="005F0C64" w:rsidRPr="00A40261">
        <w:t xml:space="preserve"> speakers are more likely to drop out of primary school even after controlling for migration and wealth, as well as other important covariates suggested by previous research. Therefore, it is likely that other unobserved characteristics of language-disadvantaged students </w:t>
      </w:r>
      <w:r w:rsidR="005F0C64">
        <w:t xml:space="preserve">are </w:t>
      </w:r>
      <w:r w:rsidR="005F0C64" w:rsidRPr="00A40261">
        <w:t>lead</w:t>
      </w:r>
      <w:r w:rsidR="005F0C64">
        <w:t>ing</w:t>
      </w:r>
      <w:r w:rsidR="005F0C64" w:rsidRPr="00A40261">
        <w:t xml:space="preserve"> them to drop out of school, </w:t>
      </w:r>
      <w:r w:rsidR="005F0C64">
        <w:t xml:space="preserve">one potentially being </w:t>
      </w:r>
      <w:r w:rsidR="005F0C64" w:rsidRPr="00A40261">
        <w:t>language barriers.</w:t>
      </w:r>
      <w:r w:rsidR="00C81E15">
        <w:t xml:space="preserve"> The analysis of the factors affecting dropouts by language group suggest that for Guaraní speakers, migrating from rural to urban areas is associated with an increased risk for dropping out, while education of a female is associated with a reduction in the risk for dropping gout for all language groups. </w:t>
      </w:r>
    </w:p>
    <w:p w14:paraId="34BAAD72" w14:textId="581C3DA5" w:rsidR="00D04331" w:rsidRDefault="00BB2FC1" w:rsidP="00296F31">
      <w:pPr>
        <w:pStyle w:val="Paragraph"/>
        <w:ind w:firstLine="720"/>
        <w:jc w:val="both"/>
        <w:rPr>
          <w:color w:val="000000"/>
        </w:rPr>
      </w:pPr>
      <w:r>
        <w:rPr>
          <w:color w:val="000000"/>
        </w:rPr>
        <w:t xml:space="preserve">The contributions of this paper are important </w:t>
      </w:r>
      <w:r w:rsidR="009A6649">
        <w:rPr>
          <w:color w:val="000000"/>
        </w:rPr>
        <w:t xml:space="preserve">for its policy implications. First, identifying </w:t>
      </w:r>
      <w:r w:rsidR="0094730E">
        <w:rPr>
          <w:color w:val="000000"/>
        </w:rPr>
        <w:t xml:space="preserve">the linguistic group of students facing the higher risks </w:t>
      </w:r>
      <w:r w:rsidR="00D04331">
        <w:rPr>
          <w:color w:val="000000"/>
        </w:rPr>
        <w:t xml:space="preserve">for dropping out of primary school will help to identify the most vulnerable. Second, the analysis of the hazards of dropping out by grade, will inform about at which grade the risk of dropping out starts to increase and peaks. Finally, the examination of the factors affecting dropouts by linguistic groups will enable policy makers to have a better understanding of the needs of each group. These findings will help in the design and implementation of timely intervention strategies tailored to the needs of the different students’ language groups that can effectively reduce </w:t>
      </w:r>
      <w:r w:rsidR="00C81E15">
        <w:rPr>
          <w:color w:val="000000"/>
        </w:rPr>
        <w:t>students’</w:t>
      </w:r>
      <w:r w:rsidR="00D04331">
        <w:rPr>
          <w:color w:val="000000"/>
        </w:rPr>
        <w:t xml:space="preserve"> dropouts and at the same time reduce inequalities in the educational sector. </w:t>
      </w:r>
    </w:p>
    <w:p w14:paraId="6066AE4D" w14:textId="64CC22F9" w:rsidR="00D04AE5" w:rsidRPr="00E222F0" w:rsidRDefault="00D04AE5" w:rsidP="00E222F0">
      <w:pPr>
        <w:pStyle w:val="Heading1"/>
        <w:spacing w:before="0" w:after="0" w:line="480" w:lineRule="auto"/>
        <w:ind w:right="0"/>
        <w:contextualSpacing w:val="0"/>
        <w:jc w:val="center"/>
        <w:rPr>
          <w:lang w:val="en-US" w:eastAsia="ru-RU"/>
        </w:rPr>
      </w:pPr>
      <w:r w:rsidRPr="00E222F0">
        <w:rPr>
          <w:lang w:val="en-US" w:eastAsia="ru-RU"/>
        </w:rPr>
        <w:t>Related Literature</w:t>
      </w:r>
    </w:p>
    <w:p w14:paraId="02447DB1" w14:textId="29669950" w:rsidR="00D04AE5" w:rsidRDefault="00D04AE5" w:rsidP="00D04AE5">
      <w:pPr>
        <w:pStyle w:val="Newparagraph"/>
        <w:ind w:firstLine="0"/>
        <w:jc w:val="both"/>
        <w:rPr>
          <w:color w:val="000000"/>
        </w:rPr>
      </w:pPr>
      <w:r>
        <w:rPr>
          <w:color w:val="000000"/>
        </w:rPr>
        <w:t xml:space="preserve">Empirical research in developing countries indicate that among the numerous factors influencing the decision to leave school, some belong to individuals and their households while others are external to them. Therefore, dropout predictors can be categorized into demand and supply factors </w:t>
      </w:r>
      <w:r>
        <w:rPr>
          <w:color w:val="000000"/>
        </w:rPr>
        <w:fldChar w:fldCharType="begin" w:fldLock="1"/>
      </w:r>
      <w:r w:rsidR="005149A0">
        <w:rPr>
          <w:color w:val="000000"/>
        </w:rPr>
        <w:instrText>ADDIN CSL_CITATION {"citationItems":[{"id":"ITEM-1","itemData":{"author":[{"dropping-particle":"","family":"Sabates","given":"Ricardo","non-dropping-particle":"","parse-names":false,"suffix":""},{"dropping-particle":"","family":"Akyeampong","given":"Kwame","non-dropping-particle":"","parse-names":false,"suffix":""},{"dropping-particle":"","family":"Westbrook","given":"Jo","non-dropping-particle":"","parse-names":false,"suffix":""},{"dropping-particle":"","family":"Hunt","given":"Frances","non-dropping-particle":"","parse-names":false,"suffix":""}],"container-title":"Vienna: Paper commissioned for the EFA Global Monitoring Report, The hidden crisis: Armed conflict and education","id":"ITEM-1","issued":{"date-parts":[["2011"]]},"title":"School dropout: Patterns, causes, changes and policies","type":"article-journal"},"uris":["http://www.mendeley.com/documents/?uuid=9b38ba2c-2fd1-4513-bd29-579c919a97fc"]}],"mendeley":{"formattedCitation":"(Sabates et al., 2011)","plainTextFormattedCitation":"(Sabates et al., 2011)","previouslyFormattedCitation":"(Sabates et al., 2011)"},"properties":{"noteIndex":0},"schema":"https://github.com/citation-style-language/schema/raw/master/csl-citation.json"}</w:instrText>
      </w:r>
      <w:r>
        <w:rPr>
          <w:color w:val="000000"/>
        </w:rPr>
        <w:fldChar w:fldCharType="separate"/>
      </w:r>
      <w:r w:rsidRPr="00D04AE5">
        <w:rPr>
          <w:noProof/>
          <w:color w:val="000000"/>
        </w:rPr>
        <w:t>(Sabates et al., 2011)</w:t>
      </w:r>
      <w:r>
        <w:rPr>
          <w:color w:val="000000"/>
        </w:rPr>
        <w:fldChar w:fldCharType="end"/>
      </w:r>
      <w:r>
        <w:rPr>
          <w:color w:val="000000"/>
        </w:rPr>
        <w:t xml:space="preserve">. Moreover, given the complexity of the dropout phenomenon, more than one single event can result in a child leaving school, and </w:t>
      </w:r>
      <w:r>
        <w:rPr>
          <w:color w:val="000000"/>
        </w:rPr>
        <w:lastRenderedPageBreak/>
        <w:t>very often different factors play an interrelated role. In this section I briefly discuss selected empirical studies of dropout in developing countries.</w:t>
      </w:r>
    </w:p>
    <w:p w14:paraId="3F81F9AF" w14:textId="357BB4C8" w:rsidR="00D04AE5" w:rsidRDefault="00D04AE5" w:rsidP="00D04AE5">
      <w:pPr>
        <w:pStyle w:val="Newparagraph"/>
        <w:jc w:val="both"/>
        <w:rPr>
          <w:color w:val="000000"/>
        </w:rPr>
      </w:pPr>
      <w:r>
        <w:rPr>
          <w:color w:val="000000"/>
        </w:rPr>
        <w:t xml:space="preserve">On </w:t>
      </w:r>
      <w:r w:rsidRPr="00D04AE5">
        <w:rPr>
          <w:color w:val="000000"/>
        </w:rPr>
        <w:t>the</w:t>
      </w:r>
      <w:r>
        <w:rPr>
          <w:color w:val="000000"/>
        </w:rPr>
        <w:t xml:space="preserve"> demand side, household income and financial circumstances are often considered major determinants of access to education and persistence </w:t>
      </w:r>
      <w:r>
        <w:rPr>
          <w:color w:val="000000"/>
        </w:rPr>
        <w:fldChar w:fldCharType="begin" w:fldLock="1"/>
      </w:r>
      <w:r w:rsidR="005149A0">
        <w:rPr>
          <w:color w:val="000000"/>
        </w:rPr>
        <w:instrText>ADDIN CSL_CITATION {"citationItems":[{"id":"ITEM-1","itemData":{"author":[{"dropping-particle":"","family":"Hunt","given":"Frances","non-dropping-particle":"","parse-names":false,"suffix":""}],"id":"ITEM-1","issued":{"date-parts":[["2008"]]},"publisher":"ERIC","title":"Dropping Out from School: A Cross Country Review of the Literature. Create Pathways to Access. Research Monograph, No. 16.","type":"book"},"uris":["http://www.mendeley.com/documents/?uuid=60b83670-fe1d-4911-9a22-be460a7720ef"]}],"mendeley":{"formattedCitation":"(Hunt, 2008)","plainTextFormattedCitation":"(Hunt, 2008)","previouslyFormattedCitation":"(Hunt, 2008)"},"properties":{"noteIndex":0},"schema":"https://github.com/citation-style-language/schema/raw/master/csl-citation.json"}</w:instrText>
      </w:r>
      <w:r>
        <w:rPr>
          <w:color w:val="000000"/>
        </w:rPr>
        <w:fldChar w:fldCharType="separate"/>
      </w:r>
      <w:r w:rsidRPr="00D04AE5">
        <w:rPr>
          <w:noProof/>
          <w:color w:val="000000"/>
        </w:rPr>
        <w:t>(Hunt, 2008)</w:t>
      </w:r>
      <w:r>
        <w:rPr>
          <w:color w:val="000000"/>
        </w:rPr>
        <w:fldChar w:fldCharType="end"/>
      </w:r>
      <w:r>
        <w:rPr>
          <w:color w:val="000000"/>
        </w:rPr>
        <w:t xml:space="preserve">. Access and attendance to school are associated with direct and indirect costs, such as school fees, the cost of school materials, transportation, and the opportunity cost of sending a child to school. Consequently, studies highlight the linkage between household income and dropout. </w:t>
      </w:r>
      <w:r w:rsidR="00855521">
        <w:rPr>
          <w:color w:val="000000"/>
        </w:rPr>
        <w:t>N</w:t>
      </w:r>
      <w:r>
        <w:rPr>
          <w:color w:val="000000"/>
        </w:rPr>
        <w:t xml:space="preserve">umerous studies have examined the relationship between poverty status and dropping out of school, finding that children from poor households are more likely to drop out, if ever enrolled </w:t>
      </w:r>
      <w:r>
        <w:rPr>
          <w:color w:val="000000"/>
        </w:rPr>
        <w:fldChar w:fldCharType="begin" w:fldLock="1"/>
      </w:r>
      <w:r w:rsidR="005149A0">
        <w:rPr>
          <w:color w:val="000000"/>
        </w:rPr>
        <w:instrText>ADDIN CSL_CITATION {"citationItems":[{"id":"ITEM-1","itemData":{"author":[{"dropping-particle":"","family":"Colclough","given":"Christopher","non-dropping-particle":"","parse-names":false,"suffix":""},{"dropping-particle":"","family":"Rose","given":"Pauline","non-dropping-particle":"","parse-names":false,"suffix":""},{"dropping-particle":"","family":"Tembon","given":"Mercy","non-dropping-particle":"","parse-names":false,"suffix":""}],"container-title":"International Journal of Educational Development","id":"ITEM-1","issue":"1","issued":{"date-parts":[["2000"]]},"page":"5-27","publisher":"Elsevier","title":"Gender inequalities in primary schooling: The roles of poverty and adverse cultural practice","type":"article-journal","volume":"20"},"uris":["http://www.mendeley.com/documents/?uuid=269fd8ea-7125-4b9e-b228-9f99a0c11dbf"]},{"id":"ITEM-2","itemData":{"author":[{"dropping-particle":"","family":"Brown","given":"Philip H","non-dropping-particle":"","parse-names":false,"suffix":""},{"dropping-particle":"","family":"Park","given":"Albert","non-dropping-particle":"","parse-names":false,"suffix":""}],"container-title":"Economics of Education Review","id":"ITEM-2","issue":"6","issued":{"date-parts":[["2002"]]},"page":"523-541","publisher":"Elsevier","title":"Education and poverty in rural China","type":"article-journal","volume":"21"},"uris":["http://www.mendeley.com/documents/?uuid=661ac1d2-1683-4c6a-892a-90f062cbbd33"]}],"mendeley":{"formattedCitation":"(Brown &amp; Park, 2002; Colclough, Rose, &amp; Tembon, 2000)","plainTextFormattedCitation":"(Brown &amp; Park, 2002; Colclough, Rose, &amp; Tembon, 2000)","previouslyFormattedCitation":"(Brown &amp; Park, 2002; Colclough, Rose, &amp; Tembon, 2000)"},"properties":{"noteIndex":0},"schema":"https://github.com/citation-style-language/schema/raw/master/csl-citation.json"}</w:instrText>
      </w:r>
      <w:r>
        <w:rPr>
          <w:color w:val="000000"/>
        </w:rPr>
        <w:fldChar w:fldCharType="separate"/>
      </w:r>
      <w:r w:rsidRPr="00D04AE5">
        <w:rPr>
          <w:noProof/>
          <w:color w:val="000000"/>
        </w:rPr>
        <w:t>(Brown &amp; Park, 2002; Colclough, Rose, &amp; Tembon, 2000)</w:t>
      </w:r>
      <w:r>
        <w:rPr>
          <w:color w:val="000000"/>
        </w:rPr>
        <w:fldChar w:fldCharType="end"/>
      </w:r>
      <w:r>
        <w:rPr>
          <w:color w:val="000000"/>
        </w:rPr>
        <w:t xml:space="preserve">. </w:t>
      </w:r>
      <w:r w:rsidR="00855521">
        <w:rPr>
          <w:color w:val="000000"/>
        </w:rPr>
        <w:t>Furthermore, t</w:t>
      </w:r>
      <w:r>
        <w:rPr>
          <w:color w:val="000000"/>
        </w:rPr>
        <w:t xml:space="preserve">he likelihood of dropping out increases with time, given the increase of the opportunity cost as the child grows older </w:t>
      </w:r>
      <w:r>
        <w:rPr>
          <w:color w:val="000000"/>
        </w:rPr>
        <w:fldChar w:fldCharType="begin" w:fldLock="1"/>
      </w:r>
      <w:r w:rsidR="005149A0">
        <w:rPr>
          <w:color w:val="000000"/>
        </w:rPr>
        <w:instrText>ADDIN CSL_CITATION {"citationItems":[{"id":"ITEM-1","itemData":{"author":[{"dropping-particle":"","family":"Hunt","given":"Frances","non-dropping-particle":"","parse-names":false,"suffix":""}],"id":"ITEM-1","issued":{"date-parts":[["2008"]]},"publisher":"ERIC","title":"Dropping Out from School: A Cross Country Review of the Literature. Create Pathways to Access. Research Monograph, No. 16.","type":"book"},"uris":["http://www.mendeley.com/documents/?uuid=60b83670-fe1d-4911-9a22-be460a7720ef"]}],"mendeley":{"formattedCitation":"(Hunt, 2008)","plainTextFormattedCitation":"(Hunt, 2008)","previouslyFormattedCitation":"(Hunt, 2008)"},"properties":{"noteIndex":0},"schema":"https://github.com/citation-style-language/schema/raw/master/csl-citation.json"}</w:instrText>
      </w:r>
      <w:r>
        <w:rPr>
          <w:color w:val="000000"/>
        </w:rPr>
        <w:fldChar w:fldCharType="separate"/>
      </w:r>
      <w:r w:rsidRPr="00D04AE5">
        <w:rPr>
          <w:noProof/>
          <w:color w:val="000000"/>
        </w:rPr>
        <w:t>(Hunt, 2008)</w:t>
      </w:r>
      <w:r>
        <w:rPr>
          <w:color w:val="000000"/>
        </w:rPr>
        <w:fldChar w:fldCharType="end"/>
      </w:r>
      <w:r w:rsidR="00855521">
        <w:rPr>
          <w:color w:val="000000"/>
        </w:rPr>
        <w:t xml:space="preserve">. </w:t>
      </w:r>
    </w:p>
    <w:p w14:paraId="3455D03C" w14:textId="7C14FEDF" w:rsidR="00D04AE5" w:rsidRDefault="00D04AE5" w:rsidP="00D04AE5">
      <w:pPr>
        <w:pStyle w:val="Newparagraph"/>
        <w:jc w:val="both"/>
        <w:rPr>
          <w:color w:val="000000"/>
        </w:rPr>
      </w:pPr>
      <w:r w:rsidRPr="00D04AE5">
        <w:rPr>
          <w:color w:val="000000"/>
        </w:rPr>
        <w:t xml:space="preserve">Income </w:t>
      </w:r>
      <w:r>
        <w:rPr>
          <w:color w:val="000000"/>
        </w:rPr>
        <w:t xml:space="preserve">shocks can potentially trigger dropouts. Vulnerable households very often cope with income shocks by withdrawing children from school, by means of reducing costs or increasing sources of income. Nonetheless, coping strategies of poor households differ in different contexts. For instance, households participating in welfare programs, such as a conditional cash transfers, are less likely to withdraw their children from school; similarly, households with more assets are less likely to immediately pull their children out of school than households with low assets. Also, rural and poor households are more likely to be vulnerable </w:t>
      </w:r>
      <w:r>
        <w:rPr>
          <w:color w:val="000000"/>
        </w:rPr>
        <w:fldChar w:fldCharType="begin" w:fldLock="1"/>
      </w:r>
      <w:r w:rsidR="005149A0">
        <w:rPr>
          <w:color w:val="000000"/>
        </w:rPr>
        <w:instrText>ADDIN CSL_CITATION {"citationItems":[{"id":"ITEM-1","itemData":{"author":[{"dropping-particle":"","family":"Hunt","given":"Frances","non-dropping-particle":"","parse-names":false,"suffix":""}],"id":"ITEM-1","issued":{"date-parts":[["2008"]]},"publisher":"ERIC","title":"Dropping Out from School: A Cross Country Review of the Literature. Create Pathways to Access. Research Monograph, No. 16.","type":"book"},"uris":["http://www.mendeley.com/documents/?uuid=60b83670-fe1d-4911-9a22-be460a7720ef"]}],"mendeley":{"formattedCitation":"(Hunt, 2008)","plainTextFormattedCitation":"(Hunt, 2008)","previouslyFormattedCitation":"(Hunt, 2008)"},"properties":{"noteIndex":0},"schema":"https://github.com/citation-style-language/schema/raw/master/csl-citation.json"}</w:instrText>
      </w:r>
      <w:r>
        <w:rPr>
          <w:color w:val="000000"/>
        </w:rPr>
        <w:fldChar w:fldCharType="separate"/>
      </w:r>
      <w:r w:rsidRPr="00D04AE5">
        <w:rPr>
          <w:noProof/>
          <w:color w:val="000000"/>
        </w:rPr>
        <w:t>(Hunt, 2008)</w:t>
      </w:r>
      <w:r>
        <w:rPr>
          <w:color w:val="000000"/>
        </w:rPr>
        <w:fldChar w:fldCharType="end"/>
      </w:r>
      <w:r>
        <w:rPr>
          <w:color w:val="000000"/>
        </w:rPr>
        <w:t xml:space="preserve">. </w:t>
      </w:r>
    </w:p>
    <w:p w14:paraId="6E194046" w14:textId="4C82AF57" w:rsidR="00D04AE5" w:rsidRDefault="00D04AE5" w:rsidP="00D04AE5">
      <w:pPr>
        <w:pStyle w:val="Newparagraph"/>
        <w:jc w:val="both"/>
        <w:rPr>
          <w:color w:val="000000"/>
        </w:rPr>
      </w:pPr>
      <w:r w:rsidRPr="00D04AE5">
        <w:rPr>
          <w:color w:val="000000"/>
        </w:rPr>
        <w:t>Several studies have also indicated the important role that family and households’ context play in access to education and the risk of drop out</w:t>
      </w:r>
      <w:r w:rsidR="00DE093C">
        <w:rPr>
          <w:color w:val="000000"/>
        </w:rPr>
        <w:t xml:space="preserve"> </w:t>
      </w:r>
      <w:r w:rsidR="00DE093C">
        <w:rPr>
          <w:color w:val="000000"/>
        </w:rPr>
        <w:fldChar w:fldCharType="begin" w:fldLock="1"/>
      </w:r>
      <w:r w:rsidR="005149A0">
        <w:rPr>
          <w:color w:val="000000"/>
        </w:rPr>
        <w:instrText>ADDIN CSL_CITATION {"citationItems":[{"id":"ITEM-1","itemData":{"author":[{"dropping-particle":"","family":"Alexander","given":"Karl","non-dropping-particle":"","parse-names":false,"suffix":""},{"dropping-particle":"","family":"Entwisle","given":"Doris","non-dropping-particle":"","parse-names":false,"suffix":""},{"dropping-particle":"","family":"Kabbani","given":"Nader","non-dropping-particle":"","parse-names":false,"suffix":""}],"container-title":"The Teachers College Record","id":"ITEM-1","issue":"5","issued":{"date-parts":[["2001"]]},"page":"760-822","publisher":"Teachers College Record","title":"The dropout process in life course perspective: Early risk factors at home and school","type":"article-journal","volume":"103"},"uris":["http://www.mendeley.com/documents/?uuid=11b5126e-4a34-4c00-bcea-88ede483e6c5"]}],"mendeley":{"formattedCitation":"(Alexander, Entwisle, &amp; Kabbani, 2001)","plainTextFormattedCitation":"(Alexander, Entwisle, &amp; Kabbani, 2001)","previouslyFormattedCitation":"(Alexander, Entwisle, &amp; Kabbani, 2001)"},"properties":{"noteIndex":0},"schema":"https://github.com/citation-style-language/schema/raw/master/csl-citation.json"}</w:instrText>
      </w:r>
      <w:r w:rsidR="00DE093C">
        <w:rPr>
          <w:color w:val="000000"/>
        </w:rPr>
        <w:fldChar w:fldCharType="separate"/>
      </w:r>
      <w:r w:rsidR="00DE093C" w:rsidRPr="00DE093C">
        <w:rPr>
          <w:noProof/>
          <w:color w:val="000000"/>
        </w:rPr>
        <w:t>(Alexander, Entwisle, &amp; Kabbani, 2001)</w:t>
      </w:r>
      <w:r w:rsidR="00DE093C">
        <w:rPr>
          <w:color w:val="000000"/>
        </w:rPr>
        <w:fldChar w:fldCharType="end"/>
      </w:r>
      <w:r w:rsidRPr="00D04AE5">
        <w:rPr>
          <w:color w:val="000000"/>
        </w:rPr>
        <w:t xml:space="preserve">. Among others, education of family members, household size, and age of household members have been found to be associated with school retention and dropout. For instance, </w:t>
      </w:r>
      <w:r w:rsidR="00DE093C" w:rsidRPr="00DE093C">
        <w:rPr>
          <w:noProof/>
        </w:rPr>
        <w:t>Cairns</w:t>
      </w:r>
      <w:r w:rsidR="00DE093C" w:rsidRPr="00DE093C">
        <w:t xml:space="preserve"> et al. (1989) </w:t>
      </w:r>
      <w:r w:rsidRPr="00D04AE5">
        <w:rPr>
          <w:color w:val="000000"/>
        </w:rPr>
        <w:t xml:space="preserve">examine the determinants of early school dropout </w:t>
      </w:r>
      <w:r w:rsidRPr="00D04AE5">
        <w:rPr>
          <w:color w:val="000000"/>
        </w:rPr>
        <w:lastRenderedPageBreak/>
        <w:t>finding that early parenthood is one important factor influencing the decision to leave school. Moreover, highly educated parents are more likely to value school progression and school achievement, thus their children are less likely to drop out. Similarly, higher education of the household head is associated with lower dropout rates, and more so if the head is female</w:t>
      </w:r>
      <w:r w:rsidR="00DE093C">
        <w:rPr>
          <w:color w:val="000000"/>
        </w:rPr>
        <w:t xml:space="preserve"> </w:t>
      </w:r>
      <w:r w:rsidR="00DE093C">
        <w:rPr>
          <w:color w:val="000000"/>
        </w:rPr>
        <w:fldChar w:fldCharType="begin" w:fldLock="1"/>
      </w:r>
      <w:r w:rsidR="005149A0">
        <w:rPr>
          <w:color w:val="000000"/>
        </w:rPr>
        <w:instrText>ADDIN CSL_CITATION {"citationItems":[{"id":"ITEM-1","itemData":{"author":[{"dropping-particle":"","family":"Al-Samarrai","given":"Samer","non-dropping-particle":"","parse-names":false,"suffix":""},{"dropping-particle":"","family":"Peasgood","given":"Tessa","non-dropping-particle":"","parse-names":false,"suffix":""}],"container-title":"Economics of Education Review","id":"ITEM-1","issue":"4","issued":{"date-parts":[["1998"]]},"page":"395-417","publisher":"Elsevier","title":"Educational attainments and household characteristics in Tanzania","type":"article-journal","volume":"17"},"uris":["http://www.mendeley.com/documents/?uuid=71d12bb2-1f08-4f6f-a360-7fb4a194b2de"]}],"mendeley":{"formattedCitation":"(Al-Samarrai &amp; Peasgood, 1998)","plainTextFormattedCitation":"(Al-Samarrai &amp; Peasgood, 1998)","previouslyFormattedCitation":"(Al-Samarrai &amp; Peasgood, 1998)"},"properties":{"noteIndex":0},"schema":"https://github.com/citation-style-language/schema/raw/master/csl-citation.json"}</w:instrText>
      </w:r>
      <w:r w:rsidR="00DE093C">
        <w:rPr>
          <w:color w:val="000000"/>
        </w:rPr>
        <w:fldChar w:fldCharType="separate"/>
      </w:r>
      <w:r w:rsidR="00DE093C" w:rsidRPr="00DE093C">
        <w:rPr>
          <w:noProof/>
          <w:color w:val="000000"/>
        </w:rPr>
        <w:t>(Al-Samarrai &amp; Peasgood, 1998)</w:t>
      </w:r>
      <w:r w:rsidR="00DE093C">
        <w:rPr>
          <w:color w:val="000000"/>
        </w:rPr>
        <w:fldChar w:fldCharType="end"/>
      </w:r>
      <w:r w:rsidRPr="00D04AE5">
        <w:rPr>
          <w:color w:val="000000"/>
        </w:rPr>
        <w:t>.</w:t>
      </w:r>
    </w:p>
    <w:p w14:paraId="58F62ECF" w14:textId="586187E4" w:rsidR="00DE093C" w:rsidRDefault="00DE093C" w:rsidP="00D04AE5">
      <w:pPr>
        <w:pStyle w:val="Newparagraph"/>
        <w:jc w:val="both"/>
        <w:rPr>
          <w:color w:val="000000"/>
        </w:rPr>
      </w:pPr>
      <w:r>
        <w:rPr>
          <w:color w:val="000000"/>
        </w:rPr>
        <w:t xml:space="preserve">A number of studies have examined the association between nutrition and health of the children, and access to education and drop out. In this sense, Glewwe &amp; Kremer (2006) indicate that poor health status of a child can limit school participation. Additionally, it affects children academic performance, increasing therefore the probability of dropping out. For instance, </w:t>
      </w:r>
      <w:r>
        <w:rPr>
          <w:color w:val="000000"/>
        </w:rPr>
        <w:fldChar w:fldCharType="begin" w:fldLock="1"/>
      </w:r>
      <w:r w:rsidR="005149A0">
        <w:rPr>
          <w:color w:val="000000"/>
        </w:rPr>
        <w:instrText>ADDIN CSL_CITATION {"citationItems":[{"id":"ITEM-1","itemData":{"author":[{"dropping-particle":"","family":"Miguel","given":"Edward","non-dropping-particle":"","parse-names":false,"suffix":""},{"dropping-particle":"","family":"Kremer","given":"Michael","non-dropping-particle":"","parse-names":false,"suffix":""}],"container-title":"Econometrica","id":"ITEM-1","issue":"1","issued":{"date-parts":[["2004"]]},"page":"159-217","publisher":"Wiley Online Library","title":"Worms: identifying impacts on education and health in the presence of treatment externalities","type":"article-journal","volume":"72"},"uris":["http://www.mendeley.com/documents/?uuid=a905c786-4760-40e7-91db-bafb78a24e3c"]}],"mendeley":{"formattedCitation":"(Miguel &amp; Kremer, 2004)","manualFormatting":"Miguel &amp; Kremer (2004)","plainTextFormattedCitation":"(Miguel &amp; Kremer, 2004)","previouslyFormattedCitation":"(Miguel &amp; Kremer, 2004)"},"properties":{"noteIndex":0},"schema":"https://github.com/citation-style-language/schema/raw/master/csl-citation.json"}</w:instrText>
      </w:r>
      <w:r>
        <w:rPr>
          <w:color w:val="000000"/>
        </w:rPr>
        <w:fldChar w:fldCharType="separate"/>
      </w:r>
      <w:r>
        <w:rPr>
          <w:noProof/>
          <w:color w:val="000000"/>
        </w:rPr>
        <w:t>Miguel &amp; Kremer</w:t>
      </w:r>
      <w:r w:rsidRPr="00DE093C">
        <w:rPr>
          <w:noProof/>
          <w:color w:val="000000"/>
        </w:rPr>
        <w:t xml:space="preserve"> </w:t>
      </w:r>
      <w:r>
        <w:rPr>
          <w:noProof/>
          <w:color w:val="000000"/>
        </w:rPr>
        <w:t>(</w:t>
      </w:r>
      <w:r w:rsidRPr="00DE093C">
        <w:rPr>
          <w:noProof/>
          <w:color w:val="000000"/>
        </w:rPr>
        <w:t>2004)</w:t>
      </w:r>
      <w:r>
        <w:rPr>
          <w:color w:val="000000"/>
        </w:rPr>
        <w:fldChar w:fldCharType="end"/>
      </w:r>
      <w:r>
        <w:rPr>
          <w:color w:val="000000"/>
        </w:rPr>
        <w:t xml:space="preserve"> evaluate a school-based mass treatment with deworming drugs in Kenya, finding that this treatment increased participation in schools through improved health of the child. Furthermore, this treatment not only affected the treated children but also those not treated due to the reduction of disease transmission. Research also demonstrates that children suffering from chronic malnutrition, or lacking of sufficient micronutrients and energy intake are more likely to miss classes, to repeat grades, and to academically underperform, thus increasing their probabilities to drop out </w:t>
      </w:r>
      <w:r>
        <w:rPr>
          <w:color w:val="000000"/>
        </w:rPr>
        <w:fldChar w:fldCharType="begin" w:fldLock="1"/>
      </w:r>
      <w:r w:rsidR="005149A0">
        <w:rPr>
          <w:color w:val="000000"/>
        </w:rPr>
        <w:instrText>ADDIN CSL_CITATION {"citationItems":[{"id":"ITEM-1","itemData":{"author":[{"dropping-particle":"","family":"Pollitt","given":"Ernesto","non-dropping-particle":"","parse-names":false,"suffix":""},{"dropping-particle":"","family":"others","given":"","non-dropping-particle":"","parse-names":false,"suffix":""}],"id":"ITEM-1","issued":{"date-parts":[["1990"]]},"publisher":"UNESCO, Division of Science, Technical and Environmental Education","title":"Malnutrition and Infection in the Classroom.","type":"book"},"uris":["http://www.mendeley.com/documents/?uuid=888f3eaa-5554-488e-bb72-e4c5f102a472"]}],"mendeley":{"formattedCitation":"(Pollitt &amp; others, 1990)","plainTextFormattedCitation":"(Pollitt &amp; others, 1990)","previouslyFormattedCitation":"(Pollitt &amp; others, 1990)"},"properties":{"noteIndex":0},"schema":"https://github.com/citation-style-language/schema/raw/master/csl-citation.json"}</w:instrText>
      </w:r>
      <w:r>
        <w:rPr>
          <w:color w:val="000000"/>
        </w:rPr>
        <w:fldChar w:fldCharType="separate"/>
      </w:r>
      <w:r w:rsidRPr="00DE093C">
        <w:rPr>
          <w:noProof/>
          <w:color w:val="000000"/>
        </w:rPr>
        <w:t>(Pollitt &amp; others, 1990)</w:t>
      </w:r>
      <w:r>
        <w:rPr>
          <w:color w:val="000000"/>
        </w:rPr>
        <w:fldChar w:fldCharType="end"/>
      </w:r>
      <w:r>
        <w:rPr>
          <w:color w:val="000000"/>
        </w:rPr>
        <w:t xml:space="preserve">. </w:t>
      </w:r>
    </w:p>
    <w:p w14:paraId="22719C56" w14:textId="602E6977" w:rsidR="00DE093C" w:rsidRDefault="00DE093C" w:rsidP="00D04AE5">
      <w:pPr>
        <w:pStyle w:val="Newparagraph"/>
        <w:jc w:val="both"/>
        <w:rPr>
          <w:color w:val="000000"/>
        </w:rPr>
      </w:pPr>
      <w:r>
        <w:rPr>
          <w:color w:val="000000"/>
        </w:rPr>
        <w:t xml:space="preserve">Lastly, migration can also have consequences for school attendance and dropouts. While the direction of the relationship is not certain, as it could increase or decrease school attendance and educational attainment, the literature suggests that migration from rural to urban areas frequently leads to drop out. Migration can also play an interrelated role with other factors, such as gender. For instance, </w:t>
      </w:r>
      <w:r>
        <w:rPr>
          <w:color w:val="000000"/>
        </w:rPr>
        <w:fldChar w:fldCharType="begin" w:fldLock="1"/>
      </w:r>
      <w:r w:rsidR="005149A0">
        <w:rPr>
          <w:color w:val="000000"/>
        </w:rPr>
        <w:instrText>ADDIN CSL_CITATION {"citationItems":[{"id":"ITEM-1","itemData":{"author":[{"dropping-particle":"","family":"Colclough","given":"Christopher","non-dropping-particle":"","parse-names":false,"suffix":""},{"dropping-particle":"","family":"Rose","given":"Pauline","non-dropping-particle":"","parse-names":false,"suffix":""},{"dropping-particle":"","family":"Tembon","given":"Mercy","non-dropping-particle":"","parse-names":false,"suffix":""}],"container-title":"International Journal of Educational Development","id":"ITEM-1","issue":"1","issued":{"date-parts":[["2000"]]},"page":"5-27","publisher":"Elsevier","title":"Gender inequalities in primary schooling: The roles of poverty and adverse cultural practice","type":"article-journal","volume":"20"},"uris":["http://www.mendeley.com/documents/?uuid=269fd8ea-7125-4b9e-b228-9f99a0c11dbf"]}],"mendeley":{"formattedCitation":"(Colclough et al., 2000)","manualFormatting":"Colclough et al. (2000)","plainTextFormattedCitation":"(Colclough et al., 2000)","previouslyFormattedCitation":"(Colclough et al., 2000)"},"properties":{"noteIndex":0},"schema":"https://github.com/citation-style-language/schema/raw/master/csl-citation.json"}</w:instrText>
      </w:r>
      <w:r>
        <w:rPr>
          <w:color w:val="000000"/>
        </w:rPr>
        <w:fldChar w:fldCharType="separate"/>
      </w:r>
      <w:r w:rsidRPr="00DE093C">
        <w:rPr>
          <w:noProof/>
          <w:color w:val="000000"/>
        </w:rPr>
        <w:t xml:space="preserve">Colclough et al. </w:t>
      </w:r>
      <w:r>
        <w:rPr>
          <w:noProof/>
          <w:color w:val="000000"/>
        </w:rPr>
        <w:t>(</w:t>
      </w:r>
      <w:r w:rsidRPr="00DE093C">
        <w:rPr>
          <w:noProof/>
          <w:color w:val="000000"/>
        </w:rPr>
        <w:t>2000)</w:t>
      </w:r>
      <w:r>
        <w:rPr>
          <w:color w:val="000000"/>
        </w:rPr>
        <w:fldChar w:fldCharType="end"/>
      </w:r>
      <w:r>
        <w:rPr>
          <w:color w:val="000000"/>
        </w:rPr>
        <w:t xml:space="preserve"> note that in Africa, girls are often withdrawn from school to migrate to urban areas to work as housemaids.</w:t>
      </w:r>
    </w:p>
    <w:p w14:paraId="45BC6EA1" w14:textId="1AD65360" w:rsidR="002A59B4" w:rsidRPr="002A59B4" w:rsidRDefault="002A59B4" w:rsidP="002A59B4">
      <w:pPr>
        <w:pStyle w:val="Newparagraph"/>
        <w:jc w:val="both"/>
        <w:rPr>
          <w:color w:val="000000"/>
        </w:rPr>
      </w:pPr>
      <w:r>
        <w:rPr>
          <w:color w:val="000000"/>
        </w:rPr>
        <w:lastRenderedPageBreak/>
        <w:t xml:space="preserve">On the supply side, previous studies highlight that lower demand for education are exacerbated by the often insufficient lack of schools and poor school quality in developing countries </w:t>
      </w:r>
      <w:r>
        <w:rPr>
          <w:color w:val="000000"/>
        </w:rPr>
        <w:fldChar w:fldCharType="begin" w:fldLock="1"/>
      </w:r>
      <w:r w:rsidR="00B04738">
        <w:rPr>
          <w:color w:val="000000"/>
        </w:rPr>
        <w:instrText>ADDIN CSL_CITATION {"citationItems":[{"id":"ITEM-1","itemData":{"author":[{"dropping-particle":"","family":"Colclough","given":"Christopher","non-dropping-particle":"","parse-names":false,"suffix":""},{"dropping-particle":"","family":"Rose","given":"Pauline","non-dropping-particle":"","parse-names":false,"suffix":""},{"dropping-particle":"","family":"Tembon","given":"Mercy","non-dropping-particle":"","parse-names":false,"suffix":""}],"container-title":"International Journal of Educational Development","id":"ITEM-1","issue":"1","issued":{"date-parts":[["2000"]]},"page":"5-27","publisher":"Elsevier","title":"Gender inequalities in primary schooling: The roles of poverty and adverse cultural practice","type":"article-journal","volume":"20"},"uris":["http://www.mendeley.com/documents/?uuid=269fd8ea-7125-4b9e-b228-9f99a0c11dbf"]},{"id":"ITEM-2","itemData":{"author":[{"dropping-particle":"","family":"Glewwe","given":"Paul","non-dropping-particle":"","parse-names":false,"suffix":""},{"dropping-particle":"","family":"Kremer","given":"Michael","non-dropping-particle":"","parse-names":false,"suffix":""}],"container-title":"Handbook of the Economics of Education","id":"ITEM-2","issued":{"date-parts":[["2006"]]},"page":"945-1017","publisher":"Elsevier","title":"Schools, teachers, and education outcomes in developing countries","type":"chapter","volume":"2"},"uris":["http://www.mendeley.com/documents/?uuid=b44e27e3-53cf-40bd-ba72-580106acc24d"]}],"mendeley":{"formattedCitation":"(Colclough et al., 2000; Glewwe &amp; Kremer, 2006)","plainTextFormattedCitation":"(Colclough et al., 2000; Glewwe &amp; Kremer, 2006)","previouslyFormattedCitation":"(Colclough et al., 2000; Glewwe &amp; Kremer, 2006)"},"properties":{"noteIndex":0},"schema":"https://github.com/citation-style-language/schema/raw/master/csl-citation.json"}</w:instrText>
      </w:r>
      <w:r>
        <w:rPr>
          <w:color w:val="000000"/>
        </w:rPr>
        <w:fldChar w:fldCharType="separate"/>
      </w:r>
      <w:r w:rsidRPr="002A59B4">
        <w:rPr>
          <w:noProof/>
          <w:color w:val="000000"/>
        </w:rPr>
        <w:t>(Colclough et al., 2000; Glewwe &amp; Kremer, 2006)</w:t>
      </w:r>
      <w:r>
        <w:rPr>
          <w:color w:val="000000"/>
        </w:rPr>
        <w:fldChar w:fldCharType="end"/>
      </w:r>
      <w:r>
        <w:rPr>
          <w:color w:val="000000"/>
        </w:rPr>
        <w:t xml:space="preserve">. These supply-driven factors can affect school attendance, participation, and completion through different avenues. For example, the reduced supply of schools can increase indirect costs of education, such as transportation. In this regard, </w:t>
      </w:r>
      <w:r>
        <w:rPr>
          <w:color w:val="000000"/>
        </w:rPr>
        <w:fldChar w:fldCharType="begin" w:fldLock="1"/>
      </w:r>
      <w:r w:rsidR="005149A0">
        <w:rPr>
          <w:color w:val="000000"/>
        </w:rPr>
        <w:instrText>ADDIN CSL_CITATION {"citationItems":[{"id":"ITEM-1","itemData":{"author":[{"dropping-particle":"","family":"Glewwe","given":"Paul","non-dropping-particle":"","parse-names":false,"suffix":""},{"dropping-particle":"","family":"Jacoby","given":"Hanan","non-dropping-particle":"","parse-names":false,"suffix":""}],"container-title":"Journal of Human Resources","id":"ITEM-1","issued":{"date-parts":[["1994"]]},"page":"843-864","publisher":"JSTOR","title":"Student achievement and schooling choice in low-income countries: Evidence from Ghana","type":"article-journal"},"uris":["http://www.mendeley.com/documents/?uuid=1cb7591a-de94-40a0-84e3-fcbfc9882938"]}],"mendeley":{"formattedCitation":"(Glewwe &amp; Jacoby, 1994)","manualFormatting":"Glewwe &amp; Jacoby (1994)","plainTextFormattedCitation":"(Glewwe &amp; Jacoby, 1994)","previouslyFormattedCitation":"(Glewwe &amp; Jacoby, 1994)"},"properties":{"noteIndex":0},"schema":"https://github.com/citation-style-language/schema/raw/master/csl-citation.json"}</w:instrText>
      </w:r>
      <w:r>
        <w:rPr>
          <w:color w:val="000000"/>
        </w:rPr>
        <w:fldChar w:fldCharType="separate"/>
      </w:r>
      <w:r>
        <w:rPr>
          <w:noProof/>
          <w:color w:val="000000"/>
        </w:rPr>
        <w:t>Glewwe &amp; Jacoby (</w:t>
      </w:r>
      <w:r w:rsidRPr="002A59B4">
        <w:rPr>
          <w:noProof/>
          <w:color w:val="000000"/>
        </w:rPr>
        <w:t>1994)</w:t>
      </w:r>
      <w:r>
        <w:rPr>
          <w:color w:val="000000"/>
        </w:rPr>
        <w:fldChar w:fldCharType="end"/>
      </w:r>
      <w:r>
        <w:rPr>
          <w:color w:val="000000"/>
        </w:rPr>
        <w:t xml:space="preserve"> examine the impact of distance to school on grade attainment and late enrolment in Ghana, finding that high travel time to school negatively affects grade attainment. Moreover, these supply-driven factors can differ by area, affecting therefore schooling decisions. In many countries, the number of schools in rural areas are much lower than in urban areas, while </w:t>
      </w:r>
      <w:r w:rsidRPr="002A59B4">
        <w:rPr>
          <w:color w:val="000000"/>
        </w:rPr>
        <w:t>dropout rates are higher in rural areas.</w:t>
      </w:r>
    </w:p>
    <w:p w14:paraId="6011B852" w14:textId="50D456DE" w:rsidR="002A59B4" w:rsidRDefault="002A59B4" w:rsidP="002A59B4">
      <w:pPr>
        <w:pStyle w:val="Newparagraph"/>
        <w:jc w:val="both"/>
        <w:rPr>
          <w:color w:val="000000"/>
        </w:rPr>
      </w:pPr>
      <w:r w:rsidRPr="002A59B4">
        <w:rPr>
          <w:color w:val="000000"/>
        </w:rPr>
        <w:t>Finally,</w:t>
      </w:r>
      <w:r>
        <w:rPr>
          <w:color w:val="000000"/>
        </w:rPr>
        <w:t xml:space="preserve"> the mismatch between language of instruction and children's mother tongue has been acknowledged as a supply side cause of drop out </w:t>
      </w:r>
      <w:r>
        <w:rPr>
          <w:color w:val="000000"/>
        </w:rPr>
        <w:fldChar w:fldCharType="begin" w:fldLock="1"/>
      </w:r>
      <w:r w:rsidR="005149A0">
        <w:rPr>
          <w:color w:val="000000"/>
        </w:rPr>
        <w:instrText>ADDIN CSL_CITATION {"citationItems":[{"id":"ITEM-1","itemData":{"author":[{"dropping-particle":"","family":"Hunt","given":"Frances","non-dropping-particle":"","parse-names":false,"suffix":""}],"id":"ITEM-1","issued":{"date-parts":[["2008"]]},"publisher":"ERIC","title":"Dropping Out from School: A Cross Country Review of the Literature. Create Pathways to Access. Research Monograph, No. 16.","type":"book"},"uris":["http://www.mendeley.com/documents/?uuid=60b83670-fe1d-4911-9a22-be460a7720ef"]},{"id":"ITEM-2","itemData":{"author":[{"dropping-particle":"","family":"Sabates","given":"Ricardo","non-dropping-particle":"","parse-names":false,"suffix":""},{"dropping-particle":"","family":"Akyeampong","given":"Kwame","non-dropping-particle":"","parse-names":false,"suffix":""},{"dropping-particle":"","family":"Westbrook","given":"Jo","non-dropping-particle":"","parse-names":false,"suffix":""},{"dropping-particle":"","family":"Hunt","given":"Frances","non-dropping-particle":"","parse-names":false,"suffix":""}],"container-title":"Vienna: Paper commissioned for the EFA Global Monitoring Report, The hidden crisis: Armed conflict and education","id":"ITEM-2","issued":{"date-parts":[["2011"]]},"title":"School dropout: Patterns, causes, changes and policies","type":"article-journal"},"uris":["http://www.mendeley.com/documents/?uuid=9b38ba2c-2fd1-4513-bd29-579c919a97fc"]}],"mendeley":{"formattedCitation":"(Hunt, 2008; Sabates et al., 2011)","plainTextFormattedCitation":"(Hunt, 2008; Sabates et al., 2011)","previouslyFormattedCitation":"(Hunt, 2008; Sabates et al., 2011)"},"properties":{"noteIndex":0},"schema":"https://github.com/citation-style-language/schema/raw/master/csl-citation.json"}</w:instrText>
      </w:r>
      <w:r>
        <w:rPr>
          <w:color w:val="000000"/>
        </w:rPr>
        <w:fldChar w:fldCharType="separate"/>
      </w:r>
      <w:r w:rsidRPr="002A59B4">
        <w:rPr>
          <w:noProof/>
          <w:color w:val="000000"/>
        </w:rPr>
        <w:t>(Hunt, 2008; Sabates et al., 2011)</w:t>
      </w:r>
      <w:r>
        <w:rPr>
          <w:color w:val="000000"/>
        </w:rPr>
        <w:fldChar w:fldCharType="end"/>
      </w:r>
      <w:r>
        <w:rPr>
          <w:color w:val="000000"/>
        </w:rPr>
        <w:t xml:space="preserve">. The process of learning in a language that differs from the child's mother tongue in the early years of school can be exclusionary, which according to </w:t>
      </w:r>
      <w:r>
        <w:rPr>
          <w:color w:val="000000"/>
        </w:rPr>
        <w:fldChar w:fldCharType="begin" w:fldLock="1"/>
      </w:r>
      <w:r w:rsidR="00B04738">
        <w:rPr>
          <w:color w:val="000000"/>
        </w:rPr>
        <w:instrText>ADDIN CSL_CITATION {"citationItems":[{"id":"ITEM-1","itemData":{"author":[{"dropping-particle":"","family":"Glewwe","given":"Paul","non-dropping-particle":"","parse-names":false,"suffix":""},{"dropping-particle":"","family":"Kremer","given":"Michael","non-dropping-particle":"","parse-names":false,"suffix":""}],"container-title":"Handbook of the Economics of Education","id":"ITEM-1","issued":{"date-parts":[["2006"]]},"page":"945-1017","publisher":"Elsevier","title":"Schools, teachers, and education outcomes in developing countries","type":"chapter","volume":"2"},"uris":["http://www.mendeley.com/documents/?uuid=b44e27e3-53cf-40bd-ba72-580106acc24d"]}],"mendeley":{"formattedCitation":"(Glewwe &amp; Kremer, 2006)","manualFormatting":"Glewwe &amp; Kremer (2006)","plainTextFormattedCitation":"(Glewwe &amp; Kremer, 2006)","previouslyFormattedCitation":"(Glewwe &amp; Kremer, 2006)"},"properties":{"noteIndex":0},"schema":"https://github.com/citation-style-language/schema/raw/master/csl-citation.json"}</w:instrText>
      </w:r>
      <w:r>
        <w:rPr>
          <w:color w:val="000000"/>
        </w:rPr>
        <w:fldChar w:fldCharType="separate"/>
      </w:r>
      <w:r>
        <w:rPr>
          <w:noProof/>
          <w:color w:val="000000"/>
        </w:rPr>
        <w:t>Glewwe &amp; Kremer</w:t>
      </w:r>
      <w:r w:rsidRPr="002A59B4">
        <w:rPr>
          <w:noProof/>
          <w:color w:val="000000"/>
        </w:rPr>
        <w:t xml:space="preserve"> </w:t>
      </w:r>
      <w:r>
        <w:rPr>
          <w:noProof/>
          <w:color w:val="000000"/>
        </w:rPr>
        <w:t>(</w:t>
      </w:r>
      <w:r w:rsidRPr="002A59B4">
        <w:rPr>
          <w:noProof/>
          <w:color w:val="000000"/>
        </w:rPr>
        <w:t>2006)</w:t>
      </w:r>
      <w:r>
        <w:rPr>
          <w:color w:val="000000"/>
        </w:rPr>
        <w:fldChar w:fldCharType="end"/>
      </w:r>
      <w:r>
        <w:rPr>
          <w:color w:val="000000"/>
        </w:rPr>
        <w:t xml:space="preserve"> , is an usual characteristic of several developing countries. In an early study, </w:t>
      </w:r>
      <w:r>
        <w:rPr>
          <w:color w:val="000000"/>
        </w:rPr>
        <w:fldChar w:fldCharType="begin" w:fldLock="1"/>
      </w:r>
      <w:r w:rsidR="005149A0">
        <w:rPr>
          <w:color w:val="000000"/>
        </w:rPr>
        <w:instrText>ADDIN CSL_CITATION {"citationItems":[{"id":"ITEM-1","itemData":{"author":[{"dropping-particle":"","family":"Patrinos","given":"Harry Anthony","non-dropping-particle":"","parse-names":false,"suffix":""},{"dropping-particle":"","family":"Velez","given":"Eduardo","non-dropping-particle":"","parse-names":false,"suffix":""},{"dropping-particle":"","family":"Psacharopoulos","given":"George","non-dropping-particle":"","parse-names":false,"suffix":""}],"container-title":"The Journal of developing areas","id":"ITEM-1","issued":{"date-parts":[["1994"]]},"page":"57-68","publisher":"JSTOR","title":"Language, education, and earnings in Asuncion, Paraguay","type":"article-journal"},"uris":["http://www.mendeley.com/documents/?uuid=79b63fa9-c640-4c47-a523-648a4e9f974b"]}],"mendeley":{"formattedCitation":"(Patrinos et al., 1994)","manualFormatting":"Patrinos et al. (1994)","plainTextFormattedCitation":"(Patrinos et al., 1994)","previouslyFormattedCitation":"(Patrinos et al., 1994)"},"properties":{"noteIndex":0},"schema":"https://github.com/citation-style-language/schema/raw/master/csl-citation.json"}</w:instrText>
      </w:r>
      <w:r>
        <w:rPr>
          <w:color w:val="000000"/>
        </w:rPr>
        <w:fldChar w:fldCharType="separate"/>
      </w:r>
      <w:r>
        <w:rPr>
          <w:noProof/>
          <w:color w:val="000000"/>
        </w:rPr>
        <w:t>Patrinos et al.</w:t>
      </w:r>
      <w:r w:rsidRPr="002A59B4">
        <w:rPr>
          <w:noProof/>
          <w:color w:val="000000"/>
        </w:rPr>
        <w:t xml:space="preserve"> </w:t>
      </w:r>
      <w:r>
        <w:rPr>
          <w:noProof/>
          <w:color w:val="000000"/>
        </w:rPr>
        <w:t>(</w:t>
      </w:r>
      <w:r w:rsidRPr="002A59B4">
        <w:rPr>
          <w:noProof/>
          <w:color w:val="000000"/>
        </w:rPr>
        <w:t>1994)</w:t>
      </w:r>
      <w:r>
        <w:rPr>
          <w:color w:val="000000"/>
        </w:rPr>
        <w:fldChar w:fldCharType="end"/>
      </w:r>
      <w:r>
        <w:rPr>
          <w:color w:val="000000"/>
        </w:rPr>
        <w:t xml:space="preserve"> states that "language selectivity exits at all levels of education and income" in Paraguay. The authors provide evidence on the effects of the role of language on educational achievement. More recently, </w:t>
      </w:r>
      <w:r>
        <w:rPr>
          <w:color w:val="000000"/>
        </w:rPr>
        <w:fldChar w:fldCharType="begin" w:fldLock="1"/>
      </w:r>
      <w:r w:rsidR="005149A0">
        <w:rPr>
          <w:color w:val="000000"/>
        </w:rPr>
        <w:instrText>ADDIN CSL_CITATION {"citationItems":[{"id":"ITEM-1","itemData":{"author":[{"dropping-particle":"","family":"Glewwe","given":"Paul","non-dropping-particle":"","parse-names":false,"suffix":""},{"dropping-particle":"","family":"Kremer","given":"Michael","non-dropping-particle":"","parse-names":false,"suffix":""},{"dropping-particle":"","family":"Moulin","given":"Sylvie","non-dropping-particle":"","parse-names":false,"suffix":""}],"container-title":"American Economic Journal: Applied Economics","id":"ITEM-1","issue":"1","issued":{"date-parts":[["2009"]]},"page":"112-135","publisher":"American Economic Association","title":"Many children left behind? Textbooks and test scores in Kenya","type":"article-journal","volume":"1"},"uris":["http://www.mendeley.com/documents/?uuid=c9f17e17-feae-412b-b45e-04dd3865d6bc"]}],"mendeley":{"formattedCitation":"(Glewwe, Kremer, &amp; Moulin, 2009)","manualFormatting":"Glewwe, Kremer, &amp; Moulin (2009)","plainTextFormattedCitation":"(Glewwe, Kremer, &amp; Moulin, 2009)","previouslyFormattedCitation":"(Glewwe, Kremer, &amp; Moulin, 2009)"},"properties":{"noteIndex":0},"schema":"https://github.com/citation-style-language/schema/raw/master/csl-citation.json"}</w:instrText>
      </w:r>
      <w:r>
        <w:rPr>
          <w:color w:val="000000"/>
        </w:rPr>
        <w:fldChar w:fldCharType="separate"/>
      </w:r>
      <w:r>
        <w:rPr>
          <w:noProof/>
          <w:color w:val="000000"/>
        </w:rPr>
        <w:t>Glewwe, Kremer, &amp; Moulin</w:t>
      </w:r>
      <w:r w:rsidRPr="002A59B4">
        <w:rPr>
          <w:noProof/>
          <w:color w:val="000000"/>
        </w:rPr>
        <w:t xml:space="preserve"> </w:t>
      </w:r>
      <w:r>
        <w:rPr>
          <w:noProof/>
          <w:color w:val="000000"/>
        </w:rPr>
        <w:t>(</w:t>
      </w:r>
      <w:r w:rsidRPr="002A59B4">
        <w:rPr>
          <w:noProof/>
          <w:color w:val="000000"/>
        </w:rPr>
        <w:t>2009)</w:t>
      </w:r>
      <w:r>
        <w:rPr>
          <w:color w:val="000000"/>
        </w:rPr>
        <w:fldChar w:fldCharType="end"/>
      </w:r>
      <w:r>
        <w:rPr>
          <w:color w:val="000000"/>
        </w:rPr>
        <w:t xml:space="preserve"> examine the impact of the provision of free textbooks by the Kenyan government on students' academic performance. Interestingly, while these </w:t>
      </w:r>
      <w:r w:rsidR="0063552E">
        <w:rPr>
          <w:color w:val="000000"/>
        </w:rPr>
        <w:t>authors did not find evidence of</w:t>
      </w:r>
      <w:r>
        <w:rPr>
          <w:color w:val="000000"/>
        </w:rPr>
        <w:t xml:space="preserve"> a positive effect, their findings suggest that children were having difficulties reading the textbooks that were written in English, most students' third language. While several researchers have highlighted the linkage between language and schooling decisions, such as dropout, this relationship is still not we</w:t>
      </w:r>
      <w:r w:rsidR="0063552E">
        <w:rPr>
          <w:color w:val="000000"/>
        </w:rPr>
        <w:t>ll understood. The rest of the article</w:t>
      </w:r>
      <w:r>
        <w:rPr>
          <w:color w:val="000000"/>
        </w:rPr>
        <w:t xml:space="preserve"> is devoted </w:t>
      </w:r>
      <w:r>
        <w:rPr>
          <w:color w:val="000000"/>
        </w:rPr>
        <w:lastRenderedPageBreak/>
        <w:t xml:space="preserve">to a better understanding of the dropout </w:t>
      </w:r>
      <w:r w:rsidR="0063552E">
        <w:rPr>
          <w:color w:val="000000"/>
        </w:rPr>
        <w:t>behaviour</w:t>
      </w:r>
      <w:r>
        <w:rPr>
          <w:color w:val="000000"/>
        </w:rPr>
        <w:t xml:space="preserve"> of individuals with different lin</w:t>
      </w:r>
      <w:r w:rsidR="0063552E">
        <w:rPr>
          <w:color w:val="000000"/>
        </w:rPr>
        <w:t xml:space="preserve">guistic backgrounds in Paraguay. </w:t>
      </w:r>
    </w:p>
    <w:p w14:paraId="342998D9" w14:textId="06A1930F" w:rsidR="00644B68" w:rsidRPr="00E222F0" w:rsidRDefault="00644B68" w:rsidP="00E222F0">
      <w:pPr>
        <w:pStyle w:val="Heading1"/>
        <w:spacing w:before="0" w:after="0" w:line="480" w:lineRule="auto"/>
        <w:ind w:right="0"/>
        <w:contextualSpacing w:val="0"/>
        <w:jc w:val="center"/>
        <w:rPr>
          <w:lang w:val="en-US" w:eastAsia="ru-RU"/>
        </w:rPr>
      </w:pPr>
      <w:r w:rsidRPr="00E222F0">
        <w:rPr>
          <w:lang w:val="en-US" w:eastAsia="ru-RU"/>
        </w:rPr>
        <w:t>Methodology</w:t>
      </w:r>
    </w:p>
    <w:p w14:paraId="215CA871" w14:textId="1923CE61" w:rsidR="004A25D5" w:rsidRDefault="004A25D5" w:rsidP="002F7C91">
      <w:pPr>
        <w:pStyle w:val="Newparagraph"/>
        <w:ind w:firstLine="0"/>
        <w:jc w:val="both"/>
        <w:rPr>
          <w:color w:val="000000"/>
        </w:rPr>
      </w:pPr>
      <w:r>
        <w:rPr>
          <w:color w:val="000000"/>
        </w:rPr>
        <w:t xml:space="preserve">Survival Analysis is a statistical method generally used to analyse data where the outcome variable is the time until the occurrence of an event of interest. More specifically, this method is known for </w:t>
      </w:r>
      <w:r w:rsidR="00400AC8">
        <w:rPr>
          <w:color w:val="000000"/>
        </w:rPr>
        <w:t>modelling</w:t>
      </w:r>
      <w:r>
        <w:rPr>
          <w:color w:val="000000"/>
        </w:rPr>
        <w:t xml:space="preserve"> the length of time spent in a given state before transitioning to another state</w:t>
      </w:r>
      <w:r w:rsidR="00400AC8">
        <w:rPr>
          <w:color w:val="000000"/>
        </w:rPr>
        <w:t xml:space="preserve"> </w:t>
      </w:r>
      <w:r w:rsidR="00400AC8">
        <w:rPr>
          <w:color w:val="000000"/>
        </w:rPr>
        <w:fldChar w:fldCharType="begin" w:fldLock="1"/>
      </w:r>
      <w:r w:rsidR="005149A0">
        <w:rPr>
          <w:color w:val="000000"/>
        </w:rPr>
        <w:instrText>ADDIN CSL_CITATION {"citationItems":[{"id":"ITEM-1","itemData":{"author":[{"dropping-particle":"","family":"Cameron","given":"A Colin","non-dropping-particle":"","parse-names":false,"suffix":""},{"dropping-particle":"","family":"Trivedi","given":"Pravin K","non-dropping-particle":"","parse-names":false,"suffix":""}],"id":"ITEM-1","issued":{"date-parts":[["2005"]]},"publisher":"Cambridge university press","title":"Microeconometrics: methods and applications","type":"book"},"uris":["http://www.mendeley.com/documents/?uuid=e8024dd7-43b4-4619-af99-2eaf7aff4431"]}],"mendeley":{"formattedCitation":"(A. C. Cameron &amp; Trivedi, 2005)","manualFormatting":"(Cameron &amp; Trivedi, 2005)","plainTextFormattedCitation":"(A. C. Cameron &amp; Trivedi, 2005)","previouslyFormattedCitation":"(A. C. Cameron &amp; Trivedi, 2005)"},"properties":{"noteIndex":0},"schema":"https://github.com/citation-style-language/schema/raw/master/csl-citation.json"}</w:instrText>
      </w:r>
      <w:r w:rsidR="00400AC8">
        <w:rPr>
          <w:color w:val="000000"/>
        </w:rPr>
        <w:fldChar w:fldCharType="separate"/>
      </w:r>
      <w:r w:rsidR="00400AC8">
        <w:rPr>
          <w:noProof/>
          <w:color w:val="000000"/>
        </w:rPr>
        <w:t>(</w:t>
      </w:r>
      <w:r w:rsidR="00400AC8" w:rsidRPr="00400AC8">
        <w:rPr>
          <w:noProof/>
          <w:color w:val="000000"/>
        </w:rPr>
        <w:t>Cameron &amp; Trivedi, 2005)</w:t>
      </w:r>
      <w:r w:rsidR="00400AC8">
        <w:rPr>
          <w:color w:val="000000"/>
        </w:rPr>
        <w:fldChar w:fldCharType="end"/>
      </w:r>
      <w:r w:rsidR="00400AC8">
        <w:rPr>
          <w:color w:val="000000"/>
        </w:rPr>
        <w:t xml:space="preserve">. </w:t>
      </w:r>
    </w:p>
    <w:p w14:paraId="604A91A9" w14:textId="61428ED5" w:rsidR="00400AC8" w:rsidRDefault="00400AC8" w:rsidP="00400AC8">
      <w:pPr>
        <w:pStyle w:val="Newparagraph"/>
        <w:jc w:val="both"/>
        <w:rPr>
          <w:color w:val="000000"/>
        </w:rPr>
      </w:pPr>
      <w:r w:rsidRPr="00400AC8">
        <w:rPr>
          <w:color w:val="000000"/>
        </w:rPr>
        <w:t>Survival analysis offers multiple advantages over traditional approaches. First, traditional estimation techniques such as Ordinary Least Square (OLS) assume that residuals are normally distributed. However, time to event is rarely normally distributed, and very often not even symmetrically distributed. Consequently, assuming that time data follows a normal distribution is unreasonable</w:t>
      </w:r>
      <w:r>
        <w:rPr>
          <w:color w:val="000000"/>
        </w:rPr>
        <w:t xml:space="preserve"> </w:t>
      </w:r>
      <w:r>
        <w:rPr>
          <w:color w:val="000000"/>
        </w:rPr>
        <w:fldChar w:fldCharType="begin" w:fldLock="1"/>
      </w:r>
      <w:r w:rsidR="005149A0">
        <w:rPr>
          <w:color w:val="000000"/>
        </w:rPr>
        <w:instrText>ADDIN CSL_CITATION {"citationItems":[{"id":"ITEM-1","itemData":{"author":[{"dropping-particle":"","family":"Collett","given":"David","non-dropping-particle":"","parse-names":false,"suffix":""}],"edition":"2nd","id":"ITEM-1","issued":{"date-parts":[["2000"]]},"publisher":"CRC Press LLC","title":"Modelling survival data in medical research","type":"book"},"uris":["http://www.mendeley.com/documents/?uuid=6b527db5-655d-4662-baec-ba2e9637b2e5"]}],"mendeley":{"formattedCitation":"(Collett, 2000)","plainTextFormattedCitation":"(Collett, 2000)","previouslyFormattedCitation":"(Collett, 2000)"},"properties":{"noteIndex":0},"schema":"https://github.com/citation-style-language/schema/raw/master/csl-citation.json"}</w:instrText>
      </w:r>
      <w:r>
        <w:rPr>
          <w:color w:val="000000"/>
        </w:rPr>
        <w:fldChar w:fldCharType="separate"/>
      </w:r>
      <w:r w:rsidRPr="00400AC8">
        <w:rPr>
          <w:noProof/>
          <w:color w:val="000000"/>
        </w:rPr>
        <w:t>(Collett, 2000)</w:t>
      </w:r>
      <w:r>
        <w:rPr>
          <w:color w:val="000000"/>
        </w:rPr>
        <w:fldChar w:fldCharType="end"/>
      </w:r>
      <w:r w:rsidRPr="00400AC8">
        <w:rPr>
          <w:color w:val="000000"/>
        </w:rPr>
        <w:t>. A better approach would be to assume an alternative distributional assumption for the residuals, which is the core of survival analysis.</w:t>
      </w:r>
      <w:r>
        <w:rPr>
          <w:color w:val="000000"/>
        </w:rPr>
        <w:t xml:space="preserve"> </w:t>
      </w:r>
    </w:p>
    <w:p w14:paraId="361A7CB1" w14:textId="51FA4FA1" w:rsidR="00400AC8" w:rsidRDefault="00400AC8" w:rsidP="00400AC8">
      <w:pPr>
        <w:pStyle w:val="Newparagraph"/>
        <w:jc w:val="both"/>
        <w:rPr>
          <w:color w:val="000000"/>
        </w:rPr>
      </w:pPr>
      <w:r>
        <w:rPr>
          <w:color w:val="000000"/>
        </w:rPr>
        <w:t>Second, data is often censored in practice. This means that generally, subjects are not observed</w:t>
      </w:r>
      <w:r w:rsidR="002A6B3E">
        <w:rPr>
          <w:color w:val="000000"/>
        </w:rPr>
        <w:t xml:space="preserve"> long enough or until time of </w:t>
      </w:r>
      <w:r>
        <w:rPr>
          <w:color w:val="000000"/>
        </w:rPr>
        <w:t>“failure". Usually, data are analysed in a point of time when some individuals are still attending school, thus they are not observed until they drop out of school. This feature of time data renders traditional approaches inappropriate, as these cannot effectively incorporate censoring of observations, thus favouring the use of survival analysis.</w:t>
      </w:r>
    </w:p>
    <w:p w14:paraId="249D2367" w14:textId="578EEA2C" w:rsidR="00400AC8" w:rsidRDefault="00400AC8" w:rsidP="00400AC8">
      <w:pPr>
        <w:pStyle w:val="Newparagraph"/>
        <w:jc w:val="both"/>
        <w:rPr>
          <w:color w:val="000000"/>
        </w:rPr>
      </w:pPr>
      <w:r>
        <w:rPr>
          <w:color w:val="000000"/>
        </w:rPr>
        <w:t xml:space="preserve">Finally, traditional methods ignore time; however, variation in risk over time is the primary focus of the survival method. Considering that student progression is a dynamic process, survival analysis provides the tools to account for censored data, for risk variation over time, while at the same time permitting the use of a variety of </w:t>
      </w:r>
      <w:r>
        <w:rPr>
          <w:color w:val="000000"/>
        </w:rPr>
        <w:lastRenderedPageBreak/>
        <w:t>distributions. For these reasons, survival analysis is appropriate for examining dropping out decisions.</w:t>
      </w:r>
    </w:p>
    <w:p w14:paraId="20BA7540" w14:textId="7547B248" w:rsidR="00400AC8" w:rsidRPr="005A56C5" w:rsidRDefault="00400AC8" w:rsidP="00E222F0">
      <w:pPr>
        <w:pStyle w:val="Heading2"/>
        <w:spacing w:before="0" w:after="0" w:line="480" w:lineRule="auto"/>
        <w:ind w:right="0"/>
        <w:contextualSpacing w:val="0"/>
        <w:rPr>
          <w:bCs w:val="0"/>
          <w:kern w:val="32"/>
          <w:lang w:val="en-US" w:eastAsia="ru-RU"/>
        </w:rPr>
      </w:pPr>
      <w:r w:rsidRPr="005A56C5">
        <w:rPr>
          <w:bCs w:val="0"/>
          <w:kern w:val="32"/>
          <w:lang w:val="en-US" w:eastAsia="ru-RU"/>
        </w:rPr>
        <w:t>Survivor and Hazard Functions</w:t>
      </w:r>
    </w:p>
    <w:p w14:paraId="5A8F57BC" w14:textId="53C887A9" w:rsidR="00400AC8" w:rsidRDefault="00400AC8" w:rsidP="00400AC8">
      <w:pPr>
        <w:pStyle w:val="Newparagraph"/>
        <w:ind w:firstLine="0"/>
        <w:jc w:val="both"/>
        <w:rPr>
          <w:color w:val="000000"/>
        </w:rPr>
      </w:pPr>
      <w:r w:rsidRPr="00400AC8">
        <w:rPr>
          <w:color w:val="000000"/>
        </w:rPr>
        <w:t xml:space="preserve">Duration in a state is a nonnegative random variable, usually denoted by </w:t>
      </w:r>
      <w:r w:rsidRPr="00400AC8">
        <w:rPr>
          <w:i/>
          <w:color w:val="000000"/>
        </w:rPr>
        <w:t>T</w:t>
      </w:r>
      <w:r w:rsidRPr="00400AC8">
        <w:rPr>
          <w:color w:val="000000"/>
        </w:rPr>
        <w:t xml:space="preserve">, which has a probability density function </w:t>
      </w:r>
      <w:r w:rsidRPr="00400AC8">
        <w:rPr>
          <w:i/>
          <w:color w:val="000000"/>
        </w:rPr>
        <w:t>f(t)</w:t>
      </w:r>
      <w:r w:rsidRPr="00400AC8">
        <w:rPr>
          <w:color w:val="000000"/>
        </w:rPr>
        <w:t>. Let</w:t>
      </w:r>
      <w:r>
        <w:rPr>
          <w:color w:val="000000"/>
        </w:rPr>
        <w:t xml:space="preserve"> </w:t>
      </w:r>
      <w:r w:rsidRPr="00400AC8">
        <w:rPr>
          <w:i/>
          <w:color w:val="000000"/>
        </w:rPr>
        <w:t>F(t)</w:t>
      </w:r>
      <w:r w:rsidRPr="00400AC8">
        <w:rPr>
          <w:color w:val="000000"/>
        </w:rPr>
        <w:t xml:space="preserve"> be the cumulative distribution function (cdf) of </w:t>
      </w:r>
      <w:r w:rsidRPr="00400AC8">
        <w:rPr>
          <w:i/>
          <w:color w:val="000000"/>
        </w:rPr>
        <w:t>T</w:t>
      </w:r>
      <w:r w:rsidRPr="00400AC8">
        <w:rPr>
          <w:color w:val="000000"/>
        </w:rPr>
        <w:t>, i.e., the probability that the duration is less than</w:t>
      </w:r>
      <w:r>
        <w:rPr>
          <w:color w:val="000000"/>
        </w:rPr>
        <w:t xml:space="preserve"> </w:t>
      </w:r>
      <w:r w:rsidRPr="00400AC8">
        <w:rPr>
          <w:i/>
          <w:color w:val="000000"/>
        </w:rPr>
        <w:t>t</w:t>
      </w:r>
      <w:r w:rsidRPr="00400AC8">
        <w:rPr>
          <w:color w:val="000000"/>
        </w:rPr>
        <w:t>,</w:t>
      </w:r>
      <w:r>
        <w:rPr>
          <w:color w:val="000000"/>
        </w:rPr>
        <w:t xml:space="preserve"> </w:t>
      </w:r>
    </w:p>
    <w:p w14:paraId="4F0932C3" w14:textId="32517581" w:rsidR="00400AC8" w:rsidRDefault="00400AC8" w:rsidP="00400AC8">
      <w:pPr>
        <w:pStyle w:val="Newparagraph"/>
        <w:ind w:firstLine="0"/>
        <w:jc w:val="center"/>
        <w:rPr>
          <w:color w:val="000000"/>
        </w:rPr>
      </w:pPr>
      <w:r>
        <w:rPr>
          <w:color w:val="000000"/>
        </w:rPr>
        <w:t xml:space="preserve">                                                      </w:t>
      </w:r>
      <w:r w:rsidRPr="00400AC8">
        <w:rPr>
          <w:color w:val="000000"/>
          <w:position w:val="-14"/>
        </w:rPr>
        <w:object w:dxaOrig="1500" w:dyaOrig="400" w14:anchorId="24E432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20.25pt" o:ole="">
            <v:imagedata r:id="rId10" o:title=""/>
          </v:shape>
          <o:OLEObject Type="Embed" ProgID="Equation.DSMT4" ShapeID="_x0000_i1025" DrawAspect="Content" ObjectID="_1604747603" r:id="rId11"/>
        </w:object>
      </w:r>
      <w:r>
        <w:rPr>
          <w:color w:val="000000"/>
        </w:rPr>
        <w:t>.                                                        (1)</w:t>
      </w:r>
    </w:p>
    <w:p w14:paraId="7A15B339" w14:textId="37AC5F11" w:rsidR="00400AC8" w:rsidRDefault="00400AC8" w:rsidP="00400AC8">
      <w:pPr>
        <w:pStyle w:val="Newparagraph"/>
        <w:jc w:val="both"/>
        <w:rPr>
          <w:color w:val="000000"/>
        </w:rPr>
      </w:pPr>
      <w:r>
        <w:rPr>
          <w:color w:val="000000"/>
        </w:rPr>
        <w:t xml:space="preserve">The Survivor Function </w:t>
      </w:r>
      <w:r w:rsidRPr="00400AC8">
        <w:rPr>
          <w:color w:val="000000"/>
          <w:position w:val="-14"/>
        </w:rPr>
        <w:object w:dxaOrig="1040" w:dyaOrig="400" w14:anchorId="468E2ABE">
          <v:shape id="_x0000_i1026" type="#_x0000_t75" style="width:51.75pt;height:20.25pt" o:ole="">
            <v:imagedata r:id="rId12" o:title=""/>
          </v:shape>
          <o:OLEObject Type="Embed" ProgID="Equation.DSMT4" ShapeID="_x0000_i1026" DrawAspect="Content" ObjectID="_1604747604" r:id="rId13"/>
        </w:object>
      </w:r>
      <w:r>
        <w:rPr>
          <w:color w:val="000000"/>
        </w:rPr>
        <w:t xml:space="preserve">, is simply the complement of the </w:t>
      </w:r>
      <w:r w:rsidRPr="00400AC8">
        <w:rPr>
          <w:color w:val="000000"/>
        </w:rPr>
        <w:t xml:space="preserve">cdf </w:t>
      </w:r>
      <w:r>
        <w:rPr>
          <w:color w:val="000000"/>
        </w:rPr>
        <w:t>shown above,</w:t>
      </w:r>
    </w:p>
    <w:p w14:paraId="6AC7F3E1" w14:textId="17212C1E" w:rsidR="00400AC8" w:rsidRDefault="00400AC8" w:rsidP="00400AC8">
      <w:pPr>
        <w:pStyle w:val="Newparagraph"/>
        <w:jc w:val="both"/>
        <w:rPr>
          <w:color w:val="000000"/>
        </w:rPr>
      </w:pPr>
      <w:r>
        <w:rPr>
          <w:color w:val="000000"/>
        </w:rPr>
        <w:t xml:space="preserve">                                    </w:t>
      </w:r>
      <w:r w:rsidRPr="00400AC8">
        <w:rPr>
          <w:color w:val="000000"/>
          <w:position w:val="-14"/>
        </w:rPr>
        <w:object w:dxaOrig="2320" w:dyaOrig="400" w14:anchorId="7461C1AA">
          <v:shape id="_x0000_i1027" type="#_x0000_t75" style="width:116.25pt;height:20.25pt" o:ole="">
            <v:imagedata r:id="rId14" o:title=""/>
          </v:shape>
          <o:OLEObject Type="Embed" ProgID="Equation.DSMT4" ShapeID="_x0000_i1027" DrawAspect="Content" ObjectID="_1604747605" r:id="rId15"/>
        </w:object>
      </w:r>
      <w:r>
        <w:rPr>
          <w:color w:val="000000"/>
        </w:rPr>
        <w:t>.                                                        (2)</w:t>
      </w:r>
    </w:p>
    <w:p w14:paraId="7755020A" w14:textId="646F6394" w:rsidR="00400AC8" w:rsidRDefault="00400AC8" w:rsidP="00400AC8">
      <w:pPr>
        <w:pStyle w:val="Newparagraph"/>
        <w:jc w:val="both"/>
        <w:rPr>
          <w:color w:val="000000"/>
        </w:rPr>
      </w:pPr>
      <w:r>
        <w:rPr>
          <w:color w:val="000000"/>
        </w:rPr>
        <w:t xml:space="preserve">This function reports the probability of surviving beyond time </w:t>
      </w:r>
      <w:r w:rsidRPr="00400AC8">
        <w:rPr>
          <w:i/>
        </w:rPr>
        <w:t>t</w:t>
      </w:r>
      <w:r>
        <w:rPr>
          <w:color w:val="000000"/>
        </w:rPr>
        <w:t xml:space="preserve">. In addition to these two concepts, the hazard function is the instantaneous probability of leaving a state conditional on survival to time </w:t>
      </w:r>
      <w:r w:rsidRPr="00400AC8">
        <w:rPr>
          <w:i/>
        </w:rPr>
        <w:t>t</w:t>
      </w:r>
      <w:r>
        <w:rPr>
          <w:color w:val="000000"/>
        </w:rPr>
        <w:t>,</w:t>
      </w:r>
    </w:p>
    <w:p w14:paraId="204C10BD" w14:textId="354F4FA8" w:rsidR="00400AC8" w:rsidRDefault="00400AC8" w:rsidP="00400AC8">
      <w:pPr>
        <w:pStyle w:val="Newparagraph"/>
        <w:jc w:val="both"/>
        <w:rPr>
          <w:color w:val="000000"/>
        </w:rPr>
      </w:pPr>
      <w:r>
        <w:rPr>
          <w:color w:val="000000"/>
        </w:rPr>
        <w:t xml:space="preserve">                        </w:t>
      </w:r>
      <w:r w:rsidRPr="00400AC8">
        <w:rPr>
          <w:color w:val="000000"/>
          <w:position w:val="-32"/>
        </w:rPr>
        <w:object w:dxaOrig="3840" w:dyaOrig="740" w14:anchorId="212AF2B0">
          <v:shape id="_x0000_i1028" type="#_x0000_t75" style="width:192pt;height:36.75pt" o:ole="">
            <v:imagedata r:id="rId16" o:title=""/>
          </v:shape>
          <o:OLEObject Type="Embed" ProgID="Equation.DSMT4" ShapeID="_x0000_i1028" DrawAspect="Content" ObjectID="_1604747606" r:id="rId17"/>
        </w:object>
      </w:r>
      <w:r>
        <w:rPr>
          <w:color w:val="000000"/>
        </w:rPr>
        <w:t>,                                     (3)</w:t>
      </w:r>
    </w:p>
    <w:p w14:paraId="286B3EA7" w14:textId="04943801" w:rsidR="00400AC8" w:rsidRDefault="00400AC8" w:rsidP="00400AC8">
      <w:pPr>
        <w:pStyle w:val="Newparagraph"/>
        <w:jc w:val="both"/>
        <w:rPr>
          <w:color w:val="000000"/>
        </w:rPr>
      </w:pPr>
      <w:r>
        <w:rPr>
          <w:color w:val="000000"/>
        </w:rPr>
        <w:t xml:space="preserve">Where </w:t>
      </w:r>
      <w:r w:rsidRPr="00400AC8">
        <w:rPr>
          <w:color w:val="000000"/>
          <w:position w:val="-14"/>
        </w:rPr>
        <w:object w:dxaOrig="1260" w:dyaOrig="380" w14:anchorId="5101348B">
          <v:shape id="_x0000_i1029" type="#_x0000_t75" style="width:63pt;height:19.5pt" o:ole="">
            <v:imagedata r:id="rId18" o:title=""/>
          </v:shape>
          <o:OLEObject Type="Embed" ProgID="Equation.DSMT4" ShapeID="_x0000_i1029" DrawAspect="Content" ObjectID="_1604747607" r:id="rId19"/>
        </w:object>
      </w:r>
      <w:r>
        <w:rPr>
          <w:color w:val="000000"/>
        </w:rPr>
        <w:t xml:space="preserve"> . The hazard at time </w:t>
      </w:r>
      <w:r w:rsidRPr="00400AC8">
        <w:rPr>
          <w:i/>
          <w:color w:val="000000"/>
        </w:rPr>
        <w:t>t</w:t>
      </w:r>
      <w:r>
        <w:rPr>
          <w:color w:val="000000"/>
        </w:rPr>
        <w:t xml:space="preserve"> has a direct correspondent to the risk of event occurrence at time </w:t>
      </w:r>
      <w:r w:rsidR="006440C3" w:rsidRPr="006440C3">
        <w:rPr>
          <w:i/>
          <w:color w:val="000000"/>
        </w:rPr>
        <w:t>t</w:t>
      </w:r>
      <w:r>
        <w:rPr>
          <w:color w:val="000000"/>
        </w:rPr>
        <w:t>, so that for instance, when the hazard is zero there is not risk at all. The survival function, the probability density function, and the hazard function are equivalent ways of describing a probability distribution for the time of event occurrence.</w:t>
      </w:r>
      <w:r w:rsidR="006440C3" w:rsidRPr="00400AB1">
        <w:rPr>
          <w:rStyle w:val="FootnoteReference"/>
        </w:rPr>
        <w:footnoteReference w:id="4"/>
      </w:r>
      <w:r w:rsidR="006440C3">
        <w:rPr>
          <w:color w:val="000000"/>
        </w:rPr>
        <w:t xml:space="preserve"> Finally, a related function is the cumulative hazard function, which is useful when one is interested in measuring the total amount of risk accumulated up to time </w:t>
      </w:r>
      <w:r w:rsidR="006440C3" w:rsidRPr="006440C3">
        <w:rPr>
          <w:i/>
          <w:color w:val="000000"/>
        </w:rPr>
        <w:t>t</w:t>
      </w:r>
      <w:r w:rsidR="006440C3">
        <w:rPr>
          <w:color w:val="000000"/>
        </w:rPr>
        <w:t xml:space="preserve"> and can be expressed as:</w:t>
      </w:r>
    </w:p>
    <w:p w14:paraId="45352267" w14:textId="69715C5D" w:rsidR="006440C3" w:rsidRDefault="006440C3" w:rsidP="00400AC8">
      <w:pPr>
        <w:pStyle w:val="Newparagraph"/>
        <w:jc w:val="both"/>
        <w:rPr>
          <w:color w:val="000000"/>
        </w:rPr>
      </w:pPr>
      <w:r>
        <w:rPr>
          <w:color w:val="000000"/>
        </w:rPr>
        <w:lastRenderedPageBreak/>
        <w:t xml:space="preserve">                                    </w:t>
      </w:r>
      <w:r w:rsidRPr="006440C3">
        <w:rPr>
          <w:color w:val="000000"/>
          <w:position w:val="-18"/>
        </w:rPr>
        <w:object w:dxaOrig="2500" w:dyaOrig="520" w14:anchorId="2275B16C">
          <v:shape id="_x0000_i1030" type="#_x0000_t75" style="width:124.5pt;height:25.5pt" o:ole="">
            <v:imagedata r:id="rId20" o:title=""/>
          </v:shape>
          <o:OLEObject Type="Embed" ProgID="Equation.DSMT4" ShapeID="_x0000_i1030" DrawAspect="Content" ObjectID="_1604747608" r:id="rId21"/>
        </w:object>
      </w:r>
      <w:r>
        <w:rPr>
          <w:color w:val="000000"/>
        </w:rPr>
        <w:t>,                                              (4)</w:t>
      </w:r>
    </w:p>
    <w:p w14:paraId="3CF1383F" w14:textId="01B5A6A2" w:rsidR="006440C3" w:rsidRDefault="006440C3" w:rsidP="00400AC8">
      <w:pPr>
        <w:pStyle w:val="Newparagraph"/>
        <w:jc w:val="both"/>
        <w:rPr>
          <w:color w:val="000000"/>
        </w:rPr>
      </w:pPr>
      <w:r>
        <w:rPr>
          <w:color w:val="000000"/>
        </w:rPr>
        <w:t>This function can be more precisely estimated than the hazard function and has an inverse relationship with the probability of survival as seen in the equation above. Given any one of these four functions, it is possible to recover the other three.</w:t>
      </w:r>
    </w:p>
    <w:p w14:paraId="30C64003" w14:textId="4293ED1D" w:rsidR="006440C3" w:rsidRPr="005A56C5" w:rsidRDefault="006440C3" w:rsidP="00E222F0">
      <w:pPr>
        <w:pStyle w:val="Heading2"/>
        <w:spacing w:before="0" w:after="0" w:line="480" w:lineRule="auto"/>
        <w:ind w:right="0"/>
        <w:contextualSpacing w:val="0"/>
        <w:rPr>
          <w:bCs w:val="0"/>
          <w:kern w:val="32"/>
          <w:lang w:val="en-US" w:eastAsia="ru-RU"/>
        </w:rPr>
      </w:pPr>
      <w:r w:rsidRPr="005A56C5">
        <w:rPr>
          <w:bCs w:val="0"/>
          <w:kern w:val="32"/>
          <w:lang w:val="en-US" w:eastAsia="ru-RU"/>
        </w:rPr>
        <w:t>The Kaplan-Meier Survival Estimator</w:t>
      </w:r>
    </w:p>
    <w:p w14:paraId="3FFC3C64" w14:textId="4E35368B" w:rsidR="006440C3" w:rsidRDefault="002A6B3E" w:rsidP="002A6B3E">
      <w:pPr>
        <w:pStyle w:val="Newparagraph"/>
        <w:ind w:firstLine="0"/>
        <w:jc w:val="both"/>
        <w:rPr>
          <w:color w:val="000000"/>
        </w:rPr>
      </w:pPr>
      <w:r>
        <w:rPr>
          <w:color w:val="000000"/>
        </w:rPr>
        <w:t xml:space="preserve">The nonparametric estimator developed by </w:t>
      </w:r>
      <w:r>
        <w:rPr>
          <w:color w:val="000000"/>
        </w:rPr>
        <w:fldChar w:fldCharType="begin" w:fldLock="1"/>
      </w:r>
      <w:r w:rsidR="005149A0">
        <w:rPr>
          <w:color w:val="000000"/>
        </w:rPr>
        <w:instrText>ADDIN CSL_CITATION {"citationItems":[{"id":"ITEM-1","itemData":{"author":[{"dropping-particle":"","family":"Kaplan","given":"Edward L","non-dropping-particle":"","parse-names":false,"suffix":""},{"dropping-particle":"","family":"Meier","given":"Paul","non-dropping-particle":"","parse-names":false,"suffix":""}],"container-title":"Journal of the American statistical association","id":"ITEM-1","issue":"282","issued":{"date-parts":[["1958"]]},"page":"457-481","publisher":"Taylor &amp; Francis","title":"Nonparametric estimation from incomplete observations","type":"article-journal","volume":"53"},"uris":["http://www.mendeley.com/documents/?uuid=33e3dda0-78e5-4cd4-b1c2-ba770c2e0e7a"]}],"mendeley":{"formattedCitation":"(Kaplan &amp; Meier, 1958)","manualFormatting":"Kaplan &amp; Meier (1958)","plainTextFormattedCitation":"(Kaplan &amp; Meier, 1958)","previouslyFormattedCitation":"(Kaplan &amp; Meier, 1958)"},"properties":{"noteIndex":0},"schema":"https://github.com/citation-style-language/schema/raw/master/csl-citation.json"}</w:instrText>
      </w:r>
      <w:r>
        <w:rPr>
          <w:color w:val="000000"/>
        </w:rPr>
        <w:fldChar w:fldCharType="separate"/>
      </w:r>
      <w:r>
        <w:rPr>
          <w:noProof/>
          <w:color w:val="000000"/>
        </w:rPr>
        <w:t>Kaplan &amp; Meier</w:t>
      </w:r>
      <w:r w:rsidRPr="002A6B3E">
        <w:rPr>
          <w:noProof/>
          <w:color w:val="000000"/>
        </w:rPr>
        <w:t xml:space="preserve"> </w:t>
      </w:r>
      <w:r>
        <w:rPr>
          <w:noProof/>
          <w:color w:val="000000"/>
        </w:rPr>
        <w:t>(</w:t>
      </w:r>
      <w:r w:rsidRPr="002A6B3E">
        <w:rPr>
          <w:noProof/>
          <w:color w:val="000000"/>
        </w:rPr>
        <w:t>1958)</w:t>
      </w:r>
      <w:r>
        <w:rPr>
          <w:color w:val="000000"/>
        </w:rPr>
        <w:fldChar w:fldCharType="end"/>
      </w:r>
      <w:r>
        <w:rPr>
          <w:color w:val="000000"/>
        </w:rPr>
        <w:t xml:space="preserve"> is an estimate of the survivor function </w:t>
      </w:r>
      <w:r w:rsidRPr="002A6B3E">
        <w:rPr>
          <w:i/>
          <w:color w:val="000000"/>
        </w:rPr>
        <w:t>S</w:t>
      </w:r>
      <w:r w:rsidRPr="002A6B3E">
        <w:rPr>
          <w:i/>
          <w:color w:val="000000"/>
          <w:vertAlign w:val="subscript"/>
        </w:rPr>
        <w:t>(t)</w:t>
      </w:r>
      <w:r>
        <w:rPr>
          <w:color w:val="000000"/>
        </w:rPr>
        <w:t xml:space="preserve"> that takes into account censored observations. Given this characteristic, its use is suggested for preliminary examination of survival data </w:t>
      </w:r>
      <w:r>
        <w:rPr>
          <w:color w:val="000000"/>
        </w:rPr>
        <w:fldChar w:fldCharType="begin" w:fldLock="1"/>
      </w:r>
      <w:r w:rsidR="005149A0">
        <w:rPr>
          <w:color w:val="000000"/>
        </w:rPr>
        <w:instrText>ADDIN CSL_CITATION {"citationItems":[{"id":"ITEM-1","itemData":{"author":[{"dropping-particle":"","family":"Lee","given":"Elisa T","non-dropping-particle":"","parse-names":false,"suffix":""},{"dropping-particle":"","family":"Wang","given":"John","non-dropping-particle":"","parse-names":false,"suffix":""}],"id":"ITEM-1","issued":{"date-parts":[["2003"]]},"publisher":"John Wiley &amp; Sons","title":"Statistical methods for survival data analysis","type":"book","volume":"476"},"uris":["http://www.mendeley.com/documents/?uuid=449b86c3-6c07-45a3-817d-b707aa22bb34"]}],"mendeley":{"formattedCitation":"(Lee &amp; Wang, 2003)","plainTextFormattedCitation":"(Lee &amp; Wang, 2003)","previouslyFormattedCitation":"(Lee &amp; Wang, 2003)"},"properties":{"noteIndex":0},"schema":"https://github.com/citation-style-language/schema/raw/master/csl-citation.json"}</w:instrText>
      </w:r>
      <w:r>
        <w:rPr>
          <w:color w:val="000000"/>
        </w:rPr>
        <w:fldChar w:fldCharType="separate"/>
      </w:r>
      <w:r w:rsidRPr="002A6B3E">
        <w:rPr>
          <w:noProof/>
          <w:color w:val="000000"/>
        </w:rPr>
        <w:t>(Lee &amp; Wang, 2003)</w:t>
      </w:r>
      <w:r>
        <w:rPr>
          <w:color w:val="000000"/>
        </w:rPr>
        <w:fldChar w:fldCharType="end"/>
      </w:r>
      <w:r>
        <w:rPr>
          <w:color w:val="000000"/>
        </w:rPr>
        <w:t xml:space="preserve">. In the context of this study, this method allows me to estimate the proportion of students who have survived up to time </w:t>
      </w:r>
      <w:r w:rsidRPr="002A6B3E">
        <w:rPr>
          <w:i/>
          <w:color w:val="000000"/>
        </w:rPr>
        <w:t>t</w:t>
      </w:r>
      <w:r>
        <w:rPr>
          <w:color w:val="000000"/>
        </w:rPr>
        <w:t xml:space="preserve">, or equivalently, the probability of dropping out after </w:t>
      </w:r>
      <w:r w:rsidRPr="002A6B3E">
        <w:rPr>
          <w:i/>
          <w:color w:val="000000"/>
        </w:rPr>
        <w:t>t</w:t>
      </w:r>
      <w:r>
        <w:rPr>
          <w:color w:val="000000"/>
        </w:rPr>
        <w:t xml:space="preserve">, where </w:t>
      </w:r>
      <w:r w:rsidRPr="002A6B3E">
        <w:rPr>
          <w:i/>
        </w:rPr>
        <w:t>t</w:t>
      </w:r>
      <w:r w:rsidRPr="002A6B3E">
        <w:t xml:space="preserve"> </w:t>
      </w:r>
      <w:r>
        <w:rPr>
          <w:color w:val="000000"/>
        </w:rPr>
        <w:t>represents years of schooling or the corresponding grade in primary education.</w:t>
      </w:r>
    </w:p>
    <w:p w14:paraId="61F10561" w14:textId="203E0966" w:rsidR="002A6B3E" w:rsidRDefault="002A6B3E" w:rsidP="002A6B3E">
      <w:pPr>
        <w:pStyle w:val="Newparagraph"/>
        <w:jc w:val="both"/>
        <w:rPr>
          <w:color w:val="000000"/>
        </w:rPr>
      </w:pPr>
      <w:r>
        <w:rPr>
          <w:color w:val="000000"/>
        </w:rPr>
        <w:t xml:space="preserve">Suppose there are </w:t>
      </w:r>
      <w:r w:rsidRPr="002A6B3E">
        <w:rPr>
          <w:i/>
        </w:rPr>
        <w:t>k</w:t>
      </w:r>
      <w:r>
        <w:rPr>
          <w:color w:val="000000"/>
        </w:rPr>
        <w:t xml:space="preserve"> distinct failure times, </w:t>
      </w:r>
      <w:r w:rsidRPr="002A6B3E">
        <w:rPr>
          <w:i/>
          <w:color w:val="000000"/>
        </w:rPr>
        <w:t>t</w:t>
      </w:r>
      <w:r w:rsidRPr="002A6B3E">
        <w:rPr>
          <w:i/>
          <w:color w:val="000000"/>
          <w:vertAlign w:val="subscript"/>
        </w:rPr>
        <w:t>1</w:t>
      </w:r>
      <w:r>
        <w:rPr>
          <w:color w:val="000000"/>
        </w:rPr>
        <w:t>,………,</w:t>
      </w:r>
      <w:r w:rsidRPr="002A6B3E">
        <w:rPr>
          <w:i/>
          <w:color w:val="000000"/>
        </w:rPr>
        <w:t>t</w:t>
      </w:r>
      <w:r w:rsidRPr="002A6B3E">
        <w:rPr>
          <w:i/>
          <w:color w:val="000000"/>
          <w:vertAlign w:val="subscript"/>
        </w:rPr>
        <w:t>k</w:t>
      </w:r>
      <w:r>
        <w:rPr>
          <w:color w:val="000000"/>
        </w:rPr>
        <w:t xml:space="preserve">. Failure is defined in this context as the grade or corresponding year at drop out of primary school. The </w:t>
      </w:r>
      <w:r w:rsidRPr="002A6B3E">
        <w:rPr>
          <w:color w:val="000000"/>
        </w:rPr>
        <w:t>Kaplan-</w:t>
      </w:r>
      <w:r>
        <w:rPr>
          <w:color w:val="000000"/>
        </w:rPr>
        <w:t xml:space="preserve">Meier estimate at any time </w:t>
      </w:r>
      <w:r w:rsidRPr="002A6B3E">
        <w:rPr>
          <w:i/>
        </w:rPr>
        <w:t>t</w:t>
      </w:r>
      <w:r>
        <w:rPr>
          <w:color w:val="000000"/>
        </w:rPr>
        <w:t xml:space="preserve"> is defined as follows:</w:t>
      </w:r>
    </w:p>
    <w:p w14:paraId="274B31E7" w14:textId="340E9706" w:rsidR="002A6B3E" w:rsidRDefault="002A6B3E" w:rsidP="002A6B3E">
      <w:pPr>
        <w:pStyle w:val="Newparagraph"/>
        <w:jc w:val="both"/>
        <w:rPr>
          <w:color w:val="000000"/>
        </w:rPr>
      </w:pPr>
      <w:r>
        <w:rPr>
          <w:color w:val="000000"/>
        </w:rPr>
        <w:t xml:space="preserve">                                    </w:t>
      </w:r>
      <w:r w:rsidRPr="002A6B3E">
        <w:rPr>
          <w:color w:val="000000"/>
          <w:position w:val="-34"/>
        </w:rPr>
        <w:object w:dxaOrig="1920" w:dyaOrig="800" w14:anchorId="7301CE10">
          <v:shape id="_x0000_i1031" type="#_x0000_t75" style="width:96pt;height:39.75pt" o:ole="">
            <v:imagedata r:id="rId22" o:title=""/>
          </v:shape>
          <o:OLEObject Type="Embed" ProgID="Equation.DSMT4" ShapeID="_x0000_i1031" DrawAspect="Content" ObjectID="_1604747609" r:id="rId23"/>
        </w:object>
      </w:r>
      <w:r>
        <w:rPr>
          <w:color w:val="000000"/>
        </w:rPr>
        <w:t>,                                                        (5)</w:t>
      </w:r>
    </w:p>
    <w:p w14:paraId="06FB553E" w14:textId="4CDEF8CF" w:rsidR="002A6B3E" w:rsidRDefault="002E02A0" w:rsidP="002A6B3E">
      <w:pPr>
        <w:pStyle w:val="Newparagraph"/>
        <w:jc w:val="both"/>
        <w:rPr>
          <w:color w:val="000000"/>
        </w:rPr>
      </w:pPr>
      <w:r>
        <w:rPr>
          <w:color w:val="000000"/>
        </w:rPr>
        <w:t xml:space="preserve">Where </w:t>
      </w:r>
      <w:r w:rsidRPr="002E02A0">
        <w:rPr>
          <w:color w:val="000000"/>
          <w:position w:val="-14"/>
        </w:rPr>
        <w:object w:dxaOrig="260" w:dyaOrig="380" w14:anchorId="7D72949C">
          <v:shape id="_x0000_i1032" type="#_x0000_t75" style="width:12.75pt;height:19.5pt" o:ole="">
            <v:imagedata r:id="rId24" o:title=""/>
          </v:shape>
          <o:OLEObject Type="Embed" ProgID="Equation.DSMT4" ShapeID="_x0000_i1032" DrawAspect="Content" ObjectID="_1604747610" r:id="rId25"/>
        </w:object>
      </w:r>
      <w:r>
        <w:rPr>
          <w:color w:val="000000"/>
        </w:rPr>
        <w:t xml:space="preserve"> is the number of students at the risk of dropping out at time </w:t>
      </w:r>
      <w:r w:rsidRPr="002E02A0">
        <w:rPr>
          <w:color w:val="000000"/>
          <w:position w:val="-14"/>
        </w:rPr>
        <w:object w:dxaOrig="220" w:dyaOrig="380" w14:anchorId="14AF551B">
          <v:shape id="_x0000_i1033" type="#_x0000_t75" style="width:10.5pt;height:19.5pt" o:ole="">
            <v:imagedata r:id="rId26" o:title=""/>
          </v:shape>
          <o:OLEObject Type="Embed" ProgID="Equation.DSMT4" ShapeID="_x0000_i1033" DrawAspect="Content" ObjectID="_1604747611" r:id="rId27"/>
        </w:object>
      </w:r>
      <w:r>
        <w:rPr>
          <w:color w:val="000000"/>
        </w:rPr>
        <w:t xml:space="preserve">, and </w:t>
      </w:r>
      <w:r w:rsidRPr="002E02A0">
        <w:rPr>
          <w:color w:val="000000"/>
          <w:position w:val="-14"/>
        </w:rPr>
        <w:object w:dxaOrig="279" w:dyaOrig="380" w14:anchorId="4E0E0D94">
          <v:shape id="_x0000_i1034" type="#_x0000_t75" style="width:14.25pt;height:19.5pt" o:ole="">
            <v:imagedata r:id="rId28" o:title=""/>
          </v:shape>
          <o:OLEObject Type="Embed" ProgID="Equation.DSMT4" ShapeID="_x0000_i1034" DrawAspect="Content" ObjectID="_1604747612" r:id="rId29"/>
        </w:object>
      </w:r>
      <w:r>
        <w:rPr>
          <w:color w:val="000000"/>
        </w:rPr>
        <w:t xml:space="preserve">is the number of students that dropped out at time </w:t>
      </w:r>
      <w:r w:rsidRPr="002E02A0">
        <w:rPr>
          <w:color w:val="000000"/>
          <w:position w:val="-14"/>
        </w:rPr>
        <w:object w:dxaOrig="220" w:dyaOrig="380" w14:anchorId="73AF9B89">
          <v:shape id="_x0000_i1035" type="#_x0000_t75" style="width:10.5pt;height:19.5pt" o:ole="">
            <v:imagedata r:id="rId26" o:title=""/>
          </v:shape>
          <o:OLEObject Type="Embed" ProgID="Equation.DSMT4" ShapeID="_x0000_i1035" DrawAspect="Content" ObjectID="_1604747613" r:id="rId30"/>
        </w:object>
      </w:r>
      <w:r>
        <w:rPr>
          <w:color w:val="000000"/>
        </w:rPr>
        <w:t xml:space="preserve">. Hence, the </w:t>
      </w:r>
      <w:r w:rsidRPr="002E02A0">
        <w:rPr>
          <w:color w:val="000000"/>
        </w:rPr>
        <w:t>Kaplan</w:t>
      </w:r>
      <w:r>
        <w:rPr>
          <w:color w:val="000000"/>
        </w:rPr>
        <w:t xml:space="preserve">-Meier estimator is obtained by the product of a sequence of conditional survival probability estimators at any point in time.  </w:t>
      </w:r>
    </w:p>
    <w:p w14:paraId="20FC0919" w14:textId="25DB1770" w:rsidR="002E02A0" w:rsidRPr="005A56C5" w:rsidRDefault="002E02A0" w:rsidP="00E222F0">
      <w:pPr>
        <w:pStyle w:val="Heading2"/>
        <w:spacing w:before="0" w:after="0" w:line="480" w:lineRule="auto"/>
        <w:ind w:right="0"/>
        <w:contextualSpacing w:val="0"/>
        <w:rPr>
          <w:bCs w:val="0"/>
          <w:kern w:val="32"/>
          <w:lang w:val="en-US" w:eastAsia="ru-RU"/>
        </w:rPr>
      </w:pPr>
      <w:r w:rsidRPr="005A56C5">
        <w:rPr>
          <w:bCs w:val="0"/>
          <w:kern w:val="32"/>
          <w:lang w:val="en-US" w:eastAsia="ru-RU"/>
        </w:rPr>
        <w:t>The Nelson-Aalen Estimator</w:t>
      </w:r>
    </w:p>
    <w:p w14:paraId="611EE519" w14:textId="5835CAD5" w:rsidR="002E02A0" w:rsidRDefault="002E02A0" w:rsidP="002E02A0">
      <w:pPr>
        <w:pStyle w:val="Newparagraph"/>
        <w:ind w:firstLine="0"/>
        <w:jc w:val="both"/>
        <w:rPr>
          <w:color w:val="000000"/>
        </w:rPr>
      </w:pPr>
      <w:r>
        <w:rPr>
          <w:color w:val="000000"/>
        </w:rPr>
        <w:t xml:space="preserve">The cumulative hazard function as shown in equation </w:t>
      </w:r>
      <w:r w:rsidRPr="002E02A0">
        <w:t xml:space="preserve">(4) </w:t>
      </w:r>
      <w:r>
        <w:rPr>
          <w:color w:val="000000"/>
        </w:rPr>
        <w:t xml:space="preserve">can be estimated through the </w:t>
      </w:r>
      <w:r w:rsidRPr="002E02A0">
        <w:rPr>
          <w:color w:val="000000"/>
        </w:rPr>
        <w:t>Kaplan</w:t>
      </w:r>
      <w:r>
        <w:rPr>
          <w:color w:val="000000"/>
        </w:rPr>
        <w:t xml:space="preserve">-Meier Survival Estimator, given the theoretical relationship between </w:t>
      </w:r>
      <w:r w:rsidR="00815692" w:rsidRPr="00815692">
        <w:rPr>
          <w:color w:val="000000"/>
          <w:position w:val="-10"/>
        </w:rPr>
        <w:object w:dxaOrig="540" w:dyaOrig="320" w14:anchorId="4BE0CD40">
          <v:shape id="_x0000_i1036" type="#_x0000_t75" style="width:27pt;height:15.75pt" o:ole="">
            <v:imagedata r:id="rId31" o:title=""/>
          </v:shape>
          <o:OLEObject Type="Embed" ProgID="Equation.DSMT4" ShapeID="_x0000_i1036" DrawAspect="Content" ObjectID="_1604747614" r:id="rId32"/>
        </w:object>
      </w:r>
      <w:r>
        <w:rPr>
          <w:color w:val="000000"/>
        </w:rPr>
        <w:t xml:space="preserve"> and </w:t>
      </w:r>
      <w:r w:rsidR="00815692" w:rsidRPr="00815692">
        <w:rPr>
          <w:color w:val="000000"/>
          <w:position w:val="-10"/>
        </w:rPr>
        <w:object w:dxaOrig="460" w:dyaOrig="320" w14:anchorId="5D203D7D">
          <v:shape id="_x0000_i1037" type="#_x0000_t75" style="width:22.5pt;height:15.75pt" o:ole="">
            <v:imagedata r:id="rId33" o:title=""/>
          </v:shape>
          <o:OLEObject Type="Embed" ProgID="Equation.DSMT4" ShapeID="_x0000_i1037" DrawAspect="Content" ObjectID="_1604747615" r:id="rId34"/>
        </w:object>
      </w:r>
      <w:r>
        <w:rPr>
          <w:color w:val="000000"/>
        </w:rPr>
        <w:t>. However, there is another non-parametric method for estimating this function, which is usually preferred given its small-sample proper</w:t>
      </w:r>
      <w:r w:rsidRPr="00815692">
        <w:rPr>
          <w:color w:val="000000"/>
        </w:rPr>
        <w:t>ties. This is the Nelson-Aalen Estimator. This estimator can be defined as follows:</w:t>
      </w:r>
    </w:p>
    <w:p w14:paraId="7D2B29EA" w14:textId="139EAFF9" w:rsidR="00815692" w:rsidRDefault="00815692" w:rsidP="00815692">
      <w:pPr>
        <w:pStyle w:val="Newparagraph"/>
        <w:jc w:val="both"/>
        <w:rPr>
          <w:color w:val="000000"/>
        </w:rPr>
      </w:pPr>
      <w:r>
        <w:rPr>
          <w:color w:val="000000"/>
        </w:rPr>
        <w:t xml:space="preserve">                                         </w:t>
      </w:r>
      <w:r w:rsidRPr="002A6B3E">
        <w:rPr>
          <w:color w:val="000000"/>
          <w:position w:val="-34"/>
        </w:rPr>
        <w:object w:dxaOrig="1340" w:dyaOrig="760" w14:anchorId="78089AE5">
          <v:shape id="_x0000_i1038" type="#_x0000_t75" style="width:66.75pt;height:37.5pt" o:ole="">
            <v:imagedata r:id="rId35" o:title=""/>
          </v:shape>
          <o:OLEObject Type="Embed" ProgID="Equation.DSMT4" ShapeID="_x0000_i1038" DrawAspect="Content" ObjectID="_1604747616" r:id="rId36"/>
        </w:object>
      </w:r>
      <w:r>
        <w:rPr>
          <w:color w:val="000000"/>
        </w:rPr>
        <w:t>,                                                             (6)</w:t>
      </w:r>
    </w:p>
    <w:p w14:paraId="22B32D97" w14:textId="77777777" w:rsidR="00815692" w:rsidRDefault="00815692" w:rsidP="002E02A0">
      <w:pPr>
        <w:pStyle w:val="Newparagraph"/>
        <w:ind w:firstLine="0"/>
        <w:jc w:val="both"/>
        <w:rPr>
          <w:color w:val="000000"/>
        </w:rPr>
      </w:pPr>
    </w:p>
    <w:p w14:paraId="4389CB38" w14:textId="78CCAA14" w:rsidR="002A6B3E" w:rsidRDefault="00815692" w:rsidP="002A6B3E">
      <w:pPr>
        <w:pStyle w:val="Newparagraph"/>
        <w:jc w:val="both"/>
        <w:rPr>
          <w:color w:val="000000"/>
        </w:rPr>
      </w:pPr>
      <w:r>
        <w:rPr>
          <w:color w:val="000000"/>
        </w:rPr>
        <w:t xml:space="preserve">where the sum is over all years of schooling less than or equal to </w:t>
      </w:r>
      <w:r w:rsidRPr="00815692">
        <w:rPr>
          <w:i/>
        </w:rPr>
        <w:t>t</w:t>
      </w:r>
      <w:r>
        <w:rPr>
          <w:color w:val="000000"/>
        </w:rPr>
        <w:t>.</w:t>
      </w:r>
    </w:p>
    <w:p w14:paraId="5EA5AD89" w14:textId="350826DC" w:rsidR="00815692" w:rsidRPr="005A56C5" w:rsidRDefault="00815692" w:rsidP="00E222F0">
      <w:pPr>
        <w:pStyle w:val="Heading2"/>
        <w:spacing w:before="0" w:after="0" w:line="480" w:lineRule="auto"/>
        <w:ind w:right="0"/>
        <w:contextualSpacing w:val="0"/>
        <w:rPr>
          <w:bCs w:val="0"/>
          <w:kern w:val="32"/>
          <w:lang w:val="en-US" w:eastAsia="ru-RU"/>
        </w:rPr>
      </w:pPr>
      <w:r w:rsidRPr="005A56C5">
        <w:rPr>
          <w:bCs w:val="0"/>
          <w:kern w:val="32"/>
          <w:lang w:val="en-US" w:eastAsia="ru-RU"/>
        </w:rPr>
        <w:t>The Cox-Proportional Hazard Model</w:t>
      </w:r>
    </w:p>
    <w:p w14:paraId="480F7B9C" w14:textId="42BFD338" w:rsidR="00815692" w:rsidRDefault="00815692" w:rsidP="00815692">
      <w:pPr>
        <w:pStyle w:val="Displayedquotation"/>
        <w:spacing w:line="480" w:lineRule="auto"/>
        <w:ind w:left="0" w:right="39"/>
        <w:jc w:val="both"/>
        <w:rPr>
          <w:color w:val="000000"/>
          <w:position w:val="-10"/>
          <w:sz w:val="24"/>
        </w:rPr>
      </w:pPr>
      <w:r w:rsidRPr="00815692">
        <w:rPr>
          <w:color w:val="000000"/>
          <w:position w:val="-10"/>
          <w:sz w:val="24"/>
        </w:rPr>
        <w:t xml:space="preserve">The Cox-Proportional Hazard Model is a semi-parametric survival model with the advantage that it does not require the knowledge of the underlying distribution. This model is the most popular hazard model due to its computational feasibility </w:t>
      </w:r>
      <w:r>
        <w:rPr>
          <w:color w:val="000000"/>
          <w:position w:val="-10"/>
          <w:sz w:val="24"/>
        </w:rPr>
        <w:fldChar w:fldCharType="begin" w:fldLock="1"/>
      </w:r>
      <w:r w:rsidR="005149A0">
        <w:rPr>
          <w:color w:val="000000"/>
          <w:position w:val="-10"/>
          <w:sz w:val="24"/>
        </w:rPr>
        <w:instrText>ADDIN CSL_CITATION {"citationItems":[{"id":"ITEM-1","itemData":{"author":[{"dropping-particle":"","family":"Cleves","given":"Mario","non-dropping-particle":"","parse-names":false,"suffix":""},{"dropping-particle":"","family":"Gould","given":"William","non-dropping-particle":"","parse-names":false,"suffix":""},{"dropping-particle":"","family":"Gutierrez","given":"Roberto","non-dropping-particle":"","parse-names":false,"suffix":""},{"dropping-particle":"","family":"Marchenko","given":"Yulia","non-dropping-particle":"","parse-names":false,"suffix":""}],"edition":"3rd","id":"ITEM-1","issued":{"date-parts":[["2010"]]},"publisher":"Stata Press","title":"An introduction to survival analysis using Stata","type":"book"},"uris":["http://www.mendeley.com/documents/?uuid=c97acf53-8e52-4fc4-ba4a-e2b96e88b94d"]}],"mendeley":{"formattedCitation":"(Cleves, Gould, Gutierrez, &amp; Marchenko, 2010)","plainTextFormattedCitation":"(Cleves, Gould, Gutierrez, &amp; Marchenko, 2010)","previouslyFormattedCitation":"(Cleves, Gould, Gutierrez, &amp; Marchenko, 2010)"},"properties":{"noteIndex":0},"schema":"https://github.com/citation-style-language/schema/raw/master/csl-citation.json"}</w:instrText>
      </w:r>
      <w:r>
        <w:rPr>
          <w:color w:val="000000"/>
          <w:position w:val="-10"/>
          <w:sz w:val="24"/>
        </w:rPr>
        <w:fldChar w:fldCharType="separate"/>
      </w:r>
      <w:r w:rsidRPr="00815692">
        <w:rPr>
          <w:noProof/>
          <w:color w:val="000000"/>
          <w:position w:val="-10"/>
          <w:sz w:val="24"/>
        </w:rPr>
        <w:t>(Cleves, Gould, Gutierrez, &amp; Marchenko, 2010)</w:t>
      </w:r>
      <w:r>
        <w:rPr>
          <w:color w:val="000000"/>
          <w:position w:val="-10"/>
          <w:sz w:val="24"/>
        </w:rPr>
        <w:fldChar w:fldCharType="end"/>
      </w:r>
      <w:r w:rsidRPr="00815692">
        <w:rPr>
          <w:color w:val="000000"/>
          <w:position w:val="-10"/>
          <w:sz w:val="24"/>
        </w:rPr>
        <w:t>. The general form of this model can be defined as follows:</w:t>
      </w:r>
    </w:p>
    <w:p w14:paraId="229D66D9" w14:textId="6A5F8BF4" w:rsidR="00815692" w:rsidRDefault="00815692" w:rsidP="00815692">
      <w:pPr>
        <w:pStyle w:val="Newparagraph"/>
        <w:jc w:val="both"/>
        <w:rPr>
          <w:color w:val="000000"/>
        </w:rPr>
      </w:pPr>
      <w:r>
        <w:rPr>
          <w:color w:val="000000"/>
        </w:rPr>
        <w:t xml:space="preserve">                                </w:t>
      </w:r>
      <w:r w:rsidRPr="00815692">
        <w:rPr>
          <w:color w:val="000000"/>
          <w:position w:val="-32"/>
        </w:rPr>
        <w:object w:dxaOrig="2880" w:dyaOrig="760" w14:anchorId="5CD2EB65">
          <v:shape id="_x0000_i1039" type="#_x0000_t75" style="width:2in;height:37.5pt" o:ole="">
            <v:imagedata r:id="rId37" o:title=""/>
          </v:shape>
          <o:OLEObject Type="Embed" ProgID="Equation.DSMT4" ShapeID="_x0000_i1039" DrawAspect="Content" ObjectID="_1604747617" r:id="rId38"/>
        </w:object>
      </w:r>
      <w:r>
        <w:rPr>
          <w:color w:val="000000"/>
        </w:rPr>
        <w:t>,                                                         (7)</w:t>
      </w:r>
    </w:p>
    <w:p w14:paraId="71A38912" w14:textId="10B84547" w:rsidR="00815692" w:rsidRDefault="00815692" w:rsidP="00815692">
      <w:pPr>
        <w:pStyle w:val="Newparagraph"/>
        <w:jc w:val="both"/>
        <w:rPr>
          <w:color w:val="000000"/>
        </w:rPr>
      </w:pPr>
      <w:r>
        <w:rPr>
          <w:color w:val="000000"/>
        </w:rPr>
        <w:t xml:space="preserve">Where </w:t>
      </w:r>
      <w:r w:rsidRPr="00815692">
        <w:rPr>
          <w:color w:val="000000"/>
          <w:position w:val="-12"/>
        </w:rPr>
        <w:object w:dxaOrig="520" w:dyaOrig="360" w14:anchorId="421E83A0">
          <v:shape id="_x0000_i1040" type="#_x0000_t75" style="width:25.5pt;height:18.75pt" o:ole="">
            <v:imagedata r:id="rId39" o:title=""/>
          </v:shape>
          <o:OLEObject Type="Embed" ProgID="Equation.DSMT4" ShapeID="_x0000_i1040" DrawAspect="Content" ObjectID="_1604747618" r:id="rId40"/>
        </w:object>
      </w:r>
      <w:r>
        <w:rPr>
          <w:color w:val="000000"/>
        </w:rPr>
        <w:t xml:space="preserve"> is the underlying hazard function. This function characterizes how the risk of dropping out changes with time and is also known as the baseline hazard function. In other words, this function describes the risk of dropping out for an individual with zero </w:t>
      </w:r>
      <w:r w:rsidRPr="00815692">
        <w:rPr>
          <w:color w:val="000000"/>
        </w:rPr>
        <w:t>covariates.</w:t>
      </w:r>
      <w:r>
        <w:rPr>
          <w:color w:val="000000"/>
        </w:rPr>
        <w:t xml:space="preserve"> The other part of the hazard function,  </w:t>
      </w:r>
      <w:r w:rsidRPr="00E47713">
        <w:rPr>
          <w:position w:val="-32"/>
        </w:rPr>
        <w:object w:dxaOrig="1420" w:dyaOrig="760" w14:anchorId="171D82B3">
          <v:shape id="_x0000_i1041" type="#_x0000_t75" style="width:71.25pt;height:37.5pt" o:ole="">
            <v:imagedata r:id="rId41" o:title=""/>
          </v:shape>
          <o:OLEObject Type="Embed" ProgID="Equation.DSMT4" ShapeID="_x0000_i1041" DrawAspect="Content" ObjectID="_1604747619" r:id="rId42"/>
        </w:object>
      </w:r>
      <w:r>
        <w:t xml:space="preserve">, </w:t>
      </w:r>
      <w:r>
        <w:rPr>
          <w:color w:val="000000"/>
        </w:rPr>
        <w:t>is the relative risk and describes the effects of the</w:t>
      </w:r>
      <w:r w:rsidRPr="00815692">
        <w:rPr>
          <w:color w:val="000000"/>
        </w:rPr>
        <w:t xml:space="preserve"> covariates.</w:t>
      </w:r>
    </w:p>
    <w:p w14:paraId="08466221" w14:textId="328A6D6E" w:rsidR="00815692" w:rsidRDefault="00815692" w:rsidP="00815692">
      <w:pPr>
        <w:pStyle w:val="Newparagraph"/>
        <w:jc w:val="both"/>
        <w:rPr>
          <w:color w:val="000000"/>
        </w:rPr>
      </w:pPr>
      <w:r>
        <w:rPr>
          <w:color w:val="000000"/>
        </w:rPr>
        <w:t>The hazard function shown in equation</w:t>
      </w:r>
      <w:r w:rsidRPr="00815692">
        <w:t xml:space="preserve"> (7) </w:t>
      </w:r>
      <w:r>
        <w:rPr>
          <w:color w:val="000000"/>
        </w:rPr>
        <w:t>can be further represented as,</w:t>
      </w:r>
    </w:p>
    <w:p w14:paraId="79B26523" w14:textId="042EFCAC" w:rsidR="00815692" w:rsidRDefault="00815692" w:rsidP="00815692">
      <w:pPr>
        <w:pStyle w:val="Newparagraph"/>
        <w:jc w:val="both"/>
        <w:rPr>
          <w:color w:val="000000"/>
        </w:rPr>
      </w:pPr>
      <w:r>
        <w:rPr>
          <w:color w:val="000000"/>
        </w:rPr>
        <w:t xml:space="preserve">                                </w:t>
      </w:r>
      <w:r w:rsidRPr="00815692">
        <w:rPr>
          <w:color w:val="000000"/>
          <w:position w:val="-14"/>
        </w:rPr>
        <w:object w:dxaOrig="2200" w:dyaOrig="400" w14:anchorId="7B229B72">
          <v:shape id="_x0000_i1042" type="#_x0000_t75" style="width:109.5pt;height:20.25pt" o:ole="">
            <v:imagedata r:id="rId43" o:title=""/>
          </v:shape>
          <o:OLEObject Type="Embed" ProgID="Equation.DSMT4" ShapeID="_x0000_i1042" DrawAspect="Content" ObjectID="_1604747620" r:id="rId44"/>
        </w:object>
      </w:r>
      <w:r>
        <w:rPr>
          <w:color w:val="000000"/>
        </w:rPr>
        <w:t>,                                                         (7’)</w:t>
      </w:r>
    </w:p>
    <w:p w14:paraId="613DDB03" w14:textId="77777777" w:rsidR="003A4F32" w:rsidRDefault="00815692" w:rsidP="003A4F32">
      <w:pPr>
        <w:pStyle w:val="HTMLPreformatted"/>
        <w:spacing w:line="480" w:lineRule="auto"/>
        <w:rPr>
          <w:rFonts w:ascii="Times New Roman" w:hAnsi="Times New Roman" w:cs="Times New Roman"/>
          <w:color w:val="000000"/>
          <w:sz w:val="24"/>
          <w:szCs w:val="24"/>
          <w:lang w:val="en-GB" w:eastAsia="en-GB"/>
        </w:rPr>
      </w:pPr>
      <w:r>
        <w:rPr>
          <w:rFonts w:ascii="Times New Roman" w:hAnsi="Times New Roman" w:cs="Times New Roman"/>
          <w:color w:val="000000"/>
          <w:sz w:val="24"/>
          <w:szCs w:val="24"/>
          <w:lang w:val="en-GB" w:eastAsia="en-GB"/>
        </w:rPr>
        <w:lastRenderedPageBreak/>
        <w:tab/>
      </w:r>
      <w:r w:rsidRPr="00815692">
        <w:rPr>
          <w:rFonts w:ascii="Times New Roman" w:hAnsi="Times New Roman" w:cs="Times New Roman"/>
          <w:color w:val="000000"/>
          <w:sz w:val="24"/>
          <w:szCs w:val="24"/>
          <w:lang w:val="en-GB" w:eastAsia="en-GB"/>
        </w:rPr>
        <w:t>Where</w:t>
      </w:r>
      <w:r>
        <w:rPr>
          <w:rFonts w:ascii="Times New Roman" w:hAnsi="Times New Roman" w:cs="Times New Roman"/>
          <w:color w:val="000000"/>
          <w:sz w:val="24"/>
          <w:szCs w:val="24"/>
          <w:lang w:val="en-GB" w:eastAsia="en-GB"/>
        </w:rPr>
        <w:t xml:space="preserve"> </w:t>
      </w:r>
      <w:r w:rsidRPr="00815692">
        <w:rPr>
          <w:color w:val="000000"/>
          <w:position w:val="-12"/>
        </w:rPr>
        <w:object w:dxaOrig="1820" w:dyaOrig="360" w14:anchorId="78E92C6C">
          <v:shape id="_x0000_i1043" type="#_x0000_t75" style="width:91.5pt;height:18.75pt" o:ole="">
            <v:imagedata r:id="rId45" o:title=""/>
          </v:shape>
          <o:OLEObject Type="Embed" ProgID="Equation.DSMT4" ShapeID="_x0000_i1043" DrawAspect="Content" ObjectID="_1604747621" r:id="rId46"/>
        </w:object>
      </w:r>
      <w:r w:rsidRPr="00815692">
        <w:rPr>
          <w:rFonts w:ascii="Times New Roman" w:hAnsi="Times New Roman" w:cs="Times New Roman"/>
          <w:color w:val="000000"/>
          <w:sz w:val="24"/>
          <w:szCs w:val="24"/>
          <w:lang w:val="en-GB" w:eastAsia="en-GB"/>
        </w:rPr>
        <w:t xml:space="preserve"> represents the coefficients of the covariates. The parameter estimates of the model are obtained by maximum likelihood. </w:t>
      </w:r>
    </w:p>
    <w:p w14:paraId="14907D5B" w14:textId="03AEDB81" w:rsidR="00815692" w:rsidRDefault="003A4F32" w:rsidP="003A4F32">
      <w:pPr>
        <w:pStyle w:val="HTMLPreformatted"/>
        <w:spacing w:line="480" w:lineRule="auto"/>
        <w:jc w:val="both"/>
        <w:rPr>
          <w:rFonts w:ascii="Times New Roman" w:hAnsi="Times New Roman" w:cs="Times New Roman"/>
          <w:color w:val="000000"/>
          <w:sz w:val="24"/>
          <w:szCs w:val="24"/>
          <w:lang w:val="en-GB" w:eastAsia="en-GB"/>
        </w:rPr>
      </w:pPr>
      <w:r>
        <w:rPr>
          <w:rFonts w:ascii="Times New Roman" w:hAnsi="Times New Roman" w:cs="Times New Roman"/>
          <w:color w:val="000000"/>
          <w:sz w:val="24"/>
          <w:szCs w:val="24"/>
          <w:lang w:val="en-GB" w:eastAsia="en-GB"/>
        </w:rPr>
        <w:tab/>
      </w:r>
      <w:r w:rsidR="00815692" w:rsidRPr="003A4F32">
        <w:rPr>
          <w:rFonts w:ascii="Times New Roman" w:hAnsi="Times New Roman" w:cs="Times New Roman"/>
          <w:color w:val="000000"/>
          <w:sz w:val="24"/>
          <w:szCs w:val="24"/>
          <w:lang w:val="en-GB" w:eastAsia="en-GB"/>
        </w:rPr>
        <w:t xml:space="preserve">The model states that the hazard ratio of any two students </w:t>
      </w:r>
      <w:r w:rsidRPr="003A4F32">
        <w:rPr>
          <w:rFonts w:ascii="Times New Roman" w:hAnsi="Times New Roman" w:cs="Times New Roman"/>
          <w:i/>
          <w:color w:val="000000"/>
          <w:sz w:val="24"/>
          <w:szCs w:val="24"/>
          <w:lang w:val="en-GB" w:eastAsia="en-GB"/>
        </w:rPr>
        <w:t>j</w:t>
      </w:r>
      <w:r>
        <w:rPr>
          <w:rFonts w:ascii="Times New Roman" w:hAnsi="Times New Roman" w:cs="Times New Roman"/>
          <w:color w:val="000000"/>
          <w:sz w:val="24"/>
          <w:szCs w:val="24"/>
          <w:lang w:val="en-GB" w:eastAsia="en-GB"/>
        </w:rPr>
        <w:t xml:space="preserve"> and </w:t>
      </w:r>
      <w:r w:rsidRPr="003A4F32">
        <w:rPr>
          <w:rFonts w:ascii="Times New Roman" w:hAnsi="Times New Roman" w:cs="Times New Roman"/>
          <w:i/>
          <w:color w:val="000000"/>
          <w:sz w:val="24"/>
          <w:szCs w:val="24"/>
          <w:lang w:val="en-GB" w:eastAsia="en-GB"/>
        </w:rPr>
        <w:t>m</w:t>
      </w:r>
      <w:r>
        <w:rPr>
          <w:rFonts w:ascii="Times New Roman" w:hAnsi="Times New Roman" w:cs="Times New Roman"/>
          <w:color w:val="000000"/>
          <w:sz w:val="24"/>
          <w:szCs w:val="24"/>
          <w:lang w:val="en-GB" w:eastAsia="en-GB"/>
        </w:rPr>
        <w:t xml:space="preserve"> with different </w:t>
      </w:r>
      <w:r w:rsidR="00815692" w:rsidRPr="003A4F32">
        <w:rPr>
          <w:rFonts w:ascii="Times New Roman" w:hAnsi="Times New Roman" w:cs="Times New Roman"/>
          <w:color w:val="000000"/>
          <w:sz w:val="24"/>
          <w:szCs w:val="24"/>
          <w:lang w:val="en-GB" w:eastAsia="en-GB"/>
        </w:rPr>
        <w:t xml:space="preserve">covariates </w:t>
      </w:r>
      <w:r w:rsidRPr="003A4F32">
        <w:rPr>
          <w:rFonts w:ascii="Times New Roman" w:hAnsi="Times New Roman" w:cs="Times New Roman"/>
          <w:i/>
          <w:color w:val="000000"/>
          <w:sz w:val="24"/>
          <w:szCs w:val="24"/>
          <w:lang w:val="en-GB" w:eastAsia="en-GB"/>
        </w:rPr>
        <w:t>x</w:t>
      </w:r>
      <w:r w:rsidRPr="003A4F32">
        <w:rPr>
          <w:rFonts w:ascii="Times New Roman" w:hAnsi="Times New Roman" w:cs="Times New Roman"/>
          <w:i/>
          <w:color w:val="000000"/>
          <w:sz w:val="24"/>
          <w:szCs w:val="24"/>
          <w:vertAlign w:val="subscript"/>
          <w:lang w:val="en-GB" w:eastAsia="en-GB"/>
        </w:rPr>
        <w:t>j</w:t>
      </w:r>
      <w:r w:rsidR="00815692" w:rsidRPr="003A4F32">
        <w:rPr>
          <w:rFonts w:ascii="Times New Roman" w:hAnsi="Times New Roman" w:cs="Times New Roman"/>
          <w:color w:val="000000"/>
          <w:sz w:val="24"/>
          <w:szCs w:val="24"/>
          <w:lang w:val="en-GB" w:eastAsia="en-GB"/>
        </w:rPr>
        <w:t xml:space="preserve"> and </w:t>
      </w:r>
      <w:r w:rsidRPr="003A4F32">
        <w:rPr>
          <w:rFonts w:ascii="Times New Roman" w:hAnsi="Times New Roman" w:cs="Times New Roman"/>
          <w:i/>
          <w:color w:val="000000"/>
          <w:sz w:val="24"/>
          <w:szCs w:val="24"/>
          <w:lang w:val="en-GB" w:eastAsia="en-GB"/>
        </w:rPr>
        <w:t>x</w:t>
      </w:r>
      <w:r w:rsidRPr="003A4F32">
        <w:rPr>
          <w:rFonts w:ascii="Times New Roman" w:hAnsi="Times New Roman" w:cs="Times New Roman"/>
          <w:i/>
          <w:color w:val="000000"/>
          <w:sz w:val="24"/>
          <w:szCs w:val="24"/>
          <w:vertAlign w:val="subscript"/>
          <w:lang w:val="en-GB" w:eastAsia="en-GB"/>
        </w:rPr>
        <w:t>m</w:t>
      </w:r>
      <w:r w:rsidR="00815692" w:rsidRPr="003A4F32">
        <w:rPr>
          <w:rFonts w:ascii="Times New Roman" w:hAnsi="Times New Roman" w:cs="Times New Roman"/>
          <w:color w:val="000000"/>
          <w:sz w:val="24"/>
          <w:szCs w:val="24"/>
          <w:lang w:val="en-GB" w:eastAsia="en-GB"/>
        </w:rPr>
        <w:t xml:space="preserve"> is given by,</w:t>
      </w:r>
    </w:p>
    <w:p w14:paraId="3EF79BC1" w14:textId="6D5C9046" w:rsidR="003A4F32" w:rsidRDefault="003A4F32" w:rsidP="003A4F32">
      <w:pPr>
        <w:pStyle w:val="Newparagraph"/>
        <w:jc w:val="both"/>
        <w:rPr>
          <w:color w:val="000000"/>
        </w:rPr>
      </w:pPr>
      <w:r>
        <w:rPr>
          <w:color w:val="000000"/>
        </w:rPr>
        <w:t xml:space="preserve">                                </w:t>
      </w:r>
      <w:r w:rsidRPr="003A4F32">
        <w:rPr>
          <w:color w:val="000000"/>
          <w:position w:val="-30"/>
        </w:rPr>
        <w:object w:dxaOrig="2220" w:dyaOrig="720" w14:anchorId="12360F5A">
          <v:shape id="_x0000_i1044" type="#_x0000_t75" style="width:111pt;height:36pt" o:ole="">
            <v:imagedata r:id="rId47" o:title=""/>
          </v:shape>
          <o:OLEObject Type="Embed" ProgID="Equation.DSMT4" ShapeID="_x0000_i1044" DrawAspect="Content" ObjectID="_1604747622" r:id="rId48"/>
        </w:object>
      </w:r>
      <w:r>
        <w:rPr>
          <w:color w:val="000000"/>
        </w:rPr>
        <w:t>,                                                         (8)</w:t>
      </w:r>
    </w:p>
    <w:p w14:paraId="662785E1" w14:textId="64E43C89" w:rsidR="003A4F32" w:rsidRPr="003A4F32" w:rsidRDefault="003A4F32" w:rsidP="003A4F32">
      <w:pPr>
        <w:pStyle w:val="HTMLPreformatted"/>
        <w:spacing w:line="480" w:lineRule="auto"/>
        <w:jc w:val="both"/>
        <w:rPr>
          <w:rFonts w:ascii="Times New Roman" w:hAnsi="Times New Roman" w:cs="Times New Roman"/>
          <w:color w:val="000000"/>
          <w:sz w:val="24"/>
          <w:szCs w:val="24"/>
          <w:lang w:val="en-GB" w:eastAsia="en-GB"/>
        </w:rPr>
      </w:pPr>
      <w:r>
        <w:rPr>
          <w:rFonts w:ascii="Times New Roman" w:hAnsi="Times New Roman" w:cs="Times New Roman"/>
          <w:color w:val="000000"/>
          <w:sz w:val="24"/>
          <w:szCs w:val="24"/>
          <w:lang w:val="en-GB" w:eastAsia="en-GB"/>
        </w:rPr>
        <w:tab/>
      </w:r>
      <w:r w:rsidRPr="003A4F32">
        <w:rPr>
          <w:rFonts w:ascii="Times New Roman" w:hAnsi="Times New Roman" w:cs="Times New Roman"/>
          <w:color w:val="000000"/>
          <w:sz w:val="24"/>
          <w:szCs w:val="24"/>
          <w:lang w:val="en-GB" w:eastAsia="en-GB"/>
        </w:rPr>
        <w:t>The assumption of this model is that the hazards are proportional to each other and do not change over time, hence the hazard ratio is constant. This ratio indicates how much more likely a student is to drop out than another at any particular point in time.</w:t>
      </w:r>
    </w:p>
    <w:p w14:paraId="3059C4B5" w14:textId="7E4241B6" w:rsidR="00815692" w:rsidRPr="00E222F0" w:rsidRDefault="003A4F32" w:rsidP="00E222F0">
      <w:pPr>
        <w:pStyle w:val="Heading1"/>
        <w:spacing w:before="0" w:after="0" w:line="480" w:lineRule="auto"/>
        <w:ind w:right="0"/>
        <w:contextualSpacing w:val="0"/>
        <w:jc w:val="center"/>
        <w:rPr>
          <w:lang w:val="en-US" w:eastAsia="ru-RU"/>
        </w:rPr>
      </w:pPr>
      <w:r w:rsidRPr="00E222F0">
        <w:rPr>
          <w:lang w:val="en-US" w:eastAsia="ru-RU"/>
        </w:rPr>
        <w:t>Empirical Framework</w:t>
      </w:r>
    </w:p>
    <w:p w14:paraId="4EDFEF88" w14:textId="17A730C3" w:rsidR="003A4F32" w:rsidRDefault="003A4F32" w:rsidP="003A4F32">
      <w:pPr>
        <w:pStyle w:val="Displayedquotation"/>
        <w:spacing w:line="480" w:lineRule="auto"/>
        <w:ind w:left="0" w:right="39"/>
        <w:jc w:val="both"/>
        <w:rPr>
          <w:color w:val="000000"/>
          <w:sz w:val="24"/>
        </w:rPr>
      </w:pPr>
      <w:r w:rsidRPr="003A4F32">
        <w:rPr>
          <w:color w:val="000000"/>
          <w:sz w:val="24"/>
        </w:rPr>
        <w:t xml:space="preserve">The discrete outcome of interest, dropping out of school, is assumed to be generated from an unobserved continuous variable, the household expected utility. More specifically, consumption and schooling decisions are assumed to be made by parents so as to maximize the household's aggregated expected utility. Each household </w:t>
      </w:r>
      <w:r w:rsidR="00E80A77" w:rsidRPr="003A4F32">
        <w:rPr>
          <w:color w:val="000000"/>
          <w:sz w:val="24"/>
        </w:rPr>
        <w:t>decides</w:t>
      </w:r>
      <w:r w:rsidRPr="003A4F32">
        <w:rPr>
          <w:color w:val="000000"/>
          <w:sz w:val="24"/>
        </w:rPr>
        <w:t xml:space="preserve"> about supporting children to continue in school by comparing future benefits and costs of attending school. If the net benefits are positive, parents support children to continue attending school, while if the net benefits are negative, children will exit school.</w:t>
      </w:r>
    </w:p>
    <w:p w14:paraId="64825FB6" w14:textId="77777777" w:rsidR="003A4F32" w:rsidRDefault="003A4F32" w:rsidP="003A4F32">
      <w:pPr>
        <w:pStyle w:val="Displayedquotation"/>
        <w:spacing w:line="480" w:lineRule="auto"/>
        <w:ind w:left="0" w:right="39"/>
        <w:jc w:val="both"/>
        <w:rPr>
          <w:color w:val="000000"/>
          <w:sz w:val="24"/>
        </w:rPr>
      </w:pPr>
      <w:r>
        <w:rPr>
          <w:color w:val="000000"/>
          <w:sz w:val="24"/>
        </w:rPr>
        <w:tab/>
      </w:r>
      <w:r w:rsidRPr="003A4F32">
        <w:rPr>
          <w:color w:val="000000"/>
          <w:sz w:val="24"/>
        </w:rPr>
        <w:t>Considering this decision process, the dependent variable in the empirical model is the duration until the time to the relevant event. Time to event is therefore defined as schooling years attained. The event of interest, dropping out of primary school, is constructed based on information available from the survey: 1) whether the student has dropped out of school and has not returned at the time of the survey</w:t>
      </w:r>
      <w:r>
        <w:rPr>
          <w:color w:val="000000"/>
          <w:sz w:val="24"/>
        </w:rPr>
        <w:t>,</w:t>
      </w:r>
      <w:r w:rsidRPr="00400AB1">
        <w:rPr>
          <w:rStyle w:val="FootnoteReference"/>
        </w:rPr>
        <w:footnoteReference w:id="5"/>
      </w:r>
      <w:r w:rsidRPr="003A4F32">
        <w:rPr>
          <w:color w:val="000000"/>
          <w:sz w:val="24"/>
        </w:rPr>
        <w:t xml:space="preserve"> and 2) whether the </w:t>
      </w:r>
      <w:r w:rsidRPr="003A4F32">
        <w:rPr>
          <w:color w:val="000000"/>
          <w:sz w:val="24"/>
        </w:rPr>
        <w:lastRenderedPageBreak/>
        <w:t>child's highest years of education attained are less than nine years of schooling. Recall that in Paraguay, primary education is compulsory and free and lasts nine years.</w:t>
      </w:r>
      <w:r>
        <w:rPr>
          <w:color w:val="000000"/>
          <w:sz w:val="24"/>
        </w:rPr>
        <w:t xml:space="preserve"> </w:t>
      </w:r>
    </w:p>
    <w:p w14:paraId="40101FCE" w14:textId="789EC485" w:rsidR="003A4F32" w:rsidRDefault="003A4F32" w:rsidP="003A4F32">
      <w:pPr>
        <w:pStyle w:val="Displayedquotation"/>
        <w:spacing w:line="480" w:lineRule="auto"/>
        <w:ind w:left="0" w:right="39"/>
        <w:jc w:val="both"/>
        <w:rPr>
          <w:color w:val="000000"/>
          <w:sz w:val="24"/>
        </w:rPr>
      </w:pPr>
      <w:r>
        <w:rPr>
          <w:color w:val="000000"/>
          <w:sz w:val="24"/>
        </w:rPr>
        <w:tab/>
      </w:r>
      <w:r w:rsidRPr="003A4F32">
        <w:rPr>
          <w:color w:val="000000"/>
          <w:sz w:val="24"/>
        </w:rPr>
        <w:t>Then, the empirical hazard model can be written as follows,</w:t>
      </w:r>
    </w:p>
    <w:p w14:paraId="273EF535" w14:textId="75621292" w:rsidR="003A4F32" w:rsidRDefault="003A4F32" w:rsidP="003A4F32">
      <w:pPr>
        <w:pStyle w:val="Newparagraph"/>
        <w:jc w:val="both"/>
        <w:rPr>
          <w:color w:val="000000"/>
        </w:rPr>
      </w:pPr>
      <w:r>
        <w:rPr>
          <w:color w:val="000000"/>
        </w:rPr>
        <w:t xml:space="preserve">                                </w:t>
      </w:r>
      <w:r w:rsidRPr="003A4F32">
        <w:rPr>
          <w:color w:val="000000"/>
          <w:position w:val="-32"/>
        </w:rPr>
        <w:object w:dxaOrig="3300" w:dyaOrig="760" w14:anchorId="349084AF">
          <v:shape id="_x0000_i1045" type="#_x0000_t75" style="width:165pt;height:37.5pt" o:ole="">
            <v:imagedata r:id="rId49" o:title=""/>
          </v:shape>
          <o:OLEObject Type="Embed" ProgID="Equation.DSMT4" ShapeID="_x0000_i1045" DrawAspect="Content" ObjectID="_1604747623" r:id="rId50"/>
        </w:object>
      </w:r>
      <w:r>
        <w:rPr>
          <w:color w:val="000000"/>
        </w:rPr>
        <w:t>,                                                 (9)</w:t>
      </w:r>
    </w:p>
    <w:p w14:paraId="37FF5151" w14:textId="7653ADA6" w:rsidR="003A4F32" w:rsidRDefault="003A4F32" w:rsidP="003A4F32">
      <w:pPr>
        <w:pStyle w:val="Displayedquotation"/>
        <w:spacing w:line="480" w:lineRule="auto"/>
        <w:ind w:left="0" w:right="39"/>
        <w:jc w:val="both"/>
        <w:rPr>
          <w:color w:val="000000"/>
          <w:sz w:val="24"/>
        </w:rPr>
      </w:pPr>
      <w:r w:rsidRPr="003A4F32">
        <w:rPr>
          <w:color w:val="000000"/>
          <w:sz w:val="24"/>
        </w:rPr>
        <w:t xml:space="preserve">where </w:t>
      </w:r>
      <w:r w:rsidRPr="003A4F32">
        <w:rPr>
          <w:i/>
          <w:color w:val="000000"/>
          <w:sz w:val="24"/>
        </w:rPr>
        <w:t>X</w:t>
      </w:r>
      <w:r w:rsidRPr="003A4F32">
        <w:rPr>
          <w:color w:val="000000"/>
          <w:sz w:val="24"/>
        </w:rPr>
        <w:t xml:space="preserve"> is a vector of regressors, </w:t>
      </w:r>
      <w:r w:rsidRPr="003A4F32">
        <w:rPr>
          <w:i/>
          <w:color w:val="000000"/>
          <w:sz w:val="24"/>
        </w:rPr>
        <w:t>β</w:t>
      </w:r>
      <w:r w:rsidRPr="003A4F32">
        <w:rPr>
          <w:i/>
          <w:color w:val="000000"/>
          <w:sz w:val="24"/>
          <w:vertAlign w:val="subscript"/>
        </w:rPr>
        <w:t>x</w:t>
      </w:r>
      <w:r>
        <w:rPr>
          <w:color w:val="000000"/>
          <w:sz w:val="24"/>
        </w:rPr>
        <w:t xml:space="preserve"> is a vector</w:t>
      </w:r>
      <w:r w:rsidRPr="003A4F32">
        <w:rPr>
          <w:color w:val="000000"/>
          <w:sz w:val="24"/>
        </w:rPr>
        <w:t xml:space="preserve"> of parameters to be estimated, and </w:t>
      </w:r>
      <w:r w:rsidRPr="003A4F32">
        <w:rPr>
          <w:i/>
          <w:color w:val="000000"/>
          <w:sz w:val="24"/>
        </w:rPr>
        <w:t>µ</w:t>
      </w:r>
      <w:r w:rsidRPr="003A4F32">
        <w:rPr>
          <w:i/>
          <w:color w:val="000000"/>
          <w:sz w:val="24"/>
          <w:vertAlign w:val="subscript"/>
        </w:rPr>
        <w:t>s</w:t>
      </w:r>
      <w:r w:rsidRPr="003A4F32">
        <w:rPr>
          <w:color w:val="000000"/>
          <w:sz w:val="24"/>
        </w:rPr>
        <w:t xml:space="preserve"> represents state of residence fixed effects, which measure the total impact of community and school characteristics, both observed and unobserved, on the hazard of dropping out. In this analysis the observed risk period begins when an individual starts primary school and ends when an individual experience a dropout event.</w:t>
      </w:r>
    </w:p>
    <w:p w14:paraId="0339AB33" w14:textId="1C4DDD44" w:rsidR="003A4F32" w:rsidRDefault="003A4F32" w:rsidP="003A4F32">
      <w:pPr>
        <w:pStyle w:val="Displayedquotation"/>
        <w:spacing w:line="480" w:lineRule="auto"/>
        <w:ind w:left="0" w:right="39"/>
        <w:jc w:val="both"/>
        <w:rPr>
          <w:color w:val="000000"/>
          <w:sz w:val="24"/>
        </w:rPr>
      </w:pPr>
      <w:r>
        <w:rPr>
          <w:color w:val="000000"/>
          <w:sz w:val="24"/>
        </w:rPr>
        <w:tab/>
        <w:t>A</w:t>
      </w:r>
      <w:r w:rsidRPr="003A4F32">
        <w:rPr>
          <w:color w:val="000000"/>
          <w:sz w:val="24"/>
        </w:rPr>
        <w:t xml:space="preserve"> branch of the literature on school dropout has suggested that departure from school is the end point of a long-term process in which the child has been involved. Therefore, to understand this process is necessary to consider particular personal characteristics, and the social organization of the school, home, and neighbourhood </w:t>
      </w:r>
      <w:r>
        <w:rPr>
          <w:color w:val="000000"/>
          <w:sz w:val="24"/>
        </w:rPr>
        <w:fldChar w:fldCharType="begin" w:fldLock="1"/>
      </w:r>
      <w:r w:rsidR="005149A0">
        <w:rPr>
          <w:color w:val="000000"/>
          <w:sz w:val="24"/>
        </w:rPr>
        <w:instrText>ADDIN CSL_CITATION {"citationItems":[{"id":"ITEM-1","itemData":{"author":[{"dropping-particle":"","family":"Plank","given":"Stephen B","non-dropping-particle":"","parse-names":false,"suffix":""},{"dropping-particle":"","family":"DeLuca","given":"Stefanie","non-dropping-particle":"","parse-names":false,"suffix":""},{"dropping-particle":"","family":"Estacion","given":"Angela","non-dropping-particle":"","parse-names":false,"suffix":""}],"container-title":"Sociology of Education","id":"ITEM-1","issue":"4","issued":{"date-parts":[["2008"]]},"page":"345-370","publisher":"SAGE Publications","title":"High school dropout and the role of career and technical education: A survival analysis of surviving high school","type":"article-journal","volume":"81"},"uris":["http://www.mendeley.com/documents/?uuid=0dd718fa-0d01-45ad-92af-32c0d831c911"]}],"mendeley":{"formattedCitation":"(Plank et al., 2008)","plainTextFormattedCitation":"(Plank et al., 2008)","previouslyFormattedCitation":"(Plank et al., 2008)"},"properties":{"noteIndex":0},"schema":"https://github.com/citation-style-language/schema/raw/master/csl-citation.json"}</w:instrText>
      </w:r>
      <w:r>
        <w:rPr>
          <w:color w:val="000000"/>
          <w:sz w:val="24"/>
        </w:rPr>
        <w:fldChar w:fldCharType="separate"/>
      </w:r>
      <w:r w:rsidRPr="003A4F32">
        <w:rPr>
          <w:noProof/>
          <w:color w:val="000000"/>
          <w:sz w:val="24"/>
        </w:rPr>
        <w:t>(Plank et al., 2008)</w:t>
      </w:r>
      <w:r>
        <w:rPr>
          <w:color w:val="000000"/>
          <w:sz w:val="24"/>
        </w:rPr>
        <w:fldChar w:fldCharType="end"/>
      </w:r>
      <w:r w:rsidRPr="003A4F32">
        <w:rPr>
          <w:color w:val="000000"/>
          <w:sz w:val="24"/>
        </w:rPr>
        <w:t>. Nonetheless, more recent studies have highlighted that in addition to early risk factors, dropping out of school can result from more immediate circumstances, such as health problems, or other opportunities that competes with school</w:t>
      </w:r>
      <w:r w:rsidR="00C370A9">
        <w:rPr>
          <w:color w:val="000000"/>
          <w:sz w:val="24"/>
        </w:rPr>
        <w:t>ing, such as the need to work</w:t>
      </w:r>
      <w:r w:rsidRPr="003A4F32">
        <w:rPr>
          <w:color w:val="000000"/>
          <w:sz w:val="24"/>
        </w:rPr>
        <w:t>. Furthermore, one can observe that within these two types of dropout approaches some factors affecting dropout belong to the individuals and their households, while others are out of their control, such as school quality.</w:t>
      </w:r>
    </w:p>
    <w:p w14:paraId="703BD36D" w14:textId="56956F9F" w:rsidR="00C370A9" w:rsidRDefault="00C370A9" w:rsidP="003A4F32">
      <w:pPr>
        <w:pStyle w:val="Displayedquotation"/>
        <w:spacing w:line="480" w:lineRule="auto"/>
        <w:ind w:left="0" w:right="39"/>
        <w:jc w:val="both"/>
        <w:rPr>
          <w:color w:val="000000"/>
          <w:sz w:val="24"/>
        </w:rPr>
      </w:pPr>
      <w:r>
        <w:rPr>
          <w:color w:val="000000"/>
          <w:sz w:val="24"/>
        </w:rPr>
        <w:tab/>
      </w:r>
      <w:r w:rsidRPr="00C370A9">
        <w:rPr>
          <w:color w:val="000000"/>
          <w:sz w:val="24"/>
        </w:rPr>
        <w:t xml:space="preserve">A better understanding of dropout behaviour, in particular of individuals with different linguistic backgrounds, requires the examination of the factors that fit these </w:t>
      </w:r>
      <w:r>
        <w:rPr>
          <w:color w:val="000000"/>
          <w:sz w:val="24"/>
        </w:rPr>
        <w:t>two approaches. In this study, we</w:t>
      </w:r>
      <w:r w:rsidRPr="00C370A9">
        <w:rPr>
          <w:color w:val="000000"/>
          <w:sz w:val="24"/>
        </w:rPr>
        <w:t xml:space="preserve"> consider a set of covariates that have been suggested in the </w:t>
      </w:r>
      <w:r w:rsidRPr="00C370A9">
        <w:rPr>
          <w:color w:val="000000"/>
          <w:sz w:val="24"/>
        </w:rPr>
        <w:lastRenderedPageBreak/>
        <w:t>literature as being important factors affecting the decision to drop out. The final set of covariates are summarized in the following table:</w:t>
      </w:r>
    </w:p>
    <w:p w14:paraId="3921EB07" w14:textId="0DA87EFB" w:rsidR="0086084B" w:rsidRPr="0086084B" w:rsidRDefault="0086084B" w:rsidP="0086084B">
      <w:pPr>
        <w:pStyle w:val="Caption"/>
        <w:keepNext/>
        <w:rPr>
          <w:color w:val="auto"/>
          <w:sz w:val="22"/>
        </w:rPr>
      </w:pPr>
      <w:r w:rsidRPr="0086084B">
        <w:rPr>
          <w:color w:val="auto"/>
          <w:sz w:val="22"/>
        </w:rPr>
        <w:t xml:space="preserve">Table </w:t>
      </w:r>
      <w:r w:rsidRPr="0086084B">
        <w:rPr>
          <w:color w:val="auto"/>
          <w:sz w:val="22"/>
        </w:rPr>
        <w:fldChar w:fldCharType="begin"/>
      </w:r>
      <w:r w:rsidRPr="0086084B">
        <w:rPr>
          <w:color w:val="auto"/>
          <w:sz w:val="22"/>
        </w:rPr>
        <w:instrText xml:space="preserve"> SEQ Table \* ARABIC </w:instrText>
      </w:r>
      <w:r w:rsidRPr="0086084B">
        <w:rPr>
          <w:color w:val="auto"/>
          <w:sz w:val="22"/>
        </w:rPr>
        <w:fldChar w:fldCharType="separate"/>
      </w:r>
      <w:r w:rsidR="00F72AD8">
        <w:rPr>
          <w:noProof/>
          <w:color w:val="auto"/>
          <w:sz w:val="22"/>
        </w:rPr>
        <w:t>1</w:t>
      </w:r>
      <w:r w:rsidRPr="0086084B">
        <w:rPr>
          <w:color w:val="auto"/>
          <w:sz w:val="22"/>
        </w:rPr>
        <w:fldChar w:fldCharType="end"/>
      </w:r>
      <w:r w:rsidRPr="0086084B">
        <w:rPr>
          <w:color w:val="auto"/>
          <w:sz w:val="22"/>
        </w:rPr>
        <w:t xml:space="preserve"> - </w:t>
      </w:r>
      <w:r w:rsidRPr="0086084B">
        <w:rPr>
          <w:color w:val="auto"/>
          <w:sz w:val="22"/>
          <w:lang w:val="en-US"/>
        </w:rPr>
        <w:t>List of Variable Definitions and Labels</w:t>
      </w:r>
    </w:p>
    <w:tbl>
      <w:tblPr>
        <w:tblW w:w="5000" w:type="pct"/>
        <w:tblLook w:val="04A0" w:firstRow="1" w:lastRow="0" w:firstColumn="1" w:lastColumn="0" w:noHBand="0" w:noVBand="1"/>
      </w:tblPr>
      <w:tblGrid>
        <w:gridCol w:w="328"/>
        <w:gridCol w:w="1756"/>
        <w:gridCol w:w="6415"/>
      </w:tblGrid>
      <w:tr w:rsidR="0086084B" w:rsidRPr="00F43115" w14:paraId="3C7FA9C7" w14:textId="77777777" w:rsidTr="00F43115">
        <w:trPr>
          <w:trHeight w:val="405"/>
        </w:trPr>
        <w:tc>
          <w:tcPr>
            <w:tcW w:w="1226" w:type="pct"/>
            <w:gridSpan w:val="2"/>
            <w:tcBorders>
              <w:top w:val="single" w:sz="4" w:space="0" w:color="auto"/>
              <w:left w:val="nil"/>
              <w:bottom w:val="single" w:sz="4" w:space="0" w:color="auto"/>
              <w:right w:val="nil"/>
            </w:tcBorders>
            <w:shd w:val="clear" w:color="000000" w:fill="FFFFFF"/>
            <w:noWrap/>
            <w:vAlign w:val="center"/>
            <w:hideMark/>
          </w:tcPr>
          <w:p w14:paraId="2325A155" w14:textId="09CF52D0" w:rsidR="0086084B" w:rsidRPr="0086084B" w:rsidRDefault="0086084B" w:rsidP="0086084B">
            <w:pPr>
              <w:spacing w:line="240" w:lineRule="auto"/>
              <w:rPr>
                <w:b/>
                <w:bCs/>
                <w:color w:val="000000"/>
                <w:sz w:val="22"/>
                <w:szCs w:val="22"/>
                <w:lang w:val="en-US" w:eastAsia="en-US"/>
              </w:rPr>
            </w:pPr>
            <w:r w:rsidRPr="0086084B">
              <w:rPr>
                <w:b/>
                <w:bCs/>
                <w:color w:val="000000"/>
                <w:sz w:val="22"/>
                <w:szCs w:val="22"/>
                <w:lang w:val="en-US" w:eastAsia="en-US"/>
              </w:rPr>
              <w:t xml:space="preserve">Variable </w:t>
            </w:r>
          </w:p>
        </w:tc>
        <w:tc>
          <w:tcPr>
            <w:tcW w:w="3774" w:type="pct"/>
            <w:tcBorders>
              <w:top w:val="single" w:sz="4" w:space="0" w:color="auto"/>
              <w:left w:val="nil"/>
              <w:bottom w:val="single" w:sz="4" w:space="0" w:color="auto"/>
              <w:right w:val="nil"/>
            </w:tcBorders>
            <w:shd w:val="clear" w:color="000000" w:fill="FFFFFF"/>
            <w:noWrap/>
            <w:vAlign w:val="center"/>
            <w:hideMark/>
          </w:tcPr>
          <w:p w14:paraId="75AB022F" w14:textId="77777777" w:rsidR="0086084B" w:rsidRPr="0086084B" w:rsidRDefault="0086084B" w:rsidP="0086084B">
            <w:pPr>
              <w:spacing w:line="240" w:lineRule="auto"/>
              <w:rPr>
                <w:b/>
                <w:bCs/>
                <w:color w:val="000000"/>
                <w:sz w:val="22"/>
                <w:szCs w:val="22"/>
                <w:lang w:val="en-US" w:eastAsia="en-US"/>
              </w:rPr>
            </w:pPr>
            <w:r w:rsidRPr="0086084B">
              <w:rPr>
                <w:b/>
                <w:bCs/>
                <w:color w:val="000000"/>
                <w:sz w:val="22"/>
                <w:szCs w:val="22"/>
                <w:lang w:val="en-US" w:eastAsia="en-US"/>
              </w:rPr>
              <w:t>Definition</w:t>
            </w:r>
          </w:p>
        </w:tc>
      </w:tr>
      <w:tr w:rsidR="0086084B" w:rsidRPr="0086084B" w14:paraId="26D30EC0" w14:textId="77777777" w:rsidTr="0086084B">
        <w:trPr>
          <w:trHeight w:val="380"/>
        </w:trPr>
        <w:tc>
          <w:tcPr>
            <w:tcW w:w="5000" w:type="pct"/>
            <w:gridSpan w:val="3"/>
            <w:tcBorders>
              <w:top w:val="nil"/>
              <w:left w:val="nil"/>
              <w:bottom w:val="nil"/>
              <w:right w:val="nil"/>
            </w:tcBorders>
            <w:shd w:val="clear" w:color="000000" w:fill="FFFFFF"/>
            <w:noWrap/>
            <w:vAlign w:val="center"/>
            <w:hideMark/>
          </w:tcPr>
          <w:p w14:paraId="08A115EE" w14:textId="77777777" w:rsidR="0086084B" w:rsidRPr="0086084B" w:rsidRDefault="0086084B" w:rsidP="0086084B">
            <w:pPr>
              <w:spacing w:line="240" w:lineRule="auto"/>
              <w:rPr>
                <w:i/>
                <w:iCs/>
                <w:color w:val="000000"/>
                <w:sz w:val="22"/>
                <w:szCs w:val="22"/>
                <w:u w:val="single"/>
                <w:lang w:val="en-US" w:eastAsia="en-US"/>
              </w:rPr>
            </w:pPr>
            <w:r w:rsidRPr="0086084B">
              <w:rPr>
                <w:i/>
                <w:iCs/>
                <w:color w:val="000000"/>
                <w:sz w:val="22"/>
                <w:szCs w:val="22"/>
                <w:u w:val="single"/>
                <w:lang w:val="en-US" w:eastAsia="en-US"/>
              </w:rPr>
              <w:t>Children Characteristics</w:t>
            </w:r>
          </w:p>
        </w:tc>
      </w:tr>
      <w:tr w:rsidR="0086084B" w:rsidRPr="00F43115" w14:paraId="03BA837F" w14:textId="77777777" w:rsidTr="0086084B">
        <w:trPr>
          <w:trHeight w:val="290"/>
        </w:trPr>
        <w:tc>
          <w:tcPr>
            <w:tcW w:w="193" w:type="pct"/>
            <w:tcBorders>
              <w:top w:val="nil"/>
              <w:left w:val="nil"/>
              <w:bottom w:val="nil"/>
              <w:right w:val="nil"/>
            </w:tcBorders>
            <w:shd w:val="clear" w:color="000000" w:fill="FFFFFF"/>
            <w:noWrap/>
            <w:vAlign w:val="bottom"/>
            <w:hideMark/>
          </w:tcPr>
          <w:p w14:paraId="09E99393"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 </w:t>
            </w:r>
          </w:p>
        </w:tc>
        <w:tc>
          <w:tcPr>
            <w:tcW w:w="1033" w:type="pct"/>
            <w:tcBorders>
              <w:top w:val="nil"/>
              <w:left w:val="nil"/>
              <w:bottom w:val="nil"/>
              <w:right w:val="nil"/>
            </w:tcBorders>
            <w:shd w:val="clear" w:color="000000" w:fill="FFFFFF"/>
            <w:noWrap/>
            <w:vAlign w:val="center"/>
            <w:hideMark/>
          </w:tcPr>
          <w:p w14:paraId="60CF2E3D"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age</w:t>
            </w:r>
          </w:p>
        </w:tc>
        <w:tc>
          <w:tcPr>
            <w:tcW w:w="3774" w:type="pct"/>
            <w:tcBorders>
              <w:top w:val="nil"/>
              <w:left w:val="nil"/>
              <w:bottom w:val="nil"/>
              <w:right w:val="nil"/>
            </w:tcBorders>
            <w:shd w:val="clear" w:color="000000" w:fill="FFFFFF"/>
            <w:noWrap/>
            <w:vAlign w:val="center"/>
            <w:hideMark/>
          </w:tcPr>
          <w:p w14:paraId="072DD113"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age in years</w:t>
            </w:r>
          </w:p>
        </w:tc>
      </w:tr>
      <w:tr w:rsidR="0086084B" w:rsidRPr="00F43115" w14:paraId="25D900B5" w14:textId="77777777" w:rsidTr="0086084B">
        <w:trPr>
          <w:trHeight w:val="290"/>
        </w:trPr>
        <w:tc>
          <w:tcPr>
            <w:tcW w:w="193" w:type="pct"/>
            <w:tcBorders>
              <w:top w:val="nil"/>
              <w:left w:val="nil"/>
              <w:bottom w:val="nil"/>
              <w:right w:val="nil"/>
            </w:tcBorders>
            <w:shd w:val="clear" w:color="000000" w:fill="FFFFFF"/>
            <w:noWrap/>
            <w:vAlign w:val="bottom"/>
            <w:hideMark/>
          </w:tcPr>
          <w:p w14:paraId="25535E74"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 </w:t>
            </w:r>
          </w:p>
        </w:tc>
        <w:tc>
          <w:tcPr>
            <w:tcW w:w="1033" w:type="pct"/>
            <w:tcBorders>
              <w:top w:val="nil"/>
              <w:left w:val="nil"/>
              <w:bottom w:val="nil"/>
              <w:right w:val="nil"/>
            </w:tcBorders>
            <w:shd w:val="clear" w:color="000000" w:fill="FFFFFF"/>
            <w:noWrap/>
            <w:vAlign w:val="center"/>
            <w:hideMark/>
          </w:tcPr>
          <w:p w14:paraId="0A5B4E47"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female</w:t>
            </w:r>
          </w:p>
        </w:tc>
        <w:tc>
          <w:tcPr>
            <w:tcW w:w="3774" w:type="pct"/>
            <w:tcBorders>
              <w:top w:val="nil"/>
              <w:left w:val="nil"/>
              <w:bottom w:val="nil"/>
              <w:right w:val="nil"/>
            </w:tcBorders>
            <w:shd w:val="clear" w:color="000000" w:fill="FFFFFF"/>
            <w:noWrap/>
            <w:vAlign w:val="center"/>
            <w:hideMark/>
          </w:tcPr>
          <w:p w14:paraId="6BD6ADDE"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1 if female</w:t>
            </w:r>
          </w:p>
        </w:tc>
      </w:tr>
      <w:tr w:rsidR="0086084B" w:rsidRPr="00F43115" w14:paraId="6E09C18A" w14:textId="77777777" w:rsidTr="0086084B">
        <w:trPr>
          <w:trHeight w:val="290"/>
        </w:trPr>
        <w:tc>
          <w:tcPr>
            <w:tcW w:w="193" w:type="pct"/>
            <w:tcBorders>
              <w:top w:val="nil"/>
              <w:left w:val="nil"/>
              <w:bottom w:val="nil"/>
              <w:right w:val="nil"/>
            </w:tcBorders>
            <w:shd w:val="clear" w:color="000000" w:fill="FFFFFF"/>
            <w:noWrap/>
            <w:vAlign w:val="bottom"/>
            <w:hideMark/>
          </w:tcPr>
          <w:p w14:paraId="10FCD854"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 </w:t>
            </w:r>
          </w:p>
        </w:tc>
        <w:tc>
          <w:tcPr>
            <w:tcW w:w="1033" w:type="pct"/>
            <w:tcBorders>
              <w:top w:val="nil"/>
              <w:left w:val="nil"/>
              <w:bottom w:val="nil"/>
              <w:right w:val="nil"/>
            </w:tcBorders>
            <w:shd w:val="clear" w:color="000000" w:fill="FFFFFF"/>
            <w:noWrap/>
            <w:vAlign w:val="center"/>
            <w:hideMark/>
          </w:tcPr>
          <w:p w14:paraId="4F03C750" w14:textId="07DF2CF3" w:rsidR="0086084B" w:rsidRPr="0086084B" w:rsidRDefault="0086084B" w:rsidP="0086084B">
            <w:pPr>
              <w:spacing w:line="240" w:lineRule="auto"/>
              <w:rPr>
                <w:color w:val="000000"/>
                <w:sz w:val="22"/>
                <w:szCs w:val="22"/>
                <w:lang w:val="en-US" w:eastAsia="en-US"/>
              </w:rPr>
            </w:pPr>
            <w:r w:rsidRPr="00F43115">
              <w:rPr>
                <w:color w:val="000000"/>
                <w:sz w:val="22"/>
                <w:szCs w:val="22"/>
                <w:lang w:val="en-US" w:eastAsia="en-US"/>
              </w:rPr>
              <w:t>Guaraní</w:t>
            </w:r>
          </w:p>
        </w:tc>
        <w:tc>
          <w:tcPr>
            <w:tcW w:w="3774" w:type="pct"/>
            <w:tcBorders>
              <w:top w:val="nil"/>
              <w:left w:val="nil"/>
              <w:bottom w:val="nil"/>
              <w:right w:val="nil"/>
            </w:tcBorders>
            <w:shd w:val="clear" w:color="000000" w:fill="FFFFFF"/>
            <w:noWrap/>
            <w:vAlign w:val="center"/>
            <w:hideMark/>
          </w:tcPr>
          <w:p w14:paraId="5F0215C3"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1 if speaks Guarani</w:t>
            </w:r>
          </w:p>
        </w:tc>
      </w:tr>
      <w:tr w:rsidR="0086084B" w:rsidRPr="00F43115" w14:paraId="32CD0EE9" w14:textId="77777777" w:rsidTr="0086084B">
        <w:trPr>
          <w:trHeight w:val="290"/>
        </w:trPr>
        <w:tc>
          <w:tcPr>
            <w:tcW w:w="193" w:type="pct"/>
            <w:tcBorders>
              <w:top w:val="nil"/>
              <w:left w:val="nil"/>
              <w:bottom w:val="nil"/>
              <w:right w:val="nil"/>
            </w:tcBorders>
            <w:shd w:val="clear" w:color="000000" w:fill="FFFFFF"/>
            <w:noWrap/>
            <w:vAlign w:val="bottom"/>
            <w:hideMark/>
          </w:tcPr>
          <w:p w14:paraId="0752B3F6"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 </w:t>
            </w:r>
          </w:p>
        </w:tc>
        <w:tc>
          <w:tcPr>
            <w:tcW w:w="1033" w:type="pct"/>
            <w:tcBorders>
              <w:top w:val="nil"/>
              <w:left w:val="nil"/>
              <w:bottom w:val="nil"/>
              <w:right w:val="nil"/>
            </w:tcBorders>
            <w:shd w:val="clear" w:color="000000" w:fill="FFFFFF"/>
            <w:noWrap/>
            <w:vAlign w:val="center"/>
            <w:hideMark/>
          </w:tcPr>
          <w:p w14:paraId="0ACE9C58"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bilingual</w:t>
            </w:r>
          </w:p>
        </w:tc>
        <w:tc>
          <w:tcPr>
            <w:tcW w:w="3774" w:type="pct"/>
            <w:tcBorders>
              <w:top w:val="nil"/>
              <w:left w:val="nil"/>
              <w:bottom w:val="nil"/>
              <w:right w:val="nil"/>
            </w:tcBorders>
            <w:shd w:val="clear" w:color="000000" w:fill="FFFFFF"/>
            <w:noWrap/>
            <w:vAlign w:val="center"/>
            <w:hideMark/>
          </w:tcPr>
          <w:p w14:paraId="33508362"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1 if speaks Bilingual</w:t>
            </w:r>
          </w:p>
        </w:tc>
      </w:tr>
      <w:tr w:rsidR="0086084B" w:rsidRPr="00F43115" w14:paraId="7177457A" w14:textId="77777777" w:rsidTr="0086084B">
        <w:trPr>
          <w:trHeight w:val="290"/>
        </w:trPr>
        <w:tc>
          <w:tcPr>
            <w:tcW w:w="193" w:type="pct"/>
            <w:tcBorders>
              <w:top w:val="nil"/>
              <w:left w:val="nil"/>
              <w:bottom w:val="nil"/>
              <w:right w:val="nil"/>
            </w:tcBorders>
            <w:shd w:val="clear" w:color="000000" w:fill="FFFFFF"/>
            <w:noWrap/>
            <w:vAlign w:val="bottom"/>
            <w:hideMark/>
          </w:tcPr>
          <w:p w14:paraId="7FC1BEFB"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 </w:t>
            </w:r>
          </w:p>
        </w:tc>
        <w:tc>
          <w:tcPr>
            <w:tcW w:w="1033" w:type="pct"/>
            <w:tcBorders>
              <w:top w:val="nil"/>
              <w:left w:val="nil"/>
              <w:bottom w:val="nil"/>
              <w:right w:val="nil"/>
            </w:tcBorders>
            <w:shd w:val="clear" w:color="000000" w:fill="FFFFFF"/>
            <w:noWrap/>
            <w:vAlign w:val="center"/>
            <w:hideMark/>
          </w:tcPr>
          <w:p w14:paraId="46C8A82E" w14:textId="0F100AAB" w:rsidR="0086084B" w:rsidRPr="0086084B" w:rsidRDefault="0086084B" w:rsidP="0086084B">
            <w:pPr>
              <w:spacing w:line="240" w:lineRule="auto"/>
              <w:rPr>
                <w:color w:val="000000"/>
                <w:sz w:val="22"/>
                <w:szCs w:val="22"/>
                <w:lang w:val="en-US" w:eastAsia="en-US"/>
              </w:rPr>
            </w:pPr>
            <w:r w:rsidRPr="00F43115">
              <w:rPr>
                <w:color w:val="000000"/>
                <w:sz w:val="22"/>
                <w:szCs w:val="22"/>
                <w:lang w:val="en-US" w:eastAsia="en-US"/>
              </w:rPr>
              <w:t>Spanish</w:t>
            </w:r>
          </w:p>
        </w:tc>
        <w:tc>
          <w:tcPr>
            <w:tcW w:w="3774" w:type="pct"/>
            <w:tcBorders>
              <w:top w:val="nil"/>
              <w:left w:val="nil"/>
              <w:bottom w:val="nil"/>
              <w:right w:val="nil"/>
            </w:tcBorders>
            <w:shd w:val="clear" w:color="000000" w:fill="FFFFFF"/>
            <w:noWrap/>
            <w:vAlign w:val="center"/>
            <w:hideMark/>
          </w:tcPr>
          <w:p w14:paraId="1AE8D670"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omitted category</w:t>
            </w:r>
          </w:p>
        </w:tc>
      </w:tr>
      <w:tr w:rsidR="0086084B" w:rsidRPr="00F43115" w14:paraId="5C772398" w14:textId="77777777" w:rsidTr="0086084B">
        <w:trPr>
          <w:trHeight w:val="290"/>
        </w:trPr>
        <w:tc>
          <w:tcPr>
            <w:tcW w:w="193" w:type="pct"/>
            <w:tcBorders>
              <w:top w:val="nil"/>
              <w:left w:val="nil"/>
              <w:bottom w:val="nil"/>
              <w:right w:val="nil"/>
            </w:tcBorders>
            <w:shd w:val="clear" w:color="000000" w:fill="FFFFFF"/>
            <w:noWrap/>
            <w:vAlign w:val="bottom"/>
            <w:hideMark/>
          </w:tcPr>
          <w:p w14:paraId="07B13B68"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 </w:t>
            </w:r>
          </w:p>
        </w:tc>
        <w:tc>
          <w:tcPr>
            <w:tcW w:w="1033" w:type="pct"/>
            <w:tcBorders>
              <w:top w:val="nil"/>
              <w:left w:val="nil"/>
              <w:bottom w:val="nil"/>
              <w:right w:val="nil"/>
            </w:tcBorders>
            <w:shd w:val="clear" w:color="000000" w:fill="FFFFFF"/>
            <w:vAlign w:val="center"/>
            <w:hideMark/>
          </w:tcPr>
          <w:p w14:paraId="3540AF6B"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firstborn</w:t>
            </w:r>
          </w:p>
        </w:tc>
        <w:tc>
          <w:tcPr>
            <w:tcW w:w="3774" w:type="pct"/>
            <w:tcBorders>
              <w:top w:val="nil"/>
              <w:left w:val="nil"/>
              <w:bottom w:val="nil"/>
              <w:right w:val="nil"/>
            </w:tcBorders>
            <w:shd w:val="clear" w:color="000000" w:fill="FFFFFF"/>
            <w:vAlign w:val="center"/>
            <w:hideMark/>
          </w:tcPr>
          <w:p w14:paraId="0D965CEA"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 xml:space="preserve">1 if child is the older sibling </w:t>
            </w:r>
          </w:p>
        </w:tc>
      </w:tr>
      <w:tr w:rsidR="0086084B" w:rsidRPr="00F43115" w14:paraId="0B941478" w14:textId="77777777" w:rsidTr="0086084B">
        <w:trPr>
          <w:trHeight w:val="290"/>
        </w:trPr>
        <w:tc>
          <w:tcPr>
            <w:tcW w:w="193" w:type="pct"/>
            <w:tcBorders>
              <w:top w:val="nil"/>
              <w:left w:val="nil"/>
              <w:bottom w:val="nil"/>
              <w:right w:val="nil"/>
            </w:tcBorders>
            <w:shd w:val="clear" w:color="000000" w:fill="FFFFFF"/>
            <w:noWrap/>
            <w:vAlign w:val="bottom"/>
            <w:hideMark/>
          </w:tcPr>
          <w:p w14:paraId="619D6CF6"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 </w:t>
            </w:r>
          </w:p>
        </w:tc>
        <w:tc>
          <w:tcPr>
            <w:tcW w:w="1033" w:type="pct"/>
            <w:tcBorders>
              <w:top w:val="nil"/>
              <w:left w:val="nil"/>
              <w:bottom w:val="nil"/>
              <w:right w:val="nil"/>
            </w:tcBorders>
            <w:shd w:val="clear" w:color="000000" w:fill="FFFFFF"/>
            <w:vAlign w:val="center"/>
            <w:hideMark/>
          </w:tcPr>
          <w:p w14:paraId="6F6A0509"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health_ins</w:t>
            </w:r>
          </w:p>
        </w:tc>
        <w:tc>
          <w:tcPr>
            <w:tcW w:w="3774" w:type="pct"/>
            <w:tcBorders>
              <w:top w:val="nil"/>
              <w:left w:val="nil"/>
              <w:bottom w:val="nil"/>
              <w:right w:val="nil"/>
            </w:tcBorders>
            <w:shd w:val="clear" w:color="000000" w:fill="FFFFFF"/>
            <w:vAlign w:val="center"/>
            <w:hideMark/>
          </w:tcPr>
          <w:p w14:paraId="51502B25"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1 if the child has health insurance</w:t>
            </w:r>
          </w:p>
        </w:tc>
      </w:tr>
      <w:tr w:rsidR="0086084B" w:rsidRPr="00F43115" w14:paraId="269A7D2F" w14:textId="77777777" w:rsidTr="0086084B">
        <w:trPr>
          <w:trHeight w:val="290"/>
        </w:trPr>
        <w:tc>
          <w:tcPr>
            <w:tcW w:w="193" w:type="pct"/>
            <w:tcBorders>
              <w:top w:val="nil"/>
              <w:left w:val="nil"/>
              <w:bottom w:val="nil"/>
              <w:right w:val="nil"/>
            </w:tcBorders>
            <w:shd w:val="clear" w:color="000000" w:fill="FFFFFF"/>
            <w:noWrap/>
            <w:vAlign w:val="bottom"/>
            <w:hideMark/>
          </w:tcPr>
          <w:p w14:paraId="4AE1F3E5"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 </w:t>
            </w:r>
          </w:p>
        </w:tc>
        <w:tc>
          <w:tcPr>
            <w:tcW w:w="1033" w:type="pct"/>
            <w:tcBorders>
              <w:top w:val="nil"/>
              <w:left w:val="nil"/>
              <w:bottom w:val="nil"/>
              <w:right w:val="nil"/>
            </w:tcBorders>
            <w:shd w:val="clear" w:color="000000" w:fill="FFFFFF"/>
            <w:vAlign w:val="center"/>
            <w:hideMark/>
          </w:tcPr>
          <w:p w14:paraId="595669C9"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dropout</w:t>
            </w:r>
          </w:p>
        </w:tc>
        <w:tc>
          <w:tcPr>
            <w:tcW w:w="3774" w:type="pct"/>
            <w:tcBorders>
              <w:top w:val="nil"/>
              <w:left w:val="nil"/>
              <w:bottom w:val="nil"/>
              <w:right w:val="nil"/>
            </w:tcBorders>
            <w:shd w:val="clear" w:color="000000" w:fill="FFFFFF"/>
            <w:vAlign w:val="center"/>
            <w:hideMark/>
          </w:tcPr>
          <w:p w14:paraId="63253CCD"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1 if the child has dropout of school</w:t>
            </w:r>
          </w:p>
        </w:tc>
      </w:tr>
      <w:tr w:rsidR="0086084B" w:rsidRPr="0086084B" w14:paraId="03AC14A5" w14:textId="77777777" w:rsidTr="0086084B">
        <w:trPr>
          <w:trHeight w:val="380"/>
        </w:trPr>
        <w:tc>
          <w:tcPr>
            <w:tcW w:w="5000" w:type="pct"/>
            <w:gridSpan w:val="3"/>
            <w:tcBorders>
              <w:top w:val="nil"/>
              <w:left w:val="nil"/>
              <w:bottom w:val="nil"/>
              <w:right w:val="nil"/>
            </w:tcBorders>
            <w:shd w:val="clear" w:color="000000" w:fill="FFFFFF"/>
            <w:noWrap/>
            <w:vAlign w:val="center"/>
            <w:hideMark/>
          </w:tcPr>
          <w:p w14:paraId="0FC13F75" w14:textId="77777777" w:rsidR="0086084B" w:rsidRPr="0086084B" w:rsidRDefault="0086084B" w:rsidP="0086084B">
            <w:pPr>
              <w:spacing w:line="240" w:lineRule="auto"/>
              <w:rPr>
                <w:i/>
                <w:iCs/>
                <w:color w:val="000000"/>
                <w:sz w:val="22"/>
                <w:szCs w:val="22"/>
                <w:u w:val="single"/>
                <w:lang w:val="en-US" w:eastAsia="en-US"/>
              </w:rPr>
            </w:pPr>
            <w:r w:rsidRPr="0086084B">
              <w:rPr>
                <w:i/>
                <w:iCs/>
                <w:color w:val="000000"/>
                <w:sz w:val="22"/>
                <w:szCs w:val="22"/>
                <w:u w:val="single"/>
                <w:lang w:val="en-US" w:eastAsia="en-US"/>
              </w:rPr>
              <w:t>Family and Household Characteristics</w:t>
            </w:r>
          </w:p>
        </w:tc>
      </w:tr>
      <w:tr w:rsidR="0086084B" w:rsidRPr="00F43115" w14:paraId="327F5D91" w14:textId="77777777" w:rsidTr="0086084B">
        <w:trPr>
          <w:trHeight w:val="290"/>
        </w:trPr>
        <w:tc>
          <w:tcPr>
            <w:tcW w:w="193" w:type="pct"/>
            <w:tcBorders>
              <w:top w:val="nil"/>
              <w:left w:val="nil"/>
              <w:bottom w:val="nil"/>
              <w:right w:val="nil"/>
            </w:tcBorders>
            <w:shd w:val="clear" w:color="000000" w:fill="FFFFFF"/>
            <w:noWrap/>
            <w:vAlign w:val="bottom"/>
            <w:hideMark/>
          </w:tcPr>
          <w:p w14:paraId="7BA0A6B3"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 </w:t>
            </w:r>
          </w:p>
        </w:tc>
        <w:tc>
          <w:tcPr>
            <w:tcW w:w="1033" w:type="pct"/>
            <w:tcBorders>
              <w:top w:val="nil"/>
              <w:left w:val="nil"/>
              <w:bottom w:val="nil"/>
              <w:right w:val="nil"/>
            </w:tcBorders>
            <w:shd w:val="clear" w:color="000000" w:fill="FFFFFF"/>
            <w:noWrap/>
            <w:vAlign w:val="center"/>
            <w:hideMark/>
          </w:tcPr>
          <w:p w14:paraId="5D281A09"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fem_scho</w:t>
            </w:r>
          </w:p>
        </w:tc>
        <w:tc>
          <w:tcPr>
            <w:tcW w:w="3774" w:type="pct"/>
            <w:tcBorders>
              <w:top w:val="nil"/>
              <w:left w:val="nil"/>
              <w:bottom w:val="nil"/>
              <w:right w:val="nil"/>
            </w:tcBorders>
            <w:shd w:val="clear" w:color="000000" w:fill="FFFFFF"/>
            <w:noWrap/>
            <w:vAlign w:val="center"/>
            <w:hideMark/>
          </w:tcPr>
          <w:p w14:paraId="667BB298"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years of Schooling of highest educated female in the household</w:t>
            </w:r>
          </w:p>
        </w:tc>
      </w:tr>
      <w:tr w:rsidR="0086084B" w:rsidRPr="00F43115" w14:paraId="48036B16" w14:textId="77777777" w:rsidTr="0086084B">
        <w:trPr>
          <w:trHeight w:val="290"/>
        </w:trPr>
        <w:tc>
          <w:tcPr>
            <w:tcW w:w="193" w:type="pct"/>
            <w:tcBorders>
              <w:top w:val="nil"/>
              <w:left w:val="nil"/>
              <w:bottom w:val="nil"/>
              <w:right w:val="nil"/>
            </w:tcBorders>
            <w:shd w:val="clear" w:color="000000" w:fill="FFFFFF"/>
            <w:noWrap/>
            <w:vAlign w:val="bottom"/>
            <w:hideMark/>
          </w:tcPr>
          <w:p w14:paraId="5B35502D"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 </w:t>
            </w:r>
          </w:p>
        </w:tc>
        <w:tc>
          <w:tcPr>
            <w:tcW w:w="1033" w:type="pct"/>
            <w:tcBorders>
              <w:top w:val="nil"/>
              <w:left w:val="nil"/>
              <w:bottom w:val="nil"/>
              <w:right w:val="nil"/>
            </w:tcBorders>
            <w:shd w:val="clear" w:color="000000" w:fill="FFFFFF"/>
            <w:noWrap/>
            <w:vAlign w:val="center"/>
            <w:hideMark/>
          </w:tcPr>
          <w:p w14:paraId="2751B9A6"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sib_scho</w:t>
            </w:r>
          </w:p>
        </w:tc>
        <w:tc>
          <w:tcPr>
            <w:tcW w:w="3774" w:type="pct"/>
            <w:tcBorders>
              <w:top w:val="nil"/>
              <w:left w:val="nil"/>
              <w:bottom w:val="nil"/>
              <w:right w:val="nil"/>
            </w:tcBorders>
            <w:shd w:val="clear" w:color="000000" w:fill="FFFFFF"/>
            <w:noWrap/>
            <w:vAlign w:val="center"/>
            <w:hideMark/>
          </w:tcPr>
          <w:p w14:paraId="054BCCFB"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years of Schooling of highest educated older sibling</w:t>
            </w:r>
          </w:p>
        </w:tc>
      </w:tr>
      <w:tr w:rsidR="0086084B" w:rsidRPr="00F43115" w14:paraId="024658ED" w14:textId="77777777" w:rsidTr="0086084B">
        <w:trPr>
          <w:trHeight w:val="290"/>
        </w:trPr>
        <w:tc>
          <w:tcPr>
            <w:tcW w:w="193" w:type="pct"/>
            <w:tcBorders>
              <w:top w:val="nil"/>
              <w:left w:val="nil"/>
              <w:bottom w:val="nil"/>
              <w:right w:val="nil"/>
            </w:tcBorders>
            <w:shd w:val="clear" w:color="000000" w:fill="FFFFFF"/>
            <w:noWrap/>
            <w:vAlign w:val="bottom"/>
            <w:hideMark/>
          </w:tcPr>
          <w:p w14:paraId="463003C8"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 </w:t>
            </w:r>
          </w:p>
        </w:tc>
        <w:tc>
          <w:tcPr>
            <w:tcW w:w="1033" w:type="pct"/>
            <w:tcBorders>
              <w:top w:val="nil"/>
              <w:left w:val="nil"/>
              <w:bottom w:val="nil"/>
              <w:right w:val="nil"/>
            </w:tcBorders>
            <w:shd w:val="clear" w:color="000000" w:fill="FFFFFF"/>
            <w:noWrap/>
            <w:vAlign w:val="center"/>
            <w:hideMark/>
          </w:tcPr>
          <w:p w14:paraId="3B0DF2DD"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scholagechild</w:t>
            </w:r>
          </w:p>
        </w:tc>
        <w:tc>
          <w:tcPr>
            <w:tcW w:w="3774" w:type="pct"/>
            <w:tcBorders>
              <w:top w:val="nil"/>
              <w:left w:val="nil"/>
              <w:bottom w:val="nil"/>
              <w:right w:val="nil"/>
            </w:tcBorders>
            <w:shd w:val="clear" w:color="000000" w:fill="FFFFFF"/>
            <w:noWrap/>
            <w:vAlign w:val="center"/>
            <w:hideMark/>
          </w:tcPr>
          <w:p w14:paraId="212ACEA5"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number of school-age children in the household besides the child</w:t>
            </w:r>
          </w:p>
        </w:tc>
      </w:tr>
      <w:tr w:rsidR="0086084B" w:rsidRPr="00F43115" w14:paraId="5D755140" w14:textId="77777777" w:rsidTr="0086084B">
        <w:trPr>
          <w:trHeight w:val="290"/>
        </w:trPr>
        <w:tc>
          <w:tcPr>
            <w:tcW w:w="193" w:type="pct"/>
            <w:tcBorders>
              <w:top w:val="nil"/>
              <w:left w:val="nil"/>
              <w:bottom w:val="nil"/>
              <w:right w:val="nil"/>
            </w:tcBorders>
            <w:shd w:val="clear" w:color="000000" w:fill="FFFFFF"/>
            <w:noWrap/>
            <w:vAlign w:val="bottom"/>
            <w:hideMark/>
          </w:tcPr>
          <w:p w14:paraId="5FCE2C6D"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 </w:t>
            </w:r>
          </w:p>
        </w:tc>
        <w:tc>
          <w:tcPr>
            <w:tcW w:w="1033" w:type="pct"/>
            <w:tcBorders>
              <w:top w:val="nil"/>
              <w:left w:val="nil"/>
              <w:bottom w:val="nil"/>
              <w:right w:val="nil"/>
            </w:tcBorders>
            <w:shd w:val="clear" w:color="000000" w:fill="FFFFFF"/>
            <w:noWrap/>
            <w:vAlign w:val="center"/>
            <w:hideMark/>
          </w:tcPr>
          <w:p w14:paraId="038B3183"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hh_cct</w:t>
            </w:r>
          </w:p>
        </w:tc>
        <w:tc>
          <w:tcPr>
            <w:tcW w:w="3774" w:type="pct"/>
            <w:tcBorders>
              <w:top w:val="nil"/>
              <w:left w:val="nil"/>
              <w:bottom w:val="nil"/>
              <w:right w:val="nil"/>
            </w:tcBorders>
            <w:shd w:val="clear" w:color="000000" w:fill="FFFFFF"/>
            <w:noWrap/>
            <w:vAlign w:val="center"/>
            <w:hideMark/>
          </w:tcPr>
          <w:p w14:paraId="0DF725E4"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1 if household receives aid from a social program</w:t>
            </w:r>
          </w:p>
        </w:tc>
      </w:tr>
      <w:tr w:rsidR="0086084B" w:rsidRPr="00F43115" w14:paraId="2D1B2ED8" w14:textId="77777777" w:rsidTr="0086084B">
        <w:trPr>
          <w:trHeight w:val="290"/>
        </w:trPr>
        <w:tc>
          <w:tcPr>
            <w:tcW w:w="193" w:type="pct"/>
            <w:tcBorders>
              <w:top w:val="nil"/>
              <w:left w:val="nil"/>
              <w:bottom w:val="nil"/>
              <w:right w:val="nil"/>
            </w:tcBorders>
            <w:shd w:val="clear" w:color="000000" w:fill="FFFFFF"/>
            <w:noWrap/>
            <w:vAlign w:val="bottom"/>
            <w:hideMark/>
          </w:tcPr>
          <w:p w14:paraId="78BAF1A4"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 </w:t>
            </w:r>
          </w:p>
        </w:tc>
        <w:tc>
          <w:tcPr>
            <w:tcW w:w="1033" w:type="pct"/>
            <w:tcBorders>
              <w:top w:val="nil"/>
              <w:left w:val="nil"/>
              <w:bottom w:val="nil"/>
              <w:right w:val="nil"/>
            </w:tcBorders>
            <w:shd w:val="clear" w:color="000000" w:fill="FFFFFF"/>
            <w:noWrap/>
            <w:vAlign w:val="center"/>
            <w:hideMark/>
          </w:tcPr>
          <w:p w14:paraId="36D52846"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hh_remit</w:t>
            </w:r>
          </w:p>
        </w:tc>
        <w:tc>
          <w:tcPr>
            <w:tcW w:w="3774" w:type="pct"/>
            <w:tcBorders>
              <w:top w:val="nil"/>
              <w:left w:val="nil"/>
              <w:bottom w:val="nil"/>
              <w:right w:val="nil"/>
            </w:tcBorders>
            <w:shd w:val="clear" w:color="000000" w:fill="FFFFFF"/>
            <w:noWrap/>
            <w:vAlign w:val="center"/>
            <w:hideMark/>
          </w:tcPr>
          <w:p w14:paraId="2A76DD79"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1 if household receives remittances</w:t>
            </w:r>
          </w:p>
        </w:tc>
      </w:tr>
      <w:tr w:rsidR="0086084B" w:rsidRPr="00F43115" w14:paraId="75AF0E33" w14:textId="77777777" w:rsidTr="0086084B">
        <w:trPr>
          <w:trHeight w:val="290"/>
        </w:trPr>
        <w:tc>
          <w:tcPr>
            <w:tcW w:w="193" w:type="pct"/>
            <w:tcBorders>
              <w:top w:val="nil"/>
              <w:left w:val="nil"/>
              <w:bottom w:val="nil"/>
              <w:right w:val="nil"/>
            </w:tcBorders>
            <w:shd w:val="clear" w:color="000000" w:fill="FFFFFF"/>
            <w:noWrap/>
            <w:vAlign w:val="bottom"/>
            <w:hideMark/>
          </w:tcPr>
          <w:p w14:paraId="06E0DDAD"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 </w:t>
            </w:r>
          </w:p>
        </w:tc>
        <w:tc>
          <w:tcPr>
            <w:tcW w:w="1033" w:type="pct"/>
            <w:tcBorders>
              <w:top w:val="nil"/>
              <w:left w:val="nil"/>
              <w:bottom w:val="nil"/>
              <w:right w:val="nil"/>
            </w:tcBorders>
            <w:shd w:val="clear" w:color="000000" w:fill="FFFFFF"/>
            <w:noWrap/>
            <w:vAlign w:val="center"/>
            <w:hideMark/>
          </w:tcPr>
          <w:p w14:paraId="7BA4FB14"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wealth_index</w:t>
            </w:r>
          </w:p>
        </w:tc>
        <w:tc>
          <w:tcPr>
            <w:tcW w:w="3774" w:type="pct"/>
            <w:tcBorders>
              <w:top w:val="nil"/>
              <w:left w:val="nil"/>
              <w:bottom w:val="nil"/>
              <w:right w:val="nil"/>
            </w:tcBorders>
            <w:shd w:val="clear" w:color="000000" w:fill="FFFFFF"/>
            <w:noWrap/>
            <w:vAlign w:val="center"/>
            <w:hideMark/>
          </w:tcPr>
          <w:p w14:paraId="0341282E"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wealth index</w:t>
            </w:r>
          </w:p>
        </w:tc>
      </w:tr>
      <w:tr w:rsidR="0086084B" w:rsidRPr="00F43115" w14:paraId="3E2E63A7" w14:textId="77777777" w:rsidTr="0086084B">
        <w:trPr>
          <w:trHeight w:val="290"/>
        </w:trPr>
        <w:tc>
          <w:tcPr>
            <w:tcW w:w="193" w:type="pct"/>
            <w:tcBorders>
              <w:top w:val="nil"/>
              <w:left w:val="nil"/>
              <w:bottom w:val="nil"/>
              <w:right w:val="nil"/>
            </w:tcBorders>
            <w:shd w:val="clear" w:color="000000" w:fill="FFFFFF"/>
            <w:noWrap/>
            <w:vAlign w:val="bottom"/>
            <w:hideMark/>
          </w:tcPr>
          <w:p w14:paraId="57C0C226"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 </w:t>
            </w:r>
          </w:p>
        </w:tc>
        <w:tc>
          <w:tcPr>
            <w:tcW w:w="1033" w:type="pct"/>
            <w:tcBorders>
              <w:top w:val="nil"/>
              <w:left w:val="nil"/>
              <w:bottom w:val="nil"/>
              <w:right w:val="nil"/>
            </w:tcBorders>
            <w:shd w:val="clear" w:color="000000" w:fill="FFFFFF"/>
            <w:noWrap/>
            <w:vAlign w:val="center"/>
            <w:hideMark/>
          </w:tcPr>
          <w:p w14:paraId="18E513E2"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income_shocks</w:t>
            </w:r>
          </w:p>
        </w:tc>
        <w:tc>
          <w:tcPr>
            <w:tcW w:w="3774" w:type="pct"/>
            <w:tcBorders>
              <w:top w:val="nil"/>
              <w:left w:val="nil"/>
              <w:bottom w:val="nil"/>
              <w:right w:val="nil"/>
            </w:tcBorders>
            <w:shd w:val="clear" w:color="000000" w:fill="FFFFFF"/>
            <w:noWrap/>
            <w:vAlign w:val="center"/>
            <w:hideMark/>
          </w:tcPr>
          <w:p w14:paraId="2738840B"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1 if the household suffered an income shock in the past 12 months</w:t>
            </w:r>
          </w:p>
        </w:tc>
      </w:tr>
      <w:tr w:rsidR="0086084B" w:rsidRPr="00F43115" w14:paraId="72E642B5" w14:textId="77777777" w:rsidTr="0086084B">
        <w:trPr>
          <w:trHeight w:val="290"/>
        </w:trPr>
        <w:tc>
          <w:tcPr>
            <w:tcW w:w="193" w:type="pct"/>
            <w:tcBorders>
              <w:top w:val="nil"/>
              <w:left w:val="nil"/>
              <w:bottom w:val="nil"/>
              <w:right w:val="nil"/>
            </w:tcBorders>
            <w:shd w:val="clear" w:color="000000" w:fill="FFFFFF"/>
            <w:noWrap/>
            <w:vAlign w:val="bottom"/>
            <w:hideMark/>
          </w:tcPr>
          <w:p w14:paraId="14B1C65A"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 </w:t>
            </w:r>
          </w:p>
        </w:tc>
        <w:tc>
          <w:tcPr>
            <w:tcW w:w="1033" w:type="pct"/>
            <w:tcBorders>
              <w:top w:val="nil"/>
              <w:left w:val="nil"/>
              <w:bottom w:val="nil"/>
              <w:right w:val="nil"/>
            </w:tcBorders>
            <w:shd w:val="clear" w:color="000000" w:fill="FFFFFF"/>
            <w:noWrap/>
            <w:vAlign w:val="center"/>
            <w:hideMark/>
          </w:tcPr>
          <w:p w14:paraId="03132585"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health_shocks</w:t>
            </w:r>
          </w:p>
        </w:tc>
        <w:tc>
          <w:tcPr>
            <w:tcW w:w="3774" w:type="pct"/>
            <w:tcBorders>
              <w:top w:val="nil"/>
              <w:left w:val="nil"/>
              <w:bottom w:val="nil"/>
              <w:right w:val="nil"/>
            </w:tcBorders>
            <w:shd w:val="clear" w:color="000000" w:fill="FFFFFF"/>
            <w:noWrap/>
            <w:vAlign w:val="center"/>
            <w:hideMark/>
          </w:tcPr>
          <w:p w14:paraId="109302FC"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1 if the household suffered a health shock in the past 12 months</w:t>
            </w:r>
          </w:p>
        </w:tc>
      </w:tr>
      <w:tr w:rsidR="0086084B" w:rsidRPr="00F43115" w14:paraId="63B8ACDF" w14:textId="77777777" w:rsidTr="0086084B">
        <w:trPr>
          <w:trHeight w:val="380"/>
        </w:trPr>
        <w:tc>
          <w:tcPr>
            <w:tcW w:w="5000" w:type="pct"/>
            <w:gridSpan w:val="3"/>
            <w:tcBorders>
              <w:top w:val="nil"/>
              <w:left w:val="nil"/>
              <w:bottom w:val="nil"/>
              <w:right w:val="nil"/>
            </w:tcBorders>
            <w:shd w:val="clear" w:color="000000" w:fill="FFFFFF"/>
            <w:noWrap/>
            <w:vAlign w:val="center"/>
            <w:hideMark/>
          </w:tcPr>
          <w:p w14:paraId="5C988F27" w14:textId="336D522B" w:rsidR="0086084B" w:rsidRPr="0086084B" w:rsidRDefault="0086084B" w:rsidP="0086084B">
            <w:pPr>
              <w:spacing w:line="240" w:lineRule="auto"/>
              <w:rPr>
                <w:i/>
                <w:iCs/>
                <w:color w:val="000000"/>
                <w:sz w:val="22"/>
                <w:szCs w:val="22"/>
                <w:u w:val="single"/>
                <w:lang w:val="en-US" w:eastAsia="en-US"/>
              </w:rPr>
            </w:pPr>
            <w:r w:rsidRPr="0086084B">
              <w:rPr>
                <w:i/>
                <w:iCs/>
                <w:color w:val="000000"/>
                <w:sz w:val="22"/>
                <w:szCs w:val="22"/>
                <w:u w:val="single"/>
                <w:lang w:val="en-US" w:eastAsia="en-US"/>
              </w:rPr>
              <w:t>Location and Migration</w:t>
            </w:r>
          </w:p>
        </w:tc>
      </w:tr>
      <w:tr w:rsidR="0086084B" w:rsidRPr="00F43115" w14:paraId="5DAF2913" w14:textId="77777777" w:rsidTr="0086084B">
        <w:trPr>
          <w:trHeight w:val="290"/>
        </w:trPr>
        <w:tc>
          <w:tcPr>
            <w:tcW w:w="193" w:type="pct"/>
            <w:tcBorders>
              <w:top w:val="nil"/>
              <w:left w:val="nil"/>
              <w:bottom w:val="nil"/>
              <w:right w:val="nil"/>
            </w:tcBorders>
            <w:shd w:val="clear" w:color="000000" w:fill="FFFFFF"/>
            <w:noWrap/>
            <w:vAlign w:val="bottom"/>
            <w:hideMark/>
          </w:tcPr>
          <w:p w14:paraId="3ECCE1D2"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 </w:t>
            </w:r>
          </w:p>
        </w:tc>
        <w:tc>
          <w:tcPr>
            <w:tcW w:w="1033" w:type="pct"/>
            <w:tcBorders>
              <w:top w:val="nil"/>
              <w:left w:val="nil"/>
              <w:bottom w:val="nil"/>
              <w:right w:val="nil"/>
            </w:tcBorders>
            <w:shd w:val="clear" w:color="000000" w:fill="FFFFFF"/>
            <w:noWrap/>
            <w:vAlign w:val="center"/>
            <w:hideMark/>
          </w:tcPr>
          <w:p w14:paraId="550003F6"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rural</w:t>
            </w:r>
          </w:p>
        </w:tc>
        <w:tc>
          <w:tcPr>
            <w:tcW w:w="3774" w:type="pct"/>
            <w:tcBorders>
              <w:top w:val="nil"/>
              <w:left w:val="nil"/>
              <w:bottom w:val="nil"/>
              <w:right w:val="nil"/>
            </w:tcBorders>
            <w:shd w:val="clear" w:color="000000" w:fill="FFFFFF"/>
            <w:noWrap/>
            <w:vAlign w:val="center"/>
            <w:hideMark/>
          </w:tcPr>
          <w:p w14:paraId="7CA4E9ED"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1 if residing in rural area</w:t>
            </w:r>
          </w:p>
        </w:tc>
      </w:tr>
      <w:tr w:rsidR="0086084B" w:rsidRPr="00F43115" w14:paraId="0A307B75" w14:textId="77777777" w:rsidTr="0086084B">
        <w:trPr>
          <w:trHeight w:val="290"/>
        </w:trPr>
        <w:tc>
          <w:tcPr>
            <w:tcW w:w="193" w:type="pct"/>
            <w:tcBorders>
              <w:top w:val="nil"/>
              <w:left w:val="nil"/>
              <w:bottom w:val="nil"/>
              <w:right w:val="nil"/>
            </w:tcBorders>
            <w:shd w:val="clear" w:color="000000" w:fill="FFFFFF"/>
            <w:noWrap/>
            <w:vAlign w:val="bottom"/>
            <w:hideMark/>
          </w:tcPr>
          <w:p w14:paraId="23C7A109"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 </w:t>
            </w:r>
          </w:p>
        </w:tc>
        <w:tc>
          <w:tcPr>
            <w:tcW w:w="1033" w:type="pct"/>
            <w:tcBorders>
              <w:top w:val="nil"/>
              <w:left w:val="nil"/>
              <w:bottom w:val="nil"/>
              <w:right w:val="nil"/>
            </w:tcBorders>
            <w:shd w:val="clear" w:color="000000" w:fill="FFFFFF"/>
            <w:noWrap/>
            <w:vAlign w:val="center"/>
            <w:hideMark/>
          </w:tcPr>
          <w:p w14:paraId="3C7995A9"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ruur</w:t>
            </w:r>
          </w:p>
        </w:tc>
        <w:tc>
          <w:tcPr>
            <w:tcW w:w="3774" w:type="pct"/>
            <w:tcBorders>
              <w:top w:val="nil"/>
              <w:left w:val="nil"/>
              <w:bottom w:val="nil"/>
              <w:right w:val="nil"/>
            </w:tcBorders>
            <w:shd w:val="clear" w:color="000000" w:fill="FFFFFF"/>
            <w:noWrap/>
            <w:vAlign w:val="center"/>
            <w:hideMark/>
          </w:tcPr>
          <w:p w14:paraId="1F6F4180"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1 if migrated from rural to urban</w:t>
            </w:r>
          </w:p>
        </w:tc>
      </w:tr>
      <w:tr w:rsidR="0086084B" w:rsidRPr="00F43115" w14:paraId="09BB0FF6" w14:textId="77777777" w:rsidTr="0086084B">
        <w:trPr>
          <w:trHeight w:val="290"/>
        </w:trPr>
        <w:tc>
          <w:tcPr>
            <w:tcW w:w="193" w:type="pct"/>
            <w:tcBorders>
              <w:top w:val="nil"/>
              <w:left w:val="nil"/>
              <w:bottom w:val="nil"/>
              <w:right w:val="nil"/>
            </w:tcBorders>
            <w:shd w:val="clear" w:color="000000" w:fill="FFFFFF"/>
            <w:noWrap/>
            <w:vAlign w:val="bottom"/>
            <w:hideMark/>
          </w:tcPr>
          <w:p w14:paraId="00FCF493"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 </w:t>
            </w:r>
          </w:p>
        </w:tc>
        <w:tc>
          <w:tcPr>
            <w:tcW w:w="1033" w:type="pct"/>
            <w:tcBorders>
              <w:top w:val="nil"/>
              <w:left w:val="nil"/>
              <w:bottom w:val="nil"/>
              <w:right w:val="nil"/>
            </w:tcBorders>
            <w:shd w:val="clear" w:color="000000" w:fill="FFFFFF"/>
            <w:noWrap/>
            <w:vAlign w:val="center"/>
            <w:hideMark/>
          </w:tcPr>
          <w:p w14:paraId="033F604E"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urru</w:t>
            </w:r>
          </w:p>
        </w:tc>
        <w:tc>
          <w:tcPr>
            <w:tcW w:w="3774" w:type="pct"/>
            <w:tcBorders>
              <w:top w:val="nil"/>
              <w:left w:val="nil"/>
              <w:bottom w:val="nil"/>
              <w:right w:val="nil"/>
            </w:tcBorders>
            <w:shd w:val="clear" w:color="000000" w:fill="FFFFFF"/>
            <w:noWrap/>
            <w:vAlign w:val="center"/>
            <w:hideMark/>
          </w:tcPr>
          <w:p w14:paraId="315E4CF5"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1 if migrated from urban to rural</w:t>
            </w:r>
          </w:p>
        </w:tc>
      </w:tr>
      <w:tr w:rsidR="0086084B" w:rsidRPr="00F43115" w14:paraId="3877C3FB" w14:textId="77777777" w:rsidTr="0086084B">
        <w:trPr>
          <w:trHeight w:val="290"/>
        </w:trPr>
        <w:tc>
          <w:tcPr>
            <w:tcW w:w="193" w:type="pct"/>
            <w:tcBorders>
              <w:top w:val="nil"/>
              <w:left w:val="nil"/>
              <w:bottom w:val="single" w:sz="4" w:space="0" w:color="auto"/>
              <w:right w:val="nil"/>
            </w:tcBorders>
            <w:shd w:val="clear" w:color="000000" w:fill="FFFFFF"/>
            <w:noWrap/>
            <w:vAlign w:val="bottom"/>
            <w:hideMark/>
          </w:tcPr>
          <w:p w14:paraId="685FF6FE"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 </w:t>
            </w:r>
          </w:p>
        </w:tc>
        <w:tc>
          <w:tcPr>
            <w:tcW w:w="1033" w:type="pct"/>
            <w:tcBorders>
              <w:top w:val="nil"/>
              <w:left w:val="nil"/>
              <w:bottom w:val="single" w:sz="4" w:space="0" w:color="auto"/>
              <w:right w:val="nil"/>
            </w:tcBorders>
            <w:shd w:val="clear" w:color="000000" w:fill="FFFFFF"/>
            <w:noWrap/>
            <w:vAlign w:val="center"/>
            <w:hideMark/>
          </w:tcPr>
          <w:p w14:paraId="44934D52"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state</w:t>
            </w:r>
          </w:p>
        </w:tc>
        <w:tc>
          <w:tcPr>
            <w:tcW w:w="3774" w:type="pct"/>
            <w:tcBorders>
              <w:top w:val="nil"/>
              <w:left w:val="nil"/>
              <w:bottom w:val="single" w:sz="4" w:space="0" w:color="auto"/>
              <w:right w:val="nil"/>
            </w:tcBorders>
            <w:shd w:val="clear" w:color="000000" w:fill="FFFFFF"/>
            <w:noWrap/>
            <w:vAlign w:val="center"/>
            <w:hideMark/>
          </w:tcPr>
          <w:p w14:paraId="620A1941" w14:textId="77777777" w:rsidR="0086084B" w:rsidRPr="0086084B" w:rsidRDefault="0086084B" w:rsidP="0086084B">
            <w:pPr>
              <w:spacing w:line="240" w:lineRule="auto"/>
              <w:rPr>
                <w:color w:val="000000"/>
                <w:sz w:val="22"/>
                <w:szCs w:val="22"/>
                <w:lang w:val="en-US" w:eastAsia="en-US"/>
              </w:rPr>
            </w:pPr>
            <w:r w:rsidRPr="0086084B">
              <w:rPr>
                <w:color w:val="000000"/>
                <w:sz w:val="22"/>
                <w:szCs w:val="22"/>
                <w:lang w:val="en-US" w:eastAsia="en-US"/>
              </w:rPr>
              <w:t>state of residence</w:t>
            </w:r>
          </w:p>
        </w:tc>
      </w:tr>
    </w:tbl>
    <w:p w14:paraId="3DE80E9D" w14:textId="1001081C" w:rsidR="0086084B" w:rsidRDefault="0086084B" w:rsidP="003A4F32">
      <w:pPr>
        <w:pStyle w:val="Displayedquotation"/>
        <w:spacing w:line="480" w:lineRule="auto"/>
        <w:ind w:left="0" w:right="39"/>
        <w:jc w:val="both"/>
        <w:rPr>
          <w:color w:val="000000"/>
          <w:sz w:val="24"/>
        </w:rPr>
      </w:pPr>
      <w:r>
        <w:rPr>
          <w:color w:val="000000"/>
          <w:sz w:val="24"/>
        </w:rPr>
        <w:tab/>
      </w:r>
      <w:r w:rsidRPr="0086084B">
        <w:rPr>
          <w:color w:val="000000"/>
          <w:sz w:val="24"/>
        </w:rPr>
        <w:t xml:space="preserve">The independent variables </w:t>
      </w:r>
      <w:r>
        <w:rPr>
          <w:color w:val="000000"/>
          <w:sz w:val="24"/>
        </w:rPr>
        <w:t>considered</w:t>
      </w:r>
      <w:r w:rsidRPr="0086084B">
        <w:rPr>
          <w:color w:val="000000"/>
          <w:sz w:val="24"/>
        </w:rPr>
        <w:t xml:space="preserve"> in the models are grouped in three categories: child characteristics; family and household characteristics; and location and migration. Child background variables include language spoken, gender, birth order, </w:t>
      </w:r>
      <w:r>
        <w:rPr>
          <w:color w:val="000000"/>
          <w:sz w:val="24"/>
        </w:rPr>
        <w:t xml:space="preserve">and access to health insurance. </w:t>
      </w:r>
      <w:r w:rsidRPr="0086084B">
        <w:rPr>
          <w:color w:val="000000"/>
          <w:sz w:val="24"/>
        </w:rPr>
        <w:t>To capture language spoken by the child, two dummy variables are considered: one capturing whether the</w:t>
      </w:r>
      <w:r>
        <w:rPr>
          <w:color w:val="000000"/>
          <w:sz w:val="24"/>
        </w:rPr>
        <w:t xml:space="preserve"> child is a monolingual Guaraní</w:t>
      </w:r>
      <w:r w:rsidRPr="0086084B">
        <w:rPr>
          <w:color w:val="000000"/>
          <w:sz w:val="24"/>
        </w:rPr>
        <w:t xml:space="preserve"> speaker, and another capturing whether the child is bili</w:t>
      </w:r>
      <w:r>
        <w:rPr>
          <w:color w:val="000000"/>
          <w:sz w:val="24"/>
        </w:rPr>
        <w:t>ngual in Spanish and Guaraní</w:t>
      </w:r>
      <w:r w:rsidRPr="0086084B">
        <w:rPr>
          <w:color w:val="000000"/>
          <w:sz w:val="24"/>
        </w:rPr>
        <w:t>. The omitted category is being monolingual in Spanish.</w:t>
      </w:r>
    </w:p>
    <w:p w14:paraId="12A0C51C" w14:textId="73DF0F51" w:rsidR="0086084B" w:rsidRDefault="0086084B" w:rsidP="003A4F32">
      <w:pPr>
        <w:pStyle w:val="Displayedquotation"/>
        <w:spacing w:line="480" w:lineRule="auto"/>
        <w:ind w:left="0" w:right="39"/>
        <w:jc w:val="both"/>
        <w:rPr>
          <w:color w:val="000000"/>
          <w:sz w:val="24"/>
        </w:rPr>
      </w:pPr>
      <w:r>
        <w:rPr>
          <w:color w:val="000000"/>
          <w:sz w:val="24"/>
        </w:rPr>
        <w:lastRenderedPageBreak/>
        <w:tab/>
      </w:r>
      <w:r w:rsidRPr="0086084B">
        <w:rPr>
          <w:color w:val="000000"/>
          <w:sz w:val="24"/>
        </w:rPr>
        <w:t xml:space="preserve">Prior studies have suggested the influence of gender status on students’ progression in school, providing mixed results. Therefore, researchers indicate that the effects of gender on school dropout are highly dependent on cultural and geographical contexts </w:t>
      </w:r>
      <w:r>
        <w:rPr>
          <w:color w:val="000000"/>
          <w:sz w:val="24"/>
        </w:rPr>
        <w:fldChar w:fldCharType="begin" w:fldLock="1"/>
      </w:r>
      <w:r w:rsidR="005149A0">
        <w:rPr>
          <w:color w:val="000000"/>
          <w:sz w:val="24"/>
        </w:rPr>
        <w:instrText>ADDIN CSL_CITATION {"citationItems":[{"id":"ITEM-1","itemData":{"author":[{"dropping-particle":"","family":"Colclough","given":"Christopher","non-dropping-particle":"","parse-names":false,"suffix":""},{"dropping-particle":"","family":"Rose","given":"Pauline","non-dropping-particle":"","parse-names":false,"suffix":""},{"dropping-particle":"","family":"Tembon","given":"Mercy","non-dropping-particle":"","parse-names":false,"suffix":""}],"container-title":"International Journal of Educational Development","id":"ITEM-1","issue":"1","issued":{"date-parts":[["2000"]]},"page":"5-27","publisher":"Elsevier","title":"Gender inequalities in primary schooling: The roles of poverty and adverse cultural practice","type":"article-journal","volume":"20"},"uris":["http://www.mendeley.com/documents/?uuid=269fd8ea-7125-4b9e-b228-9f99a0c11dbf"]}],"mendeley":{"formattedCitation":"(Colclough et al., 2000)","plainTextFormattedCitation":"(Colclough et al., 2000)","previouslyFormattedCitation":"(Colclough et al., 2000)"},"properties":{"noteIndex":0},"schema":"https://github.com/citation-style-language/schema/raw/master/csl-citation.json"}</w:instrText>
      </w:r>
      <w:r>
        <w:rPr>
          <w:color w:val="000000"/>
          <w:sz w:val="24"/>
        </w:rPr>
        <w:fldChar w:fldCharType="separate"/>
      </w:r>
      <w:r w:rsidRPr="0086084B">
        <w:rPr>
          <w:noProof/>
          <w:color w:val="000000"/>
          <w:sz w:val="24"/>
        </w:rPr>
        <w:t>(Colclough et al., 2000)</w:t>
      </w:r>
      <w:r>
        <w:rPr>
          <w:color w:val="000000"/>
          <w:sz w:val="24"/>
        </w:rPr>
        <w:fldChar w:fldCharType="end"/>
      </w:r>
      <w:r w:rsidRPr="0086084B">
        <w:rPr>
          <w:color w:val="000000"/>
          <w:sz w:val="24"/>
        </w:rPr>
        <w:t xml:space="preserve">. To test whether gendered effects exist on school dropout among individuals with different linguistic backgrounds, an indicator variable for female is included in </w:t>
      </w:r>
      <w:r>
        <w:rPr>
          <w:color w:val="000000"/>
          <w:sz w:val="24"/>
        </w:rPr>
        <w:t>the model. Furthermore,</w:t>
      </w:r>
      <w:r w:rsidRPr="0086084B">
        <w:rPr>
          <w:color w:val="000000"/>
          <w:sz w:val="24"/>
        </w:rPr>
        <w:t xml:space="preserve"> to control for possible birth effects, I consider an indicator variable capturing whether the child is the </w:t>
      </w:r>
      <w:r w:rsidR="0037033E" w:rsidRPr="0086084B">
        <w:rPr>
          <w:color w:val="000000"/>
          <w:sz w:val="24"/>
        </w:rPr>
        <w:t>first-born</w:t>
      </w:r>
      <w:r w:rsidRPr="0086084B">
        <w:rPr>
          <w:color w:val="000000"/>
          <w:sz w:val="24"/>
        </w:rPr>
        <w:t xml:space="preserve"> child in the household. Studies that examine the effects of birth order on schooling attainment and earnings present evidence on birth order effects favouring firstborns </w:t>
      </w:r>
      <w:r>
        <w:rPr>
          <w:color w:val="000000"/>
          <w:sz w:val="24"/>
        </w:rPr>
        <w:fldChar w:fldCharType="begin" w:fldLock="1"/>
      </w:r>
      <w:r w:rsidR="005149A0">
        <w:rPr>
          <w:color w:val="000000"/>
          <w:sz w:val="24"/>
        </w:rPr>
        <w:instrText>ADDIN CSL_CITATION {"citationItems":[{"id":"ITEM-1","itemData":{"author":[{"dropping-particle":"","family":"Behrman","given":"Jere R","non-dropping-particle":"","parse-names":false,"suffix":""},{"dropping-particle":"","family":"Taubman","given":"Paul","non-dropping-particle":"","parse-names":false,"suffix":""}],"container-title":"Journal of Labor Economics","id":"ITEM-1","issued":{"date-parts":[["1986"]]},"page":"S121--S145","publisher":"JSTOR","title":"Birth order, schooling, and earnings","type":"article-journal"},"uris":["http://www.mendeley.com/documents/?uuid=c87f5d8d-b931-4f41-a19b-8a270508886d"]},{"id":"ITEM-2","itemData":{"author":[{"dropping-particle":"","family":"Black","given":"Sandra E","non-dropping-particle":"","parse-names":false,"suffix":""},{"dropping-particle":"","family":"Devereux","given":"Paul J","non-dropping-particle":"","parse-names":false,"suffix":""},{"dropping-particle":"","family":"Salvanes","given":"Kjell G","non-dropping-particle":"","parse-names":false,"suffix":""}],"container-title":"The Quarterly Journal of Economics","id":"ITEM-2","issued":{"date-parts":[["2005"]]},"page":"669-700","publisher":"JSTOR","title":"The more the merrier? The effect of family size and birth order on children's education","type":"article-journal"},"uris":["http://www.mendeley.com/documents/?uuid=c2cba9f3-662f-431f-b0df-fcd96604da5c"]},{"id":"ITEM-3","itemData":{"author":[{"dropping-particle":"","family":"Booth","given":"Alison L","non-dropping-particle":"","parse-names":false,"suffix":""},{"dropping-particle":"","family":"Kee","given":"Hiau Joo","non-dropping-particle":"","parse-names":false,"suffix":""}],"container-title":"Journal of Population Economics","id":"ITEM-3","issue":"2","issued":{"date-parts":[["2009"]]},"page":"367-397","publisher":"Springer","title":"Birth order matters: the effect of family size and birth order on educational attainment","type":"article-journal","volume":"22"},"uris":["http://www.mendeley.com/documents/?uuid=9a5e0830-87e6-4a8b-af1d-c21ae3ef852f"]}],"mendeley":{"formattedCitation":"(Behrman &amp; Taubman, 1986; Black, Devereux, &amp; Salvanes, 2005; Booth &amp; Kee, 2009)","plainTextFormattedCitation":"(Behrman &amp; Taubman, 1986; Black, Devereux, &amp; Salvanes, 2005; Booth &amp; Kee, 2009)","previouslyFormattedCitation":"(Behrman &amp; Taubman, 1986; Black, Devereux, &amp; Salvanes, 2005; Booth &amp; Kee, 2009)"},"properties":{"noteIndex":0},"schema":"https://github.com/citation-style-language/schema/raw/master/csl-citation.json"}</w:instrText>
      </w:r>
      <w:r>
        <w:rPr>
          <w:color w:val="000000"/>
          <w:sz w:val="24"/>
        </w:rPr>
        <w:fldChar w:fldCharType="separate"/>
      </w:r>
      <w:r w:rsidRPr="0086084B">
        <w:rPr>
          <w:noProof/>
          <w:color w:val="000000"/>
          <w:sz w:val="24"/>
        </w:rPr>
        <w:t>(Behrman &amp; Taubman, 1986; Black, Devereux, &amp; Salvanes, 2005; Booth &amp; Kee, 2009)</w:t>
      </w:r>
      <w:r>
        <w:rPr>
          <w:color w:val="000000"/>
          <w:sz w:val="24"/>
        </w:rPr>
        <w:fldChar w:fldCharType="end"/>
      </w:r>
      <w:r w:rsidRPr="0086084B">
        <w:rPr>
          <w:color w:val="000000"/>
          <w:sz w:val="24"/>
        </w:rPr>
        <w:t>. In add</w:t>
      </w:r>
      <w:r>
        <w:rPr>
          <w:color w:val="000000"/>
          <w:sz w:val="24"/>
        </w:rPr>
        <w:t>ition, a number of studies indicate</w:t>
      </w:r>
      <w:r w:rsidRPr="0086084B">
        <w:rPr>
          <w:color w:val="000000"/>
          <w:sz w:val="24"/>
        </w:rPr>
        <w:t xml:space="preserve"> the association between health status of children and dropout </w:t>
      </w:r>
      <w:r>
        <w:rPr>
          <w:color w:val="000000"/>
          <w:sz w:val="24"/>
        </w:rPr>
        <w:t>behaviour</w:t>
      </w:r>
      <w:r w:rsidRPr="0086084B">
        <w:rPr>
          <w:color w:val="000000"/>
          <w:sz w:val="24"/>
        </w:rPr>
        <w:t>. In this study, I consider the variable capturing whether a child has or not health insurance. Having health insurance can assure the good health condition of a child</w:t>
      </w:r>
      <w:r>
        <w:rPr>
          <w:color w:val="000000"/>
          <w:sz w:val="24"/>
        </w:rPr>
        <w:t xml:space="preserve"> </w:t>
      </w:r>
      <w:r w:rsidRPr="0086084B">
        <w:rPr>
          <w:color w:val="000000"/>
          <w:sz w:val="24"/>
        </w:rPr>
        <w:t>to some extent, with the exception of extreme cases.</w:t>
      </w:r>
    </w:p>
    <w:p w14:paraId="1283694C" w14:textId="5CF02576" w:rsidR="0086084B" w:rsidRDefault="0086084B" w:rsidP="003A4F32">
      <w:pPr>
        <w:pStyle w:val="Displayedquotation"/>
        <w:spacing w:line="480" w:lineRule="auto"/>
        <w:ind w:left="0" w:right="39"/>
        <w:jc w:val="both"/>
        <w:rPr>
          <w:color w:val="000000"/>
          <w:sz w:val="24"/>
        </w:rPr>
      </w:pPr>
      <w:r>
        <w:rPr>
          <w:color w:val="000000"/>
          <w:sz w:val="24"/>
        </w:rPr>
        <w:tab/>
      </w:r>
      <w:r w:rsidRPr="0086084B">
        <w:rPr>
          <w:color w:val="000000"/>
          <w:sz w:val="24"/>
        </w:rPr>
        <w:t>Family and household characteristics include education level of household members, number of siblings, access to aid, and wealth. Education level of family and household members have been suggested as potential school dropout determinants. In the hazard models, I consider the highest level of education attained by a female adult in the household, measured in years.</w:t>
      </w:r>
    </w:p>
    <w:p w14:paraId="03DA161C" w14:textId="5D1E7B2E" w:rsidR="0086084B" w:rsidRDefault="0086084B" w:rsidP="003A4F32">
      <w:pPr>
        <w:pStyle w:val="Displayedquotation"/>
        <w:spacing w:line="480" w:lineRule="auto"/>
        <w:ind w:left="0" w:right="39"/>
        <w:jc w:val="both"/>
        <w:rPr>
          <w:color w:val="000000"/>
          <w:sz w:val="24"/>
        </w:rPr>
      </w:pPr>
      <w:r>
        <w:rPr>
          <w:color w:val="000000"/>
          <w:sz w:val="24"/>
        </w:rPr>
        <w:tab/>
        <w:t>Additionally</w:t>
      </w:r>
      <w:r w:rsidRPr="0086084B">
        <w:rPr>
          <w:color w:val="000000"/>
          <w:sz w:val="24"/>
        </w:rPr>
        <w:t xml:space="preserve">, the hazard models include the number of school-aged children in the household. With the inclusion of this variable, I expect to control for possible competition for household resources. Several studies are proponents of the </w:t>
      </w:r>
      <w:r w:rsidRPr="0086084B">
        <w:rPr>
          <w:i/>
          <w:color w:val="000000"/>
          <w:sz w:val="24"/>
        </w:rPr>
        <w:t>Quantity-quality Trade Off Hypothesis</w:t>
      </w:r>
      <w:r w:rsidRPr="0086084B">
        <w:rPr>
          <w:color w:val="000000"/>
          <w:sz w:val="24"/>
        </w:rPr>
        <w:t>, stating that an additional child reduces average schooling of children within the household. Then, larger households result in lower average educational attainment. However, empirical ev</w:t>
      </w:r>
      <w:r>
        <w:rPr>
          <w:color w:val="000000"/>
          <w:sz w:val="24"/>
        </w:rPr>
        <w:t xml:space="preserve">idence is mixed. For instance, </w:t>
      </w:r>
      <w:r>
        <w:rPr>
          <w:color w:val="000000"/>
          <w:sz w:val="24"/>
        </w:rPr>
        <w:fldChar w:fldCharType="begin" w:fldLock="1"/>
      </w:r>
      <w:r w:rsidR="005149A0">
        <w:rPr>
          <w:color w:val="000000"/>
          <w:sz w:val="24"/>
        </w:rPr>
        <w:instrText>ADDIN CSL_CITATION {"citationItems":[{"id":"ITEM-1","itemData":{"author":[{"dropping-particle":"","family":"Black","given":"Sandra E","non-dropping-particle":"","parse-names":false,"suffix":""},{"dropping-particle":"","family":"Devereux","given":"Paul J","non-dropping-particle":"","parse-names":false,"suffix":""},{"dropping-particle":"","family":"Salvanes","given":"Kjell G","non-dropping-particle":"","parse-names":false,"suffix":""}],"container-title":"The Quarterly Journal of Economics","id":"ITEM-1","issued":{"date-parts":[["2005"]]},"page":"669-700","publisher":"JSTOR","title":"The more the merrier? The effect of family size and birth order on children's education","type":"article-journal"},"uris":["http://www.mendeley.com/documents/?uuid=c2cba9f3-662f-431f-b0df-fcd96604da5c"]}],"mendeley":{"formattedCitation":"(Black et al., 2005)","manualFormatting":"Black et al., (2005)","plainTextFormattedCitation":"(Black et al., 2005)","previouslyFormattedCitation":"(Black et al., 2005)"},"properties":{"noteIndex":0},"schema":"https://github.com/citation-style-language/schema/raw/master/csl-citation.json"}</w:instrText>
      </w:r>
      <w:r>
        <w:rPr>
          <w:color w:val="000000"/>
          <w:sz w:val="24"/>
        </w:rPr>
        <w:fldChar w:fldCharType="separate"/>
      </w:r>
      <w:r w:rsidRPr="0086084B">
        <w:rPr>
          <w:noProof/>
          <w:color w:val="000000"/>
          <w:sz w:val="24"/>
        </w:rPr>
        <w:t xml:space="preserve">Black et al., </w:t>
      </w:r>
      <w:r>
        <w:rPr>
          <w:noProof/>
          <w:color w:val="000000"/>
          <w:sz w:val="24"/>
        </w:rPr>
        <w:lastRenderedPageBreak/>
        <w:t>(</w:t>
      </w:r>
      <w:r w:rsidRPr="0086084B">
        <w:rPr>
          <w:noProof/>
          <w:color w:val="000000"/>
          <w:sz w:val="24"/>
        </w:rPr>
        <w:t>2005)</w:t>
      </w:r>
      <w:r>
        <w:rPr>
          <w:color w:val="000000"/>
          <w:sz w:val="24"/>
        </w:rPr>
        <w:fldChar w:fldCharType="end"/>
      </w:r>
      <w:r w:rsidRPr="0086084B">
        <w:rPr>
          <w:color w:val="000000"/>
          <w:sz w:val="24"/>
        </w:rPr>
        <w:t xml:space="preserve"> find negative correlation between household size and children years of schooling, however, these effects dissipate after controlling for birth order effects. In contrast, </w:t>
      </w:r>
      <w:r>
        <w:rPr>
          <w:color w:val="000000"/>
          <w:sz w:val="24"/>
        </w:rPr>
        <w:fldChar w:fldCharType="begin" w:fldLock="1"/>
      </w:r>
      <w:r w:rsidR="005149A0">
        <w:rPr>
          <w:color w:val="000000"/>
          <w:sz w:val="24"/>
        </w:rPr>
        <w:instrText>ADDIN CSL_CITATION {"citationItems":[{"id":"ITEM-1","itemData":{"author":[{"dropping-particle":"","family":"Booth","given":"Alison L","non-dropping-particle":"","parse-names":false,"suffix":""},{"dropping-particle":"","family":"Kee","given":"Hiau Joo","non-dropping-particle":"","parse-names":false,"suffix":""}],"container-title":"Journal of Population Economics","id":"ITEM-1","issue":"2","issued":{"date-parts":[["2009"]]},"page":"367-397","publisher":"Springer","title":"Birth order matters: the effect of family size and birth order on educational attainment","type":"article-journal","volume":"22"},"uris":["http://www.mendeley.com/documents/?uuid=9a5e0830-87e6-4a8b-af1d-c21ae3ef852f"]}],"mendeley":{"formattedCitation":"(Booth &amp; Kee, 2009)","manualFormatting":"Booth &amp; Kee (2009)","plainTextFormattedCitation":"(Booth &amp; Kee, 2009)","previouslyFormattedCitation":"(Booth &amp; Kee, 2009)"},"properties":{"noteIndex":0},"schema":"https://github.com/citation-style-language/schema/raw/master/csl-citation.json"}</w:instrText>
      </w:r>
      <w:r>
        <w:rPr>
          <w:color w:val="000000"/>
          <w:sz w:val="24"/>
        </w:rPr>
        <w:fldChar w:fldCharType="separate"/>
      </w:r>
      <w:r>
        <w:rPr>
          <w:noProof/>
          <w:color w:val="000000"/>
          <w:sz w:val="24"/>
        </w:rPr>
        <w:t>Booth &amp; Kee</w:t>
      </w:r>
      <w:r w:rsidRPr="0086084B">
        <w:rPr>
          <w:noProof/>
          <w:color w:val="000000"/>
          <w:sz w:val="24"/>
        </w:rPr>
        <w:t xml:space="preserve"> </w:t>
      </w:r>
      <w:r>
        <w:rPr>
          <w:noProof/>
          <w:color w:val="000000"/>
          <w:sz w:val="24"/>
        </w:rPr>
        <w:t>(</w:t>
      </w:r>
      <w:r w:rsidRPr="0086084B">
        <w:rPr>
          <w:noProof/>
          <w:color w:val="000000"/>
          <w:sz w:val="24"/>
        </w:rPr>
        <w:t>2009)</w:t>
      </w:r>
      <w:r>
        <w:rPr>
          <w:color w:val="000000"/>
          <w:sz w:val="24"/>
        </w:rPr>
        <w:fldChar w:fldCharType="end"/>
      </w:r>
      <w:r w:rsidRPr="0086084B">
        <w:rPr>
          <w:color w:val="000000"/>
          <w:sz w:val="24"/>
        </w:rPr>
        <w:t xml:space="preserve"> find that children from larger families obtain on average less years of education than children from smaller families. These results are robust to different specifications.</w:t>
      </w:r>
    </w:p>
    <w:p w14:paraId="5169EAFF" w14:textId="77777777" w:rsidR="00062CFC" w:rsidRDefault="0086084B" w:rsidP="003A4F32">
      <w:pPr>
        <w:pStyle w:val="Displayedquotation"/>
        <w:spacing w:line="480" w:lineRule="auto"/>
        <w:ind w:left="0" w:right="39"/>
        <w:jc w:val="both"/>
        <w:rPr>
          <w:color w:val="000000"/>
          <w:sz w:val="24"/>
        </w:rPr>
      </w:pPr>
      <w:r>
        <w:rPr>
          <w:color w:val="000000"/>
          <w:sz w:val="28"/>
        </w:rPr>
        <w:tab/>
      </w:r>
      <w:r w:rsidRPr="0086084B">
        <w:rPr>
          <w:color w:val="000000"/>
          <w:sz w:val="24"/>
        </w:rPr>
        <w:t>Income and financial circumstances are important determinants of school dropout</w:t>
      </w:r>
      <w:r w:rsidR="00062CFC">
        <w:rPr>
          <w:color w:val="000000"/>
          <w:sz w:val="24"/>
        </w:rPr>
        <w:t xml:space="preserve"> as well</w:t>
      </w:r>
      <w:r w:rsidRPr="0086084B">
        <w:rPr>
          <w:color w:val="000000"/>
          <w:sz w:val="24"/>
        </w:rPr>
        <w:t>. However, since income shocks can also determine dropouts, the use of income in empirical models can biased the results. Therefore, I consider the use of wealth instead of income in the empirical models. The construction of the wealth index takes advantage of the rich set of variables capturing assets owned by households. The wealth index is estimated using the principal components analysis. This index is later scaled from 1 to 10, where 10 reflects higher wealth.</w:t>
      </w:r>
      <w:r w:rsidR="00062CFC">
        <w:rPr>
          <w:color w:val="000000"/>
          <w:sz w:val="24"/>
        </w:rPr>
        <w:t xml:space="preserve"> </w:t>
      </w:r>
      <w:r w:rsidR="00062CFC" w:rsidRPr="00062CFC">
        <w:rPr>
          <w:color w:val="000000"/>
          <w:sz w:val="24"/>
        </w:rPr>
        <w:t xml:space="preserve">Among other variables included in the model, an indicator variable capturing whether the household is recipient of a welfare program is considered. </w:t>
      </w:r>
    </w:p>
    <w:p w14:paraId="1B97B5BB" w14:textId="5B61E3B9" w:rsidR="0086084B" w:rsidRDefault="00062CFC" w:rsidP="003A4F32">
      <w:pPr>
        <w:pStyle w:val="Displayedquotation"/>
        <w:spacing w:line="480" w:lineRule="auto"/>
        <w:ind w:left="0" w:right="39"/>
        <w:jc w:val="both"/>
        <w:rPr>
          <w:color w:val="000000"/>
          <w:sz w:val="24"/>
        </w:rPr>
      </w:pPr>
      <w:r>
        <w:rPr>
          <w:color w:val="000000"/>
          <w:sz w:val="24"/>
        </w:rPr>
        <w:tab/>
      </w:r>
      <w:r w:rsidRPr="00062CFC">
        <w:rPr>
          <w:color w:val="000000"/>
          <w:sz w:val="24"/>
        </w:rPr>
        <w:t xml:space="preserve">As previously discussed, immediate circumstances, such as income shocks can determine school dropout. Then, an indicator variable for income shock is included in the set of regressors. This variable capture whether the household experience a shock affecting the household income in the last 12 months. Three situations are considered: 1) if any member of the household lost his/her job, 2) if the family business filed for bankruptcy, and 3) if the household head abandoned the family. Similarly, health shocks can precipitate school dropout. Hence, an indicator variable capturing whether any of the household members became ill or had an accident in the last 12 months is considered.  </w:t>
      </w:r>
    </w:p>
    <w:p w14:paraId="556A16EF" w14:textId="29F19DD6" w:rsidR="00062CFC" w:rsidRDefault="00062CFC" w:rsidP="003A4F32">
      <w:pPr>
        <w:pStyle w:val="Displayedquotation"/>
        <w:spacing w:line="480" w:lineRule="auto"/>
        <w:ind w:left="0" w:right="39"/>
        <w:jc w:val="both"/>
        <w:rPr>
          <w:color w:val="000000"/>
          <w:sz w:val="24"/>
        </w:rPr>
      </w:pPr>
      <w:r>
        <w:rPr>
          <w:color w:val="000000"/>
          <w:sz w:val="24"/>
        </w:rPr>
        <w:tab/>
      </w:r>
      <w:r w:rsidRPr="00062CFC">
        <w:rPr>
          <w:color w:val="000000"/>
          <w:sz w:val="24"/>
        </w:rPr>
        <w:t xml:space="preserve">Dummy variables capturing whether the child and family moved from the area where they were living when the child was born are included. One captures whether they lived in a rural area and moved to an urban area, and other captures whether they </w:t>
      </w:r>
      <w:r w:rsidRPr="00062CFC">
        <w:rPr>
          <w:color w:val="000000"/>
          <w:sz w:val="24"/>
        </w:rPr>
        <w:lastRenderedPageBreak/>
        <w:t>were living in an urban area and they moved to a rural area. The omitted category is no migration. Finally, with the objective of controlling for different supply side factors such as number of schools in the community, school quality, teacher quality, etc. state of residence fixed effects is also incorporated in the empirical hazard models.</w:t>
      </w:r>
    </w:p>
    <w:p w14:paraId="3540EFB6" w14:textId="5F8FA0D4" w:rsidR="00062CFC" w:rsidRPr="0086084B" w:rsidRDefault="00062CFC" w:rsidP="005A56C5">
      <w:pPr>
        <w:pStyle w:val="Heading1"/>
        <w:jc w:val="center"/>
        <w:rPr>
          <w:color w:val="000000"/>
        </w:rPr>
      </w:pPr>
      <w:r>
        <w:t>Data Sample and Description</w:t>
      </w:r>
    </w:p>
    <w:p w14:paraId="797ABE2C" w14:textId="4641FE7A" w:rsidR="003A4F32" w:rsidRDefault="00062CFC" w:rsidP="00F43115">
      <w:pPr>
        <w:pStyle w:val="Displayedquotation"/>
        <w:spacing w:line="480" w:lineRule="auto"/>
        <w:ind w:left="0" w:right="39"/>
        <w:jc w:val="both"/>
        <w:rPr>
          <w:color w:val="000000"/>
          <w:position w:val="-10"/>
          <w:sz w:val="24"/>
        </w:rPr>
      </w:pPr>
      <w:r w:rsidRPr="00062CFC">
        <w:rPr>
          <w:color w:val="000000"/>
          <w:position w:val="-10"/>
          <w:sz w:val="24"/>
        </w:rPr>
        <w:t>The data used in this study are drawn from the 2012 Income and Expenditure Survey of Paraguay. This nationally representative survey contains detailed information on individuals, family, household, and dwelling characteristics.</w:t>
      </w:r>
    </w:p>
    <w:p w14:paraId="6CCC7412" w14:textId="6C3318CD" w:rsidR="00062CFC" w:rsidRDefault="00062CFC" w:rsidP="00F43115">
      <w:pPr>
        <w:pStyle w:val="Displayedquotation"/>
        <w:spacing w:line="480" w:lineRule="auto"/>
        <w:ind w:left="0" w:right="39"/>
        <w:jc w:val="both"/>
        <w:rPr>
          <w:color w:val="000000"/>
          <w:position w:val="-10"/>
          <w:sz w:val="24"/>
        </w:rPr>
      </w:pPr>
      <w:r>
        <w:rPr>
          <w:color w:val="000000"/>
          <w:position w:val="-10"/>
          <w:sz w:val="24"/>
        </w:rPr>
        <w:tab/>
      </w:r>
      <w:r w:rsidRPr="00062CFC">
        <w:rPr>
          <w:color w:val="000000"/>
          <w:position w:val="-10"/>
          <w:sz w:val="24"/>
        </w:rPr>
        <w:t>The sample used in this study is restricted to school-aged individuals from 7 to 18 years old that started school. This data restriction obeys to the need of retrospective and current data that can determine household/children schooling decisions. Furthermore, the sample is restricted to individuals that were born in Paraguay and t</w:t>
      </w:r>
      <w:r>
        <w:rPr>
          <w:color w:val="000000"/>
          <w:position w:val="-10"/>
          <w:sz w:val="24"/>
        </w:rPr>
        <w:t>hat reported to speak Guaraní</w:t>
      </w:r>
      <w:r w:rsidRPr="00062CFC">
        <w:rPr>
          <w:color w:val="000000"/>
          <w:position w:val="-10"/>
          <w:sz w:val="24"/>
        </w:rPr>
        <w:t xml:space="preserve">, Spanish or that were bilinguals in both of these languages. The final sample consist of 5,481 individuals of which 448 drop out of school. A complete set of descriptive statistics of the variables used in the survival analysis is shown in Table </w:t>
      </w:r>
      <w:r>
        <w:rPr>
          <w:color w:val="000000"/>
          <w:position w:val="-10"/>
          <w:sz w:val="24"/>
        </w:rPr>
        <w:t>2</w:t>
      </w:r>
      <w:r w:rsidRPr="00062CFC">
        <w:rPr>
          <w:color w:val="000000"/>
          <w:position w:val="-10"/>
          <w:sz w:val="24"/>
        </w:rPr>
        <w:t xml:space="preserve"> for the full sample, as well as for the sub-s</w:t>
      </w:r>
      <w:r>
        <w:rPr>
          <w:color w:val="000000"/>
          <w:position w:val="-10"/>
          <w:sz w:val="24"/>
        </w:rPr>
        <w:t>amples of Guaraní</w:t>
      </w:r>
      <w:r w:rsidRPr="00062CFC">
        <w:rPr>
          <w:color w:val="000000"/>
          <w:position w:val="-10"/>
          <w:sz w:val="24"/>
        </w:rPr>
        <w:t>, Spanish, and bilingual speakers.</w:t>
      </w:r>
    </w:p>
    <w:p w14:paraId="4A8A0CF1" w14:textId="521E8524" w:rsidR="00F43115" w:rsidRPr="00F43115" w:rsidRDefault="00F43115" w:rsidP="007302D7">
      <w:pPr>
        <w:pStyle w:val="Caption"/>
        <w:keepNext/>
        <w:rPr>
          <w:color w:val="auto"/>
          <w:sz w:val="24"/>
        </w:rPr>
      </w:pPr>
      <w:r w:rsidRPr="00F43115">
        <w:rPr>
          <w:color w:val="auto"/>
          <w:sz w:val="24"/>
        </w:rPr>
        <w:t xml:space="preserve">Table </w:t>
      </w:r>
      <w:r w:rsidRPr="00F43115">
        <w:rPr>
          <w:color w:val="auto"/>
          <w:sz w:val="24"/>
        </w:rPr>
        <w:fldChar w:fldCharType="begin"/>
      </w:r>
      <w:r w:rsidRPr="00F43115">
        <w:rPr>
          <w:color w:val="auto"/>
          <w:sz w:val="24"/>
        </w:rPr>
        <w:instrText xml:space="preserve"> SEQ Table \* ARABIC </w:instrText>
      </w:r>
      <w:r w:rsidRPr="00F43115">
        <w:rPr>
          <w:color w:val="auto"/>
          <w:sz w:val="24"/>
        </w:rPr>
        <w:fldChar w:fldCharType="separate"/>
      </w:r>
      <w:r w:rsidR="00F72AD8">
        <w:rPr>
          <w:noProof/>
          <w:color w:val="auto"/>
          <w:sz w:val="24"/>
        </w:rPr>
        <w:t>2</w:t>
      </w:r>
      <w:r w:rsidRPr="00F43115">
        <w:rPr>
          <w:color w:val="auto"/>
          <w:sz w:val="24"/>
        </w:rPr>
        <w:fldChar w:fldCharType="end"/>
      </w:r>
      <w:r w:rsidRPr="00F43115">
        <w:rPr>
          <w:color w:val="auto"/>
          <w:sz w:val="24"/>
        </w:rPr>
        <w:t xml:space="preserve"> – Descriptive Statistics</w:t>
      </w:r>
    </w:p>
    <w:tbl>
      <w:tblPr>
        <w:tblW w:w="5471" w:type="pct"/>
        <w:jc w:val="center"/>
        <w:tblLook w:val="04A0" w:firstRow="1" w:lastRow="0" w:firstColumn="1" w:lastColumn="0" w:noHBand="0" w:noVBand="1"/>
      </w:tblPr>
      <w:tblGrid>
        <w:gridCol w:w="398"/>
        <w:gridCol w:w="1585"/>
        <w:gridCol w:w="271"/>
        <w:gridCol w:w="717"/>
        <w:gridCol w:w="883"/>
        <w:gridCol w:w="271"/>
        <w:gridCol w:w="717"/>
        <w:gridCol w:w="883"/>
        <w:gridCol w:w="271"/>
        <w:gridCol w:w="821"/>
        <w:gridCol w:w="883"/>
        <w:gridCol w:w="271"/>
        <w:gridCol w:w="717"/>
        <w:gridCol w:w="883"/>
      </w:tblGrid>
      <w:tr w:rsidR="00F43115" w:rsidRPr="00F43115" w14:paraId="3B28EE79" w14:textId="77777777" w:rsidTr="00F43115">
        <w:trPr>
          <w:trHeight w:val="390"/>
          <w:jc w:val="center"/>
        </w:trPr>
        <w:tc>
          <w:tcPr>
            <w:tcW w:w="1023" w:type="pct"/>
            <w:gridSpan w:val="2"/>
            <w:tcBorders>
              <w:top w:val="single" w:sz="4" w:space="0" w:color="auto"/>
              <w:left w:val="nil"/>
              <w:bottom w:val="single" w:sz="4" w:space="0" w:color="auto"/>
              <w:right w:val="nil"/>
            </w:tcBorders>
            <w:shd w:val="clear" w:color="000000" w:fill="FFFFFF"/>
            <w:noWrap/>
            <w:vAlign w:val="center"/>
            <w:hideMark/>
          </w:tcPr>
          <w:p w14:paraId="27AB48BE" w14:textId="77777777" w:rsidR="00F43115" w:rsidRPr="00F43115" w:rsidRDefault="00F43115" w:rsidP="00F43115">
            <w:pPr>
              <w:spacing w:line="240" w:lineRule="auto"/>
              <w:rPr>
                <w:b/>
                <w:color w:val="000000"/>
                <w:sz w:val="22"/>
                <w:szCs w:val="22"/>
                <w:lang w:val="en-US" w:eastAsia="en-US"/>
              </w:rPr>
            </w:pPr>
            <w:r w:rsidRPr="00F43115">
              <w:rPr>
                <w:b/>
                <w:color w:val="000000"/>
                <w:sz w:val="22"/>
                <w:szCs w:val="22"/>
                <w:lang w:val="en-US" w:eastAsia="en-US"/>
              </w:rPr>
              <w:t>Variables</w:t>
            </w:r>
          </w:p>
        </w:tc>
        <w:tc>
          <w:tcPr>
            <w:tcW w:w="143" w:type="pct"/>
            <w:tcBorders>
              <w:top w:val="single" w:sz="4" w:space="0" w:color="auto"/>
              <w:left w:val="nil"/>
              <w:bottom w:val="single" w:sz="4" w:space="0" w:color="auto"/>
              <w:right w:val="nil"/>
            </w:tcBorders>
            <w:shd w:val="clear" w:color="000000" w:fill="FFFFFF"/>
            <w:noWrap/>
            <w:vAlign w:val="center"/>
            <w:hideMark/>
          </w:tcPr>
          <w:p w14:paraId="7112759D" w14:textId="77777777" w:rsidR="00F43115" w:rsidRPr="00F43115" w:rsidRDefault="00F43115" w:rsidP="00F43115">
            <w:pPr>
              <w:spacing w:line="240" w:lineRule="auto"/>
              <w:rPr>
                <w:b/>
                <w:color w:val="000000"/>
                <w:sz w:val="22"/>
                <w:szCs w:val="22"/>
                <w:lang w:val="en-US" w:eastAsia="en-US"/>
              </w:rPr>
            </w:pPr>
            <w:r w:rsidRPr="00F43115">
              <w:rPr>
                <w:b/>
                <w:color w:val="000000"/>
                <w:sz w:val="22"/>
                <w:szCs w:val="22"/>
                <w:lang w:val="en-US" w:eastAsia="en-US"/>
              </w:rPr>
              <w:t> </w:t>
            </w:r>
          </w:p>
        </w:tc>
        <w:tc>
          <w:tcPr>
            <w:tcW w:w="838" w:type="pct"/>
            <w:gridSpan w:val="2"/>
            <w:tcBorders>
              <w:top w:val="single" w:sz="4" w:space="0" w:color="auto"/>
              <w:left w:val="nil"/>
              <w:bottom w:val="single" w:sz="4" w:space="0" w:color="auto"/>
              <w:right w:val="nil"/>
            </w:tcBorders>
            <w:shd w:val="clear" w:color="000000" w:fill="FFFFFF"/>
            <w:noWrap/>
            <w:vAlign w:val="center"/>
            <w:hideMark/>
          </w:tcPr>
          <w:p w14:paraId="6C370B02" w14:textId="77777777" w:rsidR="00F43115" w:rsidRPr="00F43115" w:rsidRDefault="00F43115" w:rsidP="00F43115">
            <w:pPr>
              <w:spacing w:line="240" w:lineRule="auto"/>
              <w:jc w:val="center"/>
              <w:rPr>
                <w:b/>
                <w:color w:val="000000"/>
                <w:sz w:val="22"/>
                <w:szCs w:val="22"/>
                <w:lang w:val="en-US" w:eastAsia="en-US"/>
              </w:rPr>
            </w:pPr>
            <w:r w:rsidRPr="00F43115">
              <w:rPr>
                <w:b/>
                <w:color w:val="000000"/>
                <w:sz w:val="22"/>
                <w:szCs w:val="22"/>
                <w:lang w:val="en-US" w:eastAsia="en-US"/>
              </w:rPr>
              <w:t>Full Sample</w:t>
            </w:r>
          </w:p>
        </w:tc>
        <w:tc>
          <w:tcPr>
            <w:tcW w:w="143" w:type="pct"/>
            <w:tcBorders>
              <w:top w:val="single" w:sz="4" w:space="0" w:color="auto"/>
              <w:left w:val="nil"/>
              <w:bottom w:val="single" w:sz="4" w:space="0" w:color="auto"/>
              <w:right w:val="nil"/>
            </w:tcBorders>
            <w:shd w:val="clear" w:color="000000" w:fill="FFFFFF"/>
            <w:noWrap/>
            <w:vAlign w:val="center"/>
            <w:hideMark/>
          </w:tcPr>
          <w:p w14:paraId="16AE390D" w14:textId="77777777" w:rsidR="00F43115" w:rsidRPr="00F43115" w:rsidRDefault="00F43115" w:rsidP="00F43115">
            <w:pPr>
              <w:spacing w:line="240" w:lineRule="auto"/>
              <w:rPr>
                <w:b/>
                <w:color w:val="000000"/>
                <w:sz w:val="22"/>
                <w:szCs w:val="22"/>
                <w:lang w:val="en-US" w:eastAsia="en-US"/>
              </w:rPr>
            </w:pPr>
            <w:r w:rsidRPr="00F43115">
              <w:rPr>
                <w:b/>
                <w:color w:val="000000"/>
                <w:sz w:val="22"/>
                <w:szCs w:val="22"/>
                <w:lang w:val="en-US" w:eastAsia="en-US"/>
              </w:rPr>
              <w:t> </w:t>
            </w:r>
          </w:p>
        </w:tc>
        <w:tc>
          <w:tcPr>
            <w:tcW w:w="838" w:type="pct"/>
            <w:gridSpan w:val="2"/>
            <w:tcBorders>
              <w:top w:val="single" w:sz="4" w:space="0" w:color="auto"/>
              <w:left w:val="nil"/>
              <w:bottom w:val="single" w:sz="4" w:space="0" w:color="auto"/>
              <w:right w:val="nil"/>
            </w:tcBorders>
            <w:shd w:val="clear" w:color="000000" w:fill="FFFFFF"/>
            <w:noWrap/>
            <w:vAlign w:val="center"/>
            <w:hideMark/>
          </w:tcPr>
          <w:p w14:paraId="34CF5BCD" w14:textId="77777777" w:rsidR="00F43115" w:rsidRPr="00F43115" w:rsidRDefault="00F43115" w:rsidP="00F43115">
            <w:pPr>
              <w:spacing w:line="240" w:lineRule="auto"/>
              <w:jc w:val="center"/>
              <w:rPr>
                <w:b/>
                <w:color w:val="000000"/>
                <w:sz w:val="22"/>
                <w:szCs w:val="22"/>
                <w:lang w:val="en-US" w:eastAsia="en-US"/>
              </w:rPr>
            </w:pPr>
            <w:r w:rsidRPr="00F43115">
              <w:rPr>
                <w:b/>
                <w:color w:val="000000"/>
                <w:sz w:val="22"/>
                <w:szCs w:val="22"/>
                <w:lang w:val="en-US" w:eastAsia="en-US"/>
              </w:rPr>
              <w:t>Guaraní Sp.</w:t>
            </w:r>
          </w:p>
        </w:tc>
        <w:tc>
          <w:tcPr>
            <w:tcW w:w="143" w:type="pct"/>
            <w:tcBorders>
              <w:top w:val="single" w:sz="4" w:space="0" w:color="auto"/>
              <w:left w:val="nil"/>
              <w:bottom w:val="single" w:sz="4" w:space="0" w:color="auto"/>
              <w:right w:val="nil"/>
            </w:tcBorders>
            <w:shd w:val="clear" w:color="000000" w:fill="FFFFFF"/>
            <w:noWrap/>
            <w:vAlign w:val="center"/>
            <w:hideMark/>
          </w:tcPr>
          <w:p w14:paraId="1201842B" w14:textId="77777777" w:rsidR="00F43115" w:rsidRPr="00F43115" w:rsidRDefault="00F43115" w:rsidP="00F43115">
            <w:pPr>
              <w:spacing w:line="240" w:lineRule="auto"/>
              <w:rPr>
                <w:b/>
                <w:color w:val="000000"/>
                <w:sz w:val="22"/>
                <w:szCs w:val="22"/>
                <w:lang w:val="en-US" w:eastAsia="en-US"/>
              </w:rPr>
            </w:pPr>
            <w:r w:rsidRPr="00F43115">
              <w:rPr>
                <w:b/>
                <w:color w:val="000000"/>
                <w:sz w:val="22"/>
                <w:szCs w:val="22"/>
                <w:lang w:val="en-US" w:eastAsia="en-US"/>
              </w:rPr>
              <w:t> </w:t>
            </w:r>
          </w:p>
        </w:tc>
        <w:tc>
          <w:tcPr>
            <w:tcW w:w="892" w:type="pct"/>
            <w:gridSpan w:val="2"/>
            <w:tcBorders>
              <w:top w:val="single" w:sz="4" w:space="0" w:color="auto"/>
              <w:left w:val="nil"/>
              <w:bottom w:val="single" w:sz="4" w:space="0" w:color="auto"/>
              <w:right w:val="nil"/>
            </w:tcBorders>
            <w:shd w:val="clear" w:color="000000" w:fill="FFFFFF"/>
            <w:noWrap/>
            <w:vAlign w:val="center"/>
            <w:hideMark/>
          </w:tcPr>
          <w:p w14:paraId="5F381E0A" w14:textId="77777777" w:rsidR="00F43115" w:rsidRPr="00F43115" w:rsidRDefault="00F43115" w:rsidP="00F43115">
            <w:pPr>
              <w:spacing w:line="240" w:lineRule="auto"/>
              <w:jc w:val="center"/>
              <w:rPr>
                <w:b/>
                <w:color w:val="000000"/>
                <w:sz w:val="22"/>
                <w:szCs w:val="22"/>
                <w:lang w:val="en-US" w:eastAsia="en-US"/>
              </w:rPr>
            </w:pPr>
            <w:r w:rsidRPr="00F43115">
              <w:rPr>
                <w:b/>
                <w:color w:val="000000"/>
                <w:sz w:val="22"/>
                <w:szCs w:val="22"/>
                <w:lang w:val="en-US" w:eastAsia="en-US"/>
              </w:rPr>
              <w:t>Spanish Sp.</w:t>
            </w:r>
          </w:p>
        </w:tc>
        <w:tc>
          <w:tcPr>
            <w:tcW w:w="143" w:type="pct"/>
            <w:tcBorders>
              <w:top w:val="single" w:sz="4" w:space="0" w:color="auto"/>
              <w:left w:val="nil"/>
              <w:bottom w:val="single" w:sz="4" w:space="0" w:color="auto"/>
              <w:right w:val="nil"/>
            </w:tcBorders>
            <w:shd w:val="clear" w:color="000000" w:fill="FFFFFF"/>
            <w:noWrap/>
            <w:vAlign w:val="center"/>
            <w:hideMark/>
          </w:tcPr>
          <w:p w14:paraId="06E55D39" w14:textId="77777777" w:rsidR="00F43115" w:rsidRPr="00F43115" w:rsidRDefault="00F43115" w:rsidP="00F43115">
            <w:pPr>
              <w:spacing w:line="240" w:lineRule="auto"/>
              <w:rPr>
                <w:b/>
                <w:color w:val="000000"/>
                <w:sz w:val="22"/>
                <w:szCs w:val="22"/>
                <w:lang w:val="en-US" w:eastAsia="en-US"/>
              </w:rPr>
            </w:pPr>
            <w:r w:rsidRPr="00F43115">
              <w:rPr>
                <w:b/>
                <w:color w:val="000000"/>
                <w:sz w:val="22"/>
                <w:szCs w:val="22"/>
                <w:lang w:val="en-US" w:eastAsia="en-US"/>
              </w:rPr>
              <w:t> </w:t>
            </w:r>
          </w:p>
        </w:tc>
        <w:tc>
          <w:tcPr>
            <w:tcW w:w="838" w:type="pct"/>
            <w:gridSpan w:val="2"/>
            <w:tcBorders>
              <w:top w:val="single" w:sz="4" w:space="0" w:color="auto"/>
              <w:left w:val="nil"/>
              <w:bottom w:val="single" w:sz="4" w:space="0" w:color="auto"/>
              <w:right w:val="nil"/>
            </w:tcBorders>
            <w:shd w:val="clear" w:color="000000" w:fill="FFFFFF"/>
            <w:noWrap/>
            <w:vAlign w:val="center"/>
            <w:hideMark/>
          </w:tcPr>
          <w:p w14:paraId="2836034A" w14:textId="77777777" w:rsidR="00F43115" w:rsidRPr="00F43115" w:rsidRDefault="00F43115" w:rsidP="00F43115">
            <w:pPr>
              <w:spacing w:line="240" w:lineRule="auto"/>
              <w:jc w:val="center"/>
              <w:rPr>
                <w:b/>
                <w:color w:val="000000"/>
                <w:sz w:val="22"/>
                <w:szCs w:val="22"/>
                <w:lang w:val="en-US" w:eastAsia="en-US"/>
              </w:rPr>
            </w:pPr>
            <w:r w:rsidRPr="00F43115">
              <w:rPr>
                <w:b/>
                <w:color w:val="000000"/>
                <w:sz w:val="22"/>
                <w:szCs w:val="22"/>
                <w:lang w:val="en-US" w:eastAsia="en-US"/>
              </w:rPr>
              <w:t>Bilingual Sp.</w:t>
            </w:r>
          </w:p>
        </w:tc>
      </w:tr>
      <w:tr w:rsidR="00F43115" w:rsidRPr="00F43115" w14:paraId="2B264E11" w14:textId="77777777" w:rsidTr="00F43115">
        <w:trPr>
          <w:trHeight w:val="290"/>
          <w:jc w:val="center"/>
        </w:trPr>
        <w:tc>
          <w:tcPr>
            <w:tcW w:w="205" w:type="pct"/>
            <w:tcBorders>
              <w:top w:val="nil"/>
              <w:left w:val="nil"/>
              <w:bottom w:val="nil"/>
              <w:right w:val="nil"/>
            </w:tcBorders>
            <w:shd w:val="clear" w:color="000000" w:fill="FFFFFF"/>
            <w:noWrap/>
            <w:vAlign w:val="bottom"/>
            <w:hideMark/>
          </w:tcPr>
          <w:p w14:paraId="2C516177"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818" w:type="pct"/>
            <w:tcBorders>
              <w:top w:val="nil"/>
              <w:left w:val="nil"/>
              <w:bottom w:val="nil"/>
              <w:right w:val="nil"/>
            </w:tcBorders>
            <w:shd w:val="clear" w:color="000000" w:fill="FFFFFF"/>
            <w:noWrap/>
            <w:vAlign w:val="center"/>
            <w:hideMark/>
          </w:tcPr>
          <w:p w14:paraId="4914CCF9"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143" w:type="pct"/>
            <w:tcBorders>
              <w:top w:val="nil"/>
              <w:left w:val="nil"/>
              <w:bottom w:val="nil"/>
              <w:right w:val="nil"/>
            </w:tcBorders>
            <w:shd w:val="clear" w:color="000000" w:fill="FFFFFF"/>
            <w:noWrap/>
            <w:vAlign w:val="center"/>
            <w:hideMark/>
          </w:tcPr>
          <w:p w14:paraId="3E0855E2"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single" w:sz="4" w:space="0" w:color="auto"/>
              <w:right w:val="nil"/>
            </w:tcBorders>
            <w:shd w:val="clear" w:color="000000" w:fill="FFFFFF"/>
            <w:noWrap/>
            <w:vAlign w:val="center"/>
            <w:hideMark/>
          </w:tcPr>
          <w:p w14:paraId="60D38861"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Mean</w:t>
            </w:r>
          </w:p>
        </w:tc>
        <w:tc>
          <w:tcPr>
            <w:tcW w:w="456" w:type="pct"/>
            <w:tcBorders>
              <w:top w:val="nil"/>
              <w:left w:val="nil"/>
              <w:bottom w:val="single" w:sz="4" w:space="0" w:color="auto"/>
              <w:right w:val="nil"/>
            </w:tcBorders>
            <w:shd w:val="clear" w:color="000000" w:fill="FFFFFF"/>
            <w:noWrap/>
            <w:vAlign w:val="center"/>
            <w:hideMark/>
          </w:tcPr>
          <w:p w14:paraId="2E23E3CE"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Std. Er.</w:t>
            </w:r>
          </w:p>
        </w:tc>
        <w:tc>
          <w:tcPr>
            <w:tcW w:w="143" w:type="pct"/>
            <w:tcBorders>
              <w:top w:val="nil"/>
              <w:left w:val="nil"/>
              <w:bottom w:val="single" w:sz="4" w:space="0" w:color="auto"/>
              <w:right w:val="nil"/>
            </w:tcBorders>
            <w:shd w:val="clear" w:color="000000" w:fill="FFFFFF"/>
            <w:noWrap/>
            <w:vAlign w:val="center"/>
            <w:hideMark/>
          </w:tcPr>
          <w:p w14:paraId="31E72543"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single" w:sz="4" w:space="0" w:color="auto"/>
              <w:right w:val="nil"/>
            </w:tcBorders>
            <w:shd w:val="clear" w:color="000000" w:fill="FFFFFF"/>
            <w:noWrap/>
            <w:vAlign w:val="center"/>
            <w:hideMark/>
          </w:tcPr>
          <w:p w14:paraId="0B8D4380"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Mean</w:t>
            </w:r>
          </w:p>
        </w:tc>
        <w:tc>
          <w:tcPr>
            <w:tcW w:w="456" w:type="pct"/>
            <w:tcBorders>
              <w:top w:val="nil"/>
              <w:left w:val="nil"/>
              <w:bottom w:val="single" w:sz="4" w:space="0" w:color="auto"/>
              <w:right w:val="nil"/>
            </w:tcBorders>
            <w:shd w:val="clear" w:color="000000" w:fill="FFFFFF"/>
            <w:noWrap/>
            <w:vAlign w:val="center"/>
            <w:hideMark/>
          </w:tcPr>
          <w:p w14:paraId="456335E7"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Std. Er.</w:t>
            </w:r>
          </w:p>
        </w:tc>
        <w:tc>
          <w:tcPr>
            <w:tcW w:w="143" w:type="pct"/>
            <w:tcBorders>
              <w:top w:val="nil"/>
              <w:left w:val="nil"/>
              <w:bottom w:val="single" w:sz="4" w:space="0" w:color="auto"/>
              <w:right w:val="nil"/>
            </w:tcBorders>
            <w:shd w:val="clear" w:color="000000" w:fill="FFFFFF"/>
            <w:noWrap/>
            <w:vAlign w:val="center"/>
            <w:hideMark/>
          </w:tcPr>
          <w:p w14:paraId="0A17C5CC"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436" w:type="pct"/>
            <w:tcBorders>
              <w:top w:val="nil"/>
              <w:left w:val="nil"/>
              <w:bottom w:val="single" w:sz="4" w:space="0" w:color="auto"/>
              <w:right w:val="nil"/>
            </w:tcBorders>
            <w:shd w:val="clear" w:color="000000" w:fill="FFFFFF"/>
            <w:noWrap/>
            <w:vAlign w:val="center"/>
            <w:hideMark/>
          </w:tcPr>
          <w:p w14:paraId="4D0BE5A5"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Mean</w:t>
            </w:r>
          </w:p>
        </w:tc>
        <w:tc>
          <w:tcPr>
            <w:tcW w:w="456" w:type="pct"/>
            <w:tcBorders>
              <w:top w:val="nil"/>
              <w:left w:val="nil"/>
              <w:bottom w:val="single" w:sz="4" w:space="0" w:color="auto"/>
              <w:right w:val="nil"/>
            </w:tcBorders>
            <w:shd w:val="clear" w:color="000000" w:fill="FFFFFF"/>
            <w:noWrap/>
            <w:vAlign w:val="center"/>
            <w:hideMark/>
          </w:tcPr>
          <w:p w14:paraId="5C75D02B"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Std. Er.</w:t>
            </w:r>
          </w:p>
        </w:tc>
        <w:tc>
          <w:tcPr>
            <w:tcW w:w="143" w:type="pct"/>
            <w:tcBorders>
              <w:top w:val="nil"/>
              <w:left w:val="nil"/>
              <w:bottom w:val="single" w:sz="4" w:space="0" w:color="auto"/>
              <w:right w:val="nil"/>
            </w:tcBorders>
            <w:shd w:val="clear" w:color="000000" w:fill="FFFFFF"/>
            <w:noWrap/>
            <w:vAlign w:val="center"/>
            <w:hideMark/>
          </w:tcPr>
          <w:p w14:paraId="2EBFEAAC"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single" w:sz="4" w:space="0" w:color="auto"/>
              <w:right w:val="nil"/>
            </w:tcBorders>
            <w:shd w:val="clear" w:color="000000" w:fill="FFFFFF"/>
            <w:noWrap/>
            <w:vAlign w:val="center"/>
            <w:hideMark/>
          </w:tcPr>
          <w:p w14:paraId="139A954A"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Mean</w:t>
            </w:r>
          </w:p>
        </w:tc>
        <w:tc>
          <w:tcPr>
            <w:tcW w:w="456" w:type="pct"/>
            <w:tcBorders>
              <w:top w:val="nil"/>
              <w:left w:val="nil"/>
              <w:bottom w:val="single" w:sz="4" w:space="0" w:color="auto"/>
              <w:right w:val="nil"/>
            </w:tcBorders>
            <w:shd w:val="clear" w:color="000000" w:fill="FFFFFF"/>
            <w:noWrap/>
            <w:vAlign w:val="center"/>
            <w:hideMark/>
          </w:tcPr>
          <w:p w14:paraId="2C5DF254"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Std. Er.</w:t>
            </w:r>
          </w:p>
        </w:tc>
      </w:tr>
      <w:tr w:rsidR="00F43115" w:rsidRPr="00F43115" w14:paraId="64CDCE80" w14:textId="77777777" w:rsidTr="00F43115">
        <w:trPr>
          <w:trHeight w:val="360"/>
          <w:jc w:val="center"/>
        </w:trPr>
        <w:tc>
          <w:tcPr>
            <w:tcW w:w="5000" w:type="pct"/>
            <w:gridSpan w:val="14"/>
            <w:tcBorders>
              <w:top w:val="nil"/>
              <w:left w:val="nil"/>
              <w:bottom w:val="nil"/>
              <w:right w:val="nil"/>
            </w:tcBorders>
            <w:shd w:val="clear" w:color="000000" w:fill="FFFFFF"/>
            <w:noWrap/>
            <w:vAlign w:val="center"/>
            <w:hideMark/>
          </w:tcPr>
          <w:p w14:paraId="09F706D5" w14:textId="49B8666E" w:rsidR="00F43115" w:rsidRPr="00F43115" w:rsidRDefault="00F43115" w:rsidP="00F43115">
            <w:pPr>
              <w:spacing w:line="240" w:lineRule="auto"/>
              <w:rPr>
                <w:i/>
                <w:iCs/>
                <w:color w:val="000000"/>
                <w:sz w:val="22"/>
                <w:szCs w:val="22"/>
                <w:u w:val="single"/>
                <w:lang w:val="en-US" w:eastAsia="en-US"/>
              </w:rPr>
            </w:pPr>
            <w:r w:rsidRPr="00F43115">
              <w:rPr>
                <w:i/>
                <w:iCs/>
                <w:color w:val="000000"/>
                <w:sz w:val="22"/>
                <w:szCs w:val="22"/>
                <w:u w:val="single"/>
                <w:lang w:val="en-US" w:eastAsia="en-US"/>
              </w:rPr>
              <w:t>Children Characteristics</w:t>
            </w:r>
          </w:p>
        </w:tc>
      </w:tr>
      <w:tr w:rsidR="00F43115" w:rsidRPr="00F43115" w14:paraId="2A23F15E" w14:textId="77777777" w:rsidTr="00F43115">
        <w:trPr>
          <w:trHeight w:val="290"/>
          <w:jc w:val="center"/>
        </w:trPr>
        <w:tc>
          <w:tcPr>
            <w:tcW w:w="205" w:type="pct"/>
            <w:tcBorders>
              <w:top w:val="nil"/>
              <w:left w:val="nil"/>
              <w:bottom w:val="nil"/>
              <w:right w:val="nil"/>
            </w:tcBorders>
            <w:shd w:val="clear" w:color="000000" w:fill="FFFFFF"/>
            <w:noWrap/>
            <w:vAlign w:val="bottom"/>
            <w:hideMark/>
          </w:tcPr>
          <w:p w14:paraId="4677FC63"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818" w:type="pct"/>
            <w:tcBorders>
              <w:top w:val="nil"/>
              <w:left w:val="nil"/>
              <w:bottom w:val="nil"/>
              <w:right w:val="nil"/>
            </w:tcBorders>
            <w:shd w:val="clear" w:color="000000" w:fill="FFFFFF"/>
            <w:noWrap/>
            <w:vAlign w:val="center"/>
            <w:hideMark/>
          </w:tcPr>
          <w:p w14:paraId="041A2D6C"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female</w:t>
            </w:r>
          </w:p>
        </w:tc>
        <w:tc>
          <w:tcPr>
            <w:tcW w:w="143" w:type="pct"/>
            <w:tcBorders>
              <w:top w:val="nil"/>
              <w:left w:val="nil"/>
              <w:bottom w:val="nil"/>
              <w:right w:val="nil"/>
            </w:tcBorders>
            <w:shd w:val="clear" w:color="000000" w:fill="FFFFFF"/>
            <w:noWrap/>
            <w:vAlign w:val="bottom"/>
            <w:hideMark/>
          </w:tcPr>
          <w:p w14:paraId="7B4D3856"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5C772C9B"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0.492</w:t>
            </w:r>
          </w:p>
        </w:tc>
        <w:tc>
          <w:tcPr>
            <w:tcW w:w="456" w:type="pct"/>
            <w:tcBorders>
              <w:top w:val="nil"/>
              <w:left w:val="nil"/>
              <w:bottom w:val="nil"/>
              <w:right w:val="nil"/>
            </w:tcBorders>
            <w:shd w:val="clear" w:color="000000" w:fill="FFFFFF"/>
            <w:noWrap/>
            <w:vAlign w:val="bottom"/>
            <w:hideMark/>
          </w:tcPr>
          <w:p w14:paraId="62F72FC4"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0.500</w:t>
            </w:r>
          </w:p>
        </w:tc>
        <w:tc>
          <w:tcPr>
            <w:tcW w:w="143" w:type="pct"/>
            <w:tcBorders>
              <w:top w:val="nil"/>
              <w:left w:val="nil"/>
              <w:bottom w:val="nil"/>
              <w:right w:val="nil"/>
            </w:tcBorders>
            <w:shd w:val="clear" w:color="000000" w:fill="FFFFFF"/>
            <w:noWrap/>
            <w:vAlign w:val="bottom"/>
            <w:hideMark/>
          </w:tcPr>
          <w:p w14:paraId="3FF05CE7"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0328D693"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0.458</w:t>
            </w:r>
          </w:p>
        </w:tc>
        <w:tc>
          <w:tcPr>
            <w:tcW w:w="456" w:type="pct"/>
            <w:tcBorders>
              <w:top w:val="nil"/>
              <w:left w:val="nil"/>
              <w:bottom w:val="nil"/>
              <w:right w:val="nil"/>
            </w:tcBorders>
            <w:shd w:val="clear" w:color="000000" w:fill="FFFFFF"/>
            <w:noWrap/>
            <w:vAlign w:val="bottom"/>
            <w:hideMark/>
          </w:tcPr>
          <w:p w14:paraId="50BC71E9"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0.498</w:t>
            </w:r>
          </w:p>
        </w:tc>
        <w:tc>
          <w:tcPr>
            <w:tcW w:w="143" w:type="pct"/>
            <w:tcBorders>
              <w:top w:val="nil"/>
              <w:left w:val="nil"/>
              <w:bottom w:val="nil"/>
              <w:right w:val="nil"/>
            </w:tcBorders>
            <w:shd w:val="clear" w:color="000000" w:fill="FFFFFF"/>
            <w:noWrap/>
            <w:vAlign w:val="bottom"/>
            <w:hideMark/>
          </w:tcPr>
          <w:p w14:paraId="686ACD70"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436" w:type="pct"/>
            <w:tcBorders>
              <w:top w:val="nil"/>
              <w:left w:val="nil"/>
              <w:bottom w:val="nil"/>
              <w:right w:val="nil"/>
            </w:tcBorders>
            <w:shd w:val="clear" w:color="000000" w:fill="FFFFFF"/>
            <w:noWrap/>
            <w:vAlign w:val="bottom"/>
            <w:hideMark/>
          </w:tcPr>
          <w:p w14:paraId="645831B4"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0.514</w:t>
            </w:r>
          </w:p>
        </w:tc>
        <w:tc>
          <w:tcPr>
            <w:tcW w:w="456" w:type="pct"/>
            <w:tcBorders>
              <w:top w:val="nil"/>
              <w:left w:val="nil"/>
              <w:bottom w:val="nil"/>
              <w:right w:val="nil"/>
            </w:tcBorders>
            <w:shd w:val="clear" w:color="000000" w:fill="FFFFFF"/>
            <w:noWrap/>
            <w:vAlign w:val="bottom"/>
            <w:hideMark/>
          </w:tcPr>
          <w:p w14:paraId="2677B570"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0.500</w:t>
            </w:r>
          </w:p>
        </w:tc>
        <w:tc>
          <w:tcPr>
            <w:tcW w:w="143" w:type="pct"/>
            <w:tcBorders>
              <w:top w:val="nil"/>
              <w:left w:val="nil"/>
              <w:bottom w:val="nil"/>
              <w:right w:val="nil"/>
            </w:tcBorders>
            <w:shd w:val="clear" w:color="000000" w:fill="FFFFFF"/>
            <w:noWrap/>
            <w:vAlign w:val="bottom"/>
            <w:hideMark/>
          </w:tcPr>
          <w:p w14:paraId="59784481"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75E8F941"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0.525</w:t>
            </w:r>
          </w:p>
        </w:tc>
        <w:tc>
          <w:tcPr>
            <w:tcW w:w="456" w:type="pct"/>
            <w:tcBorders>
              <w:top w:val="nil"/>
              <w:left w:val="nil"/>
              <w:bottom w:val="nil"/>
              <w:right w:val="nil"/>
            </w:tcBorders>
            <w:shd w:val="clear" w:color="000000" w:fill="FFFFFF"/>
            <w:noWrap/>
            <w:vAlign w:val="bottom"/>
            <w:hideMark/>
          </w:tcPr>
          <w:p w14:paraId="05AF1E24"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0.500</w:t>
            </w:r>
          </w:p>
        </w:tc>
      </w:tr>
      <w:tr w:rsidR="00F43115" w:rsidRPr="00F43115" w14:paraId="63D03B97" w14:textId="77777777" w:rsidTr="00F43115">
        <w:trPr>
          <w:trHeight w:val="290"/>
          <w:jc w:val="center"/>
        </w:trPr>
        <w:tc>
          <w:tcPr>
            <w:tcW w:w="205" w:type="pct"/>
            <w:tcBorders>
              <w:top w:val="nil"/>
              <w:left w:val="nil"/>
              <w:bottom w:val="nil"/>
              <w:right w:val="nil"/>
            </w:tcBorders>
            <w:shd w:val="clear" w:color="000000" w:fill="FFFFFF"/>
            <w:noWrap/>
            <w:vAlign w:val="bottom"/>
            <w:hideMark/>
          </w:tcPr>
          <w:p w14:paraId="3FEF7605"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818" w:type="pct"/>
            <w:tcBorders>
              <w:top w:val="nil"/>
              <w:left w:val="nil"/>
              <w:bottom w:val="nil"/>
              <w:right w:val="nil"/>
            </w:tcBorders>
            <w:shd w:val="clear" w:color="000000" w:fill="FFFFFF"/>
            <w:noWrap/>
            <w:vAlign w:val="center"/>
            <w:hideMark/>
          </w:tcPr>
          <w:p w14:paraId="608F739C" w14:textId="631B0C6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Guaraní</w:t>
            </w:r>
          </w:p>
        </w:tc>
        <w:tc>
          <w:tcPr>
            <w:tcW w:w="143" w:type="pct"/>
            <w:tcBorders>
              <w:top w:val="nil"/>
              <w:left w:val="nil"/>
              <w:bottom w:val="nil"/>
              <w:right w:val="nil"/>
            </w:tcBorders>
            <w:shd w:val="clear" w:color="000000" w:fill="FFFFFF"/>
            <w:noWrap/>
            <w:vAlign w:val="bottom"/>
            <w:hideMark/>
          </w:tcPr>
          <w:p w14:paraId="7A5300AF"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5D4E31AF"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0.434</w:t>
            </w:r>
          </w:p>
        </w:tc>
        <w:tc>
          <w:tcPr>
            <w:tcW w:w="456" w:type="pct"/>
            <w:tcBorders>
              <w:top w:val="nil"/>
              <w:left w:val="nil"/>
              <w:bottom w:val="nil"/>
              <w:right w:val="nil"/>
            </w:tcBorders>
            <w:shd w:val="clear" w:color="000000" w:fill="FFFFFF"/>
            <w:noWrap/>
            <w:vAlign w:val="bottom"/>
            <w:hideMark/>
          </w:tcPr>
          <w:p w14:paraId="1BD4E702"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0.496</w:t>
            </w:r>
          </w:p>
        </w:tc>
        <w:tc>
          <w:tcPr>
            <w:tcW w:w="143" w:type="pct"/>
            <w:tcBorders>
              <w:top w:val="nil"/>
              <w:left w:val="nil"/>
              <w:bottom w:val="nil"/>
              <w:right w:val="nil"/>
            </w:tcBorders>
            <w:shd w:val="clear" w:color="000000" w:fill="FFFFFF"/>
            <w:noWrap/>
            <w:vAlign w:val="bottom"/>
            <w:hideMark/>
          </w:tcPr>
          <w:p w14:paraId="51AF08CC"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42F1687B"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1.000</w:t>
            </w:r>
          </w:p>
        </w:tc>
        <w:tc>
          <w:tcPr>
            <w:tcW w:w="456" w:type="pct"/>
            <w:tcBorders>
              <w:top w:val="nil"/>
              <w:left w:val="nil"/>
              <w:bottom w:val="nil"/>
              <w:right w:val="nil"/>
            </w:tcBorders>
            <w:shd w:val="clear" w:color="000000" w:fill="FFFFFF"/>
            <w:noWrap/>
            <w:vAlign w:val="bottom"/>
            <w:hideMark/>
          </w:tcPr>
          <w:p w14:paraId="4241FF84"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0.000</w:t>
            </w:r>
          </w:p>
        </w:tc>
        <w:tc>
          <w:tcPr>
            <w:tcW w:w="143" w:type="pct"/>
            <w:tcBorders>
              <w:top w:val="nil"/>
              <w:left w:val="nil"/>
              <w:bottom w:val="nil"/>
              <w:right w:val="nil"/>
            </w:tcBorders>
            <w:shd w:val="clear" w:color="000000" w:fill="FFFFFF"/>
            <w:noWrap/>
            <w:vAlign w:val="bottom"/>
            <w:hideMark/>
          </w:tcPr>
          <w:p w14:paraId="78F433B5"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436" w:type="pct"/>
            <w:tcBorders>
              <w:top w:val="nil"/>
              <w:left w:val="nil"/>
              <w:bottom w:val="nil"/>
              <w:right w:val="nil"/>
            </w:tcBorders>
            <w:shd w:val="clear" w:color="000000" w:fill="FFFFFF"/>
            <w:noWrap/>
            <w:vAlign w:val="bottom"/>
            <w:hideMark/>
          </w:tcPr>
          <w:p w14:paraId="4B708EE7"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w:t>
            </w:r>
          </w:p>
        </w:tc>
        <w:tc>
          <w:tcPr>
            <w:tcW w:w="456" w:type="pct"/>
            <w:tcBorders>
              <w:top w:val="nil"/>
              <w:left w:val="nil"/>
              <w:bottom w:val="nil"/>
              <w:right w:val="nil"/>
            </w:tcBorders>
            <w:shd w:val="clear" w:color="000000" w:fill="FFFFFF"/>
            <w:noWrap/>
            <w:vAlign w:val="bottom"/>
            <w:hideMark/>
          </w:tcPr>
          <w:p w14:paraId="38272057"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w:t>
            </w:r>
          </w:p>
        </w:tc>
        <w:tc>
          <w:tcPr>
            <w:tcW w:w="143" w:type="pct"/>
            <w:tcBorders>
              <w:top w:val="nil"/>
              <w:left w:val="nil"/>
              <w:bottom w:val="nil"/>
              <w:right w:val="nil"/>
            </w:tcBorders>
            <w:shd w:val="clear" w:color="000000" w:fill="FFFFFF"/>
            <w:noWrap/>
            <w:vAlign w:val="bottom"/>
            <w:hideMark/>
          </w:tcPr>
          <w:p w14:paraId="50107D13"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239B2915"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w:t>
            </w:r>
          </w:p>
        </w:tc>
        <w:tc>
          <w:tcPr>
            <w:tcW w:w="456" w:type="pct"/>
            <w:tcBorders>
              <w:top w:val="nil"/>
              <w:left w:val="nil"/>
              <w:bottom w:val="nil"/>
              <w:right w:val="nil"/>
            </w:tcBorders>
            <w:shd w:val="clear" w:color="000000" w:fill="FFFFFF"/>
            <w:noWrap/>
            <w:vAlign w:val="bottom"/>
            <w:hideMark/>
          </w:tcPr>
          <w:p w14:paraId="1283C2AE"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w:t>
            </w:r>
          </w:p>
        </w:tc>
      </w:tr>
      <w:tr w:rsidR="00F43115" w:rsidRPr="00F43115" w14:paraId="44683D5F" w14:textId="77777777" w:rsidTr="00F43115">
        <w:trPr>
          <w:trHeight w:val="290"/>
          <w:jc w:val="center"/>
        </w:trPr>
        <w:tc>
          <w:tcPr>
            <w:tcW w:w="205" w:type="pct"/>
            <w:tcBorders>
              <w:top w:val="nil"/>
              <w:left w:val="nil"/>
              <w:bottom w:val="nil"/>
              <w:right w:val="nil"/>
            </w:tcBorders>
            <w:shd w:val="clear" w:color="000000" w:fill="FFFFFF"/>
            <w:noWrap/>
            <w:vAlign w:val="bottom"/>
            <w:hideMark/>
          </w:tcPr>
          <w:p w14:paraId="468AFA67"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818" w:type="pct"/>
            <w:tcBorders>
              <w:top w:val="nil"/>
              <w:left w:val="nil"/>
              <w:bottom w:val="nil"/>
              <w:right w:val="nil"/>
            </w:tcBorders>
            <w:shd w:val="clear" w:color="000000" w:fill="FFFFFF"/>
            <w:noWrap/>
            <w:vAlign w:val="center"/>
            <w:hideMark/>
          </w:tcPr>
          <w:p w14:paraId="5CB5267F"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bilingual</w:t>
            </w:r>
          </w:p>
        </w:tc>
        <w:tc>
          <w:tcPr>
            <w:tcW w:w="143" w:type="pct"/>
            <w:tcBorders>
              <w:top w:val="nil"/>
              <w:left w:val="nil"/>
              <w:bottom w:val="nil"/>
              <w:right w:val="nil"/>
            </w:tcBorders>
            <w:shd w:val="clear" w:color="000000" w:fill="FFFFFF"/>
            <w:noWrap/>
            <w:vAlign w:val="bottom"/>
            <w:hideMark/>
          </w:tcPr>
          <w:p w14:paraId="2C92B140"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12A6B94C"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0.256</w:t>
            </w:r>
          </w:p>
        </w:tc>
        <w:tc>
          <w:tcPr>
            <w:tcW w:w="456" w:type="pct"/>
            <w:tcBorders>
              <w:top w:val="nil"/>
              <w:left w:val="nil"/>
              <w:bottom w:val="nil"/>
              <w:right w:val="nil"/>
            </w:tcBorders>
            <w:shd w:val="clear" w:color="000000" w:fill="FFFFFF"/>
            <w:noWrap/>
            <w:vAlign w:val="bottom"/>
            <w:hideMark/>
          </w:tcPr>
          <w:p w14:paraId="211F524E"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0.437</w:t>
            </w:r>
          </w:p>
        </w:tc>
        <w:tc>
          <w:tcPr>
            <w:tcW w:w="143" w:type="pct"/>
            <w:tcBorders>
              <w:top w:val="nil"/>
              <w:left w:val="nil"/>
              <w:bottom w:val="nil"/>
              <w:right w:val="nil"/>
            </w:tcBorders>
            <w:shd w:val="clear" w:color="000000" w:fill="FFFFFF"/>
            <w:noWrap/>
            <w:vAlign w:val="bottom"/>
            <w:hideMark/>
          </w:tcPr>
          <w:p w14:paraId="49A54EEE"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65D1DD12"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w:t>
            </w:r>
          </w:p>
        </w:tc>
        <w:tc>
          <w:tcPr>
            <w:tcW w:w="456" w:type="pct"/>
            <w:tcBorders>
              <w:top w:val="nil"/>
              <w:left w:val="nil"/>
              <w:bottom w:val="nil"/>
              <w:right w:val="nil"/>
            </w:tcBorders>
            <w:shd w:val="clear" w:color="000000" w:fill="FFFFFF"/>
            <w:noWrap/>
            <w:vAlign w:val="bottom"/>
            <w:hideMark/>
          </w:tcPr>
          <w:p w14:paraId="3F1AE8DC"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w:t>
            </w:r>
          </w:p>
        </w:tc>
        <w:tc>
          <w:tcPr>
            <w:tcW w:w="143" w:type="pct"/>
            <w:tcBorders>
              <w:top w:val="nil"/>
              <w:left w:val="nil"/>
              <w:bottom w:val="nil"/>
              <w:right w:val="nil"/>
            </w:tcBorders>
            <w:shd w:val="clear" w:color="000000" w:fill="FFFFFF"/>
            <w:noWrap/>
            <w:vAlign w:val="bottom"/>
            <w:hideMark/>
          </w:tcPr>
          <w:p w14:paraId="06641A4A"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436" w:type="pct"/>
            <w:tcBorders>
              <w:top w:val="nil"/>
              <w:left w:val="nil"/>
              <w:bottom w:val="nil"/>
              <w:right w:val="nil"/>
            </w:tcBorders>
            <w:shd w:val="clear" w:color="000000" w:fill="FFFFFF"/>
            <w:noWrap/>
            <w:vAlign w:val="bottom"/>
            <w:hideMark/>
          </w:tcPr>
          <w:p w14:paraId="49513E9B"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w:t>
            </w:r>
          </w:p>
        </w:tc>
        <w:tc>
          <w:tcPr>
            <w:tcW w:w="456" w:type="pct"/>
            <w:tcBorders>
              <w:top w:val="nil"/>
              <w:left w:val="nil"/>
              <w:bottom w:val="nil"/>
              <w:right w:val="nil"/>
            </w:tcBorders>
            <w:shd w:val="clear" w:color="000000" w:fill="FFFFFF"/>
            <w:noWrap/>
            <w:vAlign w:val="bottom"/>
            <w:hideMark/>
          </w:tcPr>
          <w:p w14:paraId="4CDBA337"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w:t>
            </w:r>
          </w:p>
        </w:tc>
        <w:tc>
          <w:tcPr>
            <w:tcW w:w="143" w:type="pct"/>
            <w:tcBorders>
              <w:top w:val="nil"/>
              <w:left w:val="nil"/>
              <w:bottom w:val="nil"/>
              <w:right w:val="nil"/>
            </w:tcBorders>
            <w:shd w:val="clear" w:color="000000" w:fill="FFFFFF"/>
            <w:noWrap/>
            <w:vAlign w:val="bottom"/>
            <w:hideMark/>
          </w:tcPr>
          <w:p w14:paraId="211145D5"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2EB0AF7B"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1.000</w:t>
            </w:r>
          </w:p>
        </w:tc>
        <w:tc>
          <w:tcPr>
            <w:tcW w:w="456" w:type="pct"/>
            <w:tcBorders>
              <w:top w:val="nil"/>
              <w:left w:val="nil"/>
              <w:bottom w:val="nil"/>
              <w:right w:val="nil"/>
            </w:tcBorders>
            <w:shd w:val="clear" w:color="000000" w:fill="FFFFFF"/>
            <w:noWrap/>
            <w:vAlign w:val="bottom"/>
            <w:hideMark/>
          </w:tcPr>
          <w:p w14:paraId="4B48D6E0"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0.000</w:t>
            </w:r>
          </w:p>
        </w:tc>
      </w:tr>
      <w:tr w:rsidR="00F43115" w:rsidRPr="00F43115" w14:paraId="482ED8AE" w14:textId="77777777" w:rsidTr="00F43115">
        <w:trPr>
          <w:trHeight w:val="290"/>
          <w:jc w:val="center"/>
        </w:trPr>
        <w:tc>
          <w:tcPr>
            <w:tcW w:w="205" w:type="pct"/>
            <w:tcBorders>
              <w:top w:val="nil"/>
              <w:left w:val="nil"/>
              <w:bottom w:val="nil"/>
              <w:right w:val="nil"/>
            </w:tcBorders>
            <w:shd w:val="clear" w:color="000000" w:fill="FFFFFF"/>
            <w:noWrap/>
            <w:vAlign w:val="bottom"/>
            <w:hideMark/>
          </w:tcPr>
          <w:p w14:paraId="6E0731DC"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818" w:type="pct"/>
            <w:tcBorders>
              <w:top w:val="nil"/>
              <w:left w:val="nil"/>
              <w:bottom w:val="nil"/>
              <w:right w:val="nil"/>
            </w:tcBorders>
            <w:shd w:val="clear" w:color="000000" w:fill="FFFFFF"/>
            <w:noWrap/>
            <w:vAlign w:val="center"/>
            <w:hideMark/>
          </w:tcPr>
          <w:p w14:paraId="2510C8A6" w14:textId="2718CA20"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Spanish</w:t>
            </w:r>
          </w:p>
        </w:tc>
        <w:tc>
          <w:tcPr>
            <w:tcW w:w="143" w:type="pct"/>
            <w:tcBorders>
              <w:top w:val="nil"/>
              <w:left w:val="nil"/>
              <w:bottom w:val="nil"/>
              <w:right w:val="nil"/>
            </w:tcBorders>
            <w:shd w:val="clear" w:color="000000" w:fill="FFFFFF"/>
            <w:noWrap/>
            <w:vAlign w:val="bottom"/>
            <w:hideMark/>
          </w:tcPr>
          <w:p w14:paraId="0FEE485F"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435B239A"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0.310</w:t>
            </w:r>
          </w:p>
        </w:tc>
        <w:tc>
          <w:tcPr>
            <w:tcW w:w="456" w:type="pct"/>
            <w:tcBorders>
              <w:top w:val="nil"/>
              <w:left w:val="nil"/>
              <w:bottom w:val="nil"/>
              <w:right w:val="nil"/>
            </w:tcBorders>
            <w:shd w:val="clear" w:color="000000" w:fill="FFFFFF"/>
            <w:noWrap/>
            <w:vAlign w:val="bottom"/>
            <w:hideMark/>
          </w:tcPr>
          <w:p w14:paraId="1A71A28A"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0.462</w:t>
            </w:r>
          </w:p>
        </w:tc>
        <w:tc>
          <w:tcPr>
            <w:tcW w:w="143" w:type="pct"/>
            <w:tcBorders>
              <w:top w:val="nil"/>
              <w:left w:val="nil"/>
              <w:bottom w:val="nil"/>
              <w:right w:val="nil"/>
            </w:tcBorders>
            <w:shd w:val="clear" w:color="000000" w:fill="FFFFFF"/>
            <w:noWrap/>
            <w:vAlign w:val="bottom"/>
            <w:hideMark/>
          </w:tcPr>
          <w:p w14:paraId="14754893"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726DEAF8"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w:t>
            </w:r>
          </w:p>
        </w:tc>
        <w:tc>
          <w:tcPr>
            <w:tcW w:w="456" w:type="pct"/>
            <w:tcBorders>
              <w:top w:val="nil"/>
              <w:left w:val="nil"/>
              <w:bottom w:val="nil"/>
              <w:right w:val="nil"/>
            </w:tcBorders>
            <w:shd w:val="clear" w:color="000000" w:fill="FFFFFF"/>
            <w:noWrap/>
            <w:vAlign w:val="bottom"/>
            <w:hideMark/>
          </w:tcPr>
          <w:p w14:paraId="7DDC1571"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w:t>
            </w:r>
          </w:p>
        </w:tc>
        <w:tc>
          <w:tcPr>
            <w:tcW w:w="143" w:type="pct"/>
            <w:tcBorders>
              <w:top w:val="nil"/>
              <w:left w:val="nil"/>
              <w:bottom w:val="nil"/>
              <w:right w:val="nil"/>
            </w:tcBorders>
            <w:shd w:val="clear" w:color="000000" w:fill="FFFFFF"/>
            <w:noWrap/>
            <w:vAlign w:val="bottom"/>
            <w:hideMark/>
          </w:tcPr>
          <w:p w14:paraId="7F2F78DF"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436" w:type="pct"/>
            <w:tcBorders>
              <w:top w:val="nil"/>
              <w:left w:val="nil"/>
              <w:bottom w:val="nil"/>
              <w:right w:val="nil"/>
            </w:tcBorders>
            <w:shd w:val="clear" w:color="000000" w:fill="FFFFFF"/>
            <w:noWrap/>
            <w:vAlign w:val="bottom"/>
            <w:hideMark/>
          </w:tcPr>
          <w:p w14:paraId="5B3D07B5"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1.000</w:t>
            </w:r>
          </w:p>
        </w:tc>
        <w:tc>
          <w:tcPr>
            <w:tcW w:w="456" w:type="pct"/>
            <w:tcBorders>
              <w:top w:val="nil"/>
              <w:left w:val="nil"/>
              <w:bottom w:val="nil"/>
              <w:right w:val="nil"/>
            </w:tcBorders>
            <w:shd w:val="clear" w:color="000000" w:fill="FFFFFF"/>
            <w:noWrap/>
            <w:vAlign w:val="bottom"/>
            <w:hideMark/>
          </w:tcPr>
          <w:p w14:paraId="4F5D9EF8"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0.000</w:t>
            </w:r>
          </w:p>
        </w:tc>
        <w:tc>
          <w:tcPr>
            <w:tcW w:w="143" w:type="pct"/>
            <w:tcBorders>
              <w:top w:val="nil"/>
              <w:left w:val="nil"/>
              <w:bottom w:val="nil"/>
              <w:right w:val="nil"/>
            </w:tcBorders>
            <w:shd w:val="clear" w:color="000000" w:fill="FFFFFF"/>
            <w:noWrap/>
            <w:vAlign w:val="bottom"/>
            <w:hideMark/>
          </w:tcPr>
          <w:p w14:paraId="55A85F5E"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375F79BB"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w:t>
            </w:r>
          </w:p>
        </w:tc>
        <w:tc>
          <w:tcPr>
            <w:tcW w:w="456" w:type="pct"/>
            <w:tcBorders>
              <w:top w:val="nil"/>
              <w:left w:val="nil"/>
              <w:bottom w:val="nil"/>
              <w:right w:val="nil"/>
            </w:tcBorders>
            <w:shd w:val="clear" w:color="000000" w:fill="FFFFFF"/>
            <w:noWrap/>
            <w:vAlign w:val="bottom"/>
            <w:hideMark/>
          </w:tcPr>
          <w:p w14:paraId="64CDD9F1"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w:t>
            </w:r>
          </w:p>
        </w:tc>
      </w:tr>
      <w:tr w:rsidR="00F43115" w:rsidRPr="00F43115" w14:paraId="2279BB54" w14:textId="77777777" w:rsidTr="00F43115">
        <w:trPr>
          <w:trHeight w:val="290"/>
          <w:jc w:val="center"/>
        </w:trPr>
        <w:tc>
          <w:tcPr>
            <w:tcW w:w="205" w:type="pct"/>
            <w:tcBorders>
              <w:top w:val="nil"/>
              <w:left w:val="nil"/>
              <w:bottom w:val="nil"/>
              <w:right w:val="nil"/>
            </w:tcBorders>
            <w:shd w:val="clear" w:color="000000" w:fill="FFFFFF"/>
            <w:noWrap/>
            <w:vAlign w:val="bottom"/>
            <w:hideMark/>
          </w:tcPr>
          <w:p w14:paraId="483B54CA"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818" w:type="pct"/>
            <w:tcBorders>
              <w:top w:val="nil"/>
              <w:left w:val="nil"/>
              <w:bottom w:val="nil"/>
              <w:right w:val="nil"/>
            </w:tcBorders>
            <w:shd w:val="clear" w:color="000000" w:fill="FFFFFF"/>
            <w:vAlign w:val="center"/>
            <w:hideMark/>
          </w:tcPr>
          <w:p w14:paraId="2730B176"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firstborn</w:t>
            </w:r>
          </w:p>
        </w:tc>
        <w:tc>
          <w:tcPr>
            <w:tcW w:w="143" w:type="pct"/>
            <w:tcBorders>
              <w:top w:val="nil"/>
              <w:left w:val="nil"/>
              <w:bottom w:val="nil"/>
              <w:right w:val="nil"/>
            </w:tcBorders>
            <w:shd w:val="clear" w:color="000000" w:fill="FFFFFF"/>
            <w:noWrap/>
            <w:vAlign w:val="bottom"/>
            <w:hideMark/>
          </w:tcPr>
          <w:p w14:paraId="1214BACF"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404F60DB"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0.519</w:t>
            </w:r>
          </w:p>
        </w:tc>
        <w:tc>
          <w:tcPr>
            <w:tcW w:w="456" w:type="pct"/>
            <w:tcBorders>
              <w:top w:val="nil"/>
              <w:left w:val="nil"/>
              <w:bottom w:val="nil"/>
              <w:right w:val="nil"/>
            </w:tcBorders>
            <w:shd w:val="clear" w:color="000000" w:fill="FFFFFF"/>
            <w:noWrap/>
            <w:vAlign w:val="bottom"/>
            <w:hideMark/>
          </w:tcPr>
          <w:p w14:paraId="40437A3D"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0.500</w:t>
            </w:r>
          </w:p>
        </w:tc>
        <w:tc>
          <w:tcPr>
            <w:tcW w:w="143" w:type="pct"/>
            <w:tcBorders>
              <w:top w:val="nil"/>
              <w:left w:val="nil"/>
              <w:bottom w:val="nil"/>
              <w:right w:val="nil"/>
            </w:tcBorders>
            <w:shd w:val="clear" w:color="000000" w:fill="FFFFFF"/>
            <w:noWrap/>
            <w:vAlign w:val="bottom"/>
            <w:hideMark/>
          </w:tcPr>
          <w:p w14:paraId="77B55757"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02E49501"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0.471</w:t>
            </w:r>
          </w:p>
        </w:tc>
        <w:tc>
          <w:tcPr>
            <w:tcW w:w="456" w:type="pct"/>
            <w:tcBorders>
              <w:top w:val="nil"/>
              <w:left w:val="nil"/>
              <w:bottom w:val="nil"/>
              <w:right w:val="nil"/>
            </w:tcBorders>
            <w:shd w:val="clear" w:color="000000" w:fill="FFFFFF"/>
            <w:noWrap/>
            <w:vAlign w:val="bottom"/>
            <w:hideMark/>
          </w:tcPr>
          <w:p w14:paraId="1634E629"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0.499</w:t>
            </w:r>
          </w:p>
        </w:tc>
        <w:tc>
          <w:tcPr>
            <w:tcW w:w="143" w:type="pct"/>
            <w:tcBorders>
              <w:top w:val="nil"/>
              <w:left w:val="nil"/>
              <w:bottom w:val="nil"/>
              <w:right w:val="nil"/>
            </w:tcBorders>
            <w:shd w:val="clear" w:color="000000" w:fill="FFFFFF"/>
            <w:noWrap/>
            <w:vAlign w:val="bottom"/>
            <w:hideMark/>
          </w:tcPr>
          <w:p w14:paraId="066E7F7A"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436" w:type="pct"/>
            <w:tcBorders>
              <w:top w:val="nil"/>
              <w:left w:val="nil"/>
              <w:bottom w:val="nil"/>
              <w:right w:val="nil"/>
            </w:tcBorders>
            <w:shd w:val="clear" w:color="000000" w:fill="FFFFFF"/>
            <w:noWrap/>
            <w:vAlign w:val="bottom"/>
            <w:hideMark/>
          </w:tcPr>
          <w:p w14:paraId="581D27DC"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0.573</w:t>
            </w:r>
          </w:p>
        </w:tc>
        <w:tc>
          <w:tcPr>
            <w:tcW w:w="456" w:type="pct"/>
            <w:tcBorders>
              <w:top w:val="nil"/>
              <w:left w:val="nil"/>
              <w:bottom w:val="nil"/>
              <w:right w:val="nil"/>
            </w:tcBorders>
            <w:shd w:val="clear" w:color="000000" w:fill="FFFFFF"/>
            <w:noWrap/>
            <w:vAlign w:val="bottom"/>
            <w:hideMark/>
          </w:tcPr>
          <w:p w14:paraId="718F1A21"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0.495</w:t>
            </w:r>
          </w:p>
        </w:tc>
        <w:tc>
          <w:tcPr>
            <w:tcW w:w="143" w:type="pct"/>
            <w:tcBorders>
              <w:top w:val="nil"/>
              <w:left w:val="nil"/>
              <w:bottom w:val="nil"/>
              <w:right w:val="nil"/>
            </w:tcBorders>
            <w:shd w:val="clear" w:color="000000" w:fill="FFFFFF"/>
            <w:noWrap/>
            <w:vAlign w:val="bottom"/>
            <w:hideMark/>
          </w:tcPr>
          <w:p w14:paraId="19EA63D2"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50041E45"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0.536</w:t>
            </w:r>
          </w:p>
        </w:tc>
        <w:tc>
          <w:tcPr>
            <w:tcW w:w="456" w:type="pct"/>
            <w:tcBorders>
              <w:top w:val="nil"/>
              <w:left w:val="nil"/>
              <w:bottom w:val="nil"/>
              <w:right w:val="nil"/>
            </w:tcBorders>
            <w:shd w:val="clear" w:color="000000" w:fill="FFFFFF"/>
            <w:noWrap/>
            <w:vAlign w:val="bottom"/>
            <w:hideMark/>
          </w:tcPr>
          <w:p w14:paraId="490A12A2"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0.499</w:t>
            </w:r>
          </w:p>
        </w:tc>
      </w:tr>
      <w:tr w:rsidR="00F43115" w:rsidRPr="00F43115" w14:paraId="75284DE4" w14:textId="77777777" w:rsidTr="00F43115">
        <w:trPr>
          <w:trHeight w:val="290"/>
          <w:jc w:val="center"/>
        </w:trPr>
        <w:tc>
          <w:tcPr>
            <w:tcW w:w="205" w:type="pct"/>
            <w:tcBorders>
              <w:top w:val="nil"/>
              <w:left w:val="nil"/>
              <w:bottom w:val="nil"/>
              <w:right w:val="nil"/>
            </w:tcBorders>
            <w:shd w:val="clear" w:color="000000" w:fill="FFFFFF"/>
            <w:noWrap/>
            <w:vAlign w:val="bottom"/>
            <w:hideMark/>
          </w:tcPr>
          <w:p w14:paraId="33143D43"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818" w:type="pct"/>
            <w:tcBorders>
              <w:top w:val="nil"/>
              <w:left w:val="nil"/>
              <w:bottom w:val="nil"/>
              <w:right w:val="nil"/>
            </w:tcBorders>
            <w:shd w:val="clear" w:color="000000" w:fill="FFFFFF"/>
            <w:vAlign w:val="center"/>
            <w:hideMark/>
          </w:tcPr>
          <w:p w14:paraId="2A7F1293"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fbfem</w:t>
            </w:r>
          </w:p>
        </w:tc>
        <w:tc>
          <w:tcPr>
            <w:tcW w:w="143" w:type="pct"/>
            <w:tcBorders>
              <w:top w:val="nil"/>
              <w:left w:val="nil"/>
              <w:bottom w:val="nil"/>
              <w:right w:val="nil"/>
            </w:tcBorders>
            <w:shd w:val="clear" w:color="000000" w:fill="FFFFFF"/>
            <w:noWrap/>
            <w:vAlign w:val="bottom"/>
            <w:hideMark/>
          </w:tcPr>
          <w:p w14:paraId="67F86612"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3F70A41E"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0.252</w:t>
            </w:r>
          </w:p>
        </w:tc>
        <w:tc>
          <w:tcPr>
            <w:tcW w:w="456" w:type="pct"/>
            <w:tcBorders>
              <w:top w:val="nil"/>
              <w:left w:val="nil"/>
              <w:bottom w:val="nil"/>
              <w:right w:val="nil"/>
            </w:tcBorders>
            <w:shd w:val="clear" w:color="000000" w:fill="FFFFFF"/>
            <w:noWrap/>
            <w:vAlign w:val="bottom"/>
            <w:hideMark/>
          </w:tcPr>
          <w:p w14:paraId="5F54FC19"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0.434</w:t>
            </w:r>
          </w:p>
        </w:tc>
        <w:tc>
          <w:tcPr>
            <w:tcW w:w="143" w:type="pct"/>
            <w:tcBorders>
              <w:top w:val="nil"/>
              <w:left w:val="nil"/>
              <w:bottom w:val="nil"/>
              <w:right w:val="nil"/>
            </w:tcBorders>
            <w:shd w:val="clear" w:color="000000" w:fill="FFFFFF"/>
            <w:noWrap/>
            <w:vAlign w:val="bottom"/>
            <w:hideMark/>
          </w:tcPr>
          <w:p w14:paraId="5A5825D2"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02AFC1DC"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0.207</w:t>
            </w:r>
          </w:p>
        </w:tc>
        <w:tc>
          <w:tcPr>
            <w:tcW w:w="456" w:type="pct"/>
            <w:tcBorders>
              <w:top w:val="nil"/>
              <w:left w:val="nil"/>
              <w:bottom w:val="nil"/>
              <w:right w:val="nil"/>
            </w:tcBorders>
            <w:shd w:val="clear" w:color="000000" w:fill="FFFFFF"/>
            <w:noWrap/>
            <w:vAlign w:val="bottom"/>
            <w:hideMark/>
          </w:tcPr>
          <w:p w14:paraId="2BACBCDC"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0.405</w:t>
            </w:r>
          </w:p>
        </w:tc>
        <w:tc>
          <w:tcPr>
            <w:tcW w:w="143" w:type="pct"/>
            <w:tcBorders>
              <w:top w:val="nil"/>
              <w:left w:val="nil"/>
              <w:bottom w:val="nil"/>
              <w:right w:val="nil"/>
            </w:tcBorders>
            <w:shd w:val="clear" w:color="000000" w:fill="FFFFFF"/>
            <w:noWrap/>
            <w:vAlign w:val="bottom"/>
            <w:hideMark/>
          </w:tcPr>
          <w:p w14:paraId="1CD616A6"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436" w:type="pct"/>
            <w:tcBorders>
              <w:top w:val="nil"/>
              <w:left w:val="nil"/>
              <w:bottom w:val="nil"/>
              <w:right w:val="nil"/>
            </w:tcBorders>
            <w:shd w:val="clear" w:color="000000" w:fill="FFFFFF"/>
            <w:noWrap/>
            <w:vAlign w:val="bottom"/>
            <w:hideMark/>
          </w:tcPr>
          <w:p w14:paraId="5C2F96CD"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0.292</w:t>
            </w:r>
          </w:p>
        </w:tc>
        <w:tc>
          <w:tcPr>
            <w:tcW w:w="456" w:type="pct"/>
            <w:tcBorders>
              <w:top w:val="nil"/>
              <w:left w:val="nil"/>
              <w:bottom w:val="nil"/>
              <w:right w:val="nil"/>
            </w:tcBorders>
            <w:shd w:val="clear" w:color="000000" w:fill="FFFFFF"/>
            <w:noWrap/>
            <w:vAlign w:val="bottom"/>
            <w:hideMark/>
          </w:tcPr>
          <w:p w14:paraId="28B90EAA"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0.455</w:t>
            </w:r>
          </w:p>
        </w:tc>
        <w:tc>
          <w:tcPr>
            <w:tcW w:w="143" w:type="pct"/>
            <w:tcBorders>
              <w:top w:val="nil"/>
              <w:left w:val="nil"/>
              <w:bottom w:val="nil"/>
              <w:right w:val="nil"/>
            </w:tcBorders>
            <w:shd w:val="clear" w:color="000000" w:fill="FFFFFF"/>
            <w:noWrap/>
            <w:vAlign w:val="bottom"/>
            <w:hideMark/>
          </w:tcPr>
          <w:p w14:paraId="5E746194"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31D05218"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0.282</w:t>
            </w:r>
          </w:p>
        </w:tc>
        <w:tc>
          <w:tcPr>
            <w:tcW w:w="456" w:type="pct"/>
            <w:tcBorders>
              <w:top w:val="nil"/>
              <w:left w:val="nil"/>
              <w:bottom w:val="nil"/>
              <w:right w:val="nil"/>
            </w:tcBorders>
            <w:shd w:val="clear" w:color="000000" w:fill="FFFFFF"/>
            <w:noWrap/>
            <w:vAlign w:val="bottom"/>
            <w:hideMark/>
          </w:tcPr>
          <w:p w14:paraId="1FEA28B4"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0.450</w:t>
            </w:r>
          </w:p>
        </w:tc>
      </w:tr>
      <w:tr w:rsidR="00F43115" w:rsidRPr="00F43115" w14:paraId="634385A7" w14:textId="77777777" w:rsidTr="00F43115">
        <w:trPr>
          <w:trHeight w:val="290"/>
          <w:jc w:val="center"/>
        </w:trPr>
        <w:tc>
          <w:tcPr>
            <w:tcW w:w="205" w:type="pct"/>
            <w:tcBorders>
              <w:top w:val="nil"/>
              <w:left w:val="nil"/>
              <w:bottom w:val="nil"/>
              <w:right w:val="nil"/>
            </w:tcBorders>
            <w:shd w:val="clear" w:color="000000" w:fill="FFFFFF"/>
            <w:noWrap/>
            <w:vAlign w:val="bottom"/>
            <w:hideMark/>
          </w:tcPr>
          <w:p w14:paraId="26410F21"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818" w:type="pct"/>
            <w:tcBorders>
              <w:top w:val="nil"/>
              <w:left w:val="nil"/>
              <w:bottom w:val="nil"/>
              <w:right w:val="nil"/>
            </w:tcBorders>
            <w:shd w:val="clear" w:color="000000" w:fill="FFFFFF"/>
            <w:vAlign w:val="center"/>
            <w:hideMark/>
          </w:tcPr>
          <w:p w14:paraId="28EE1CA9"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fbru</w:t>
            </w:r>
          </w:p>
        </w:tc>
        <w:tc>
          <w:tcPr>
            <w:tcW w:w="143" w:type="pct"/>
            <w:tcBorders>
              <w:top w:val="nil"/>
              <w:left w:val="nil"/>
              <w:bottom w:val="nil"/>
              <w:right w:val="nil"/>
            </w:tcBorders>
            <w:shd w:val="clear" w:color="000000" w:fill="FFFFFF"/>
            <w:noWrap/>
            <w:vAlign w:val="bottom"/>
            <w:hideMark/>
          </w:tcPr>
          <w:p w14:paraId="51CE57A9"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7405C72F"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0.201</w:t>
            </w:r>
          </w:p>
        </w:tc>
        <w:tc>
          <w:tcPr>
            <w:tcW w:w="456" w:type="pct"/>
            <w:tcBorders>
              <w:top w:val="nil"/>
              <w:left w:val="nil"/>
              <w:bottom w:val="nil"/>
              <w:right w:val="nil"/>
            </w:tcBorders>
            <w:shd w:val="clear" w:color="000000" w:fill="FFFFFF"/>
            <w:noWrap/>
            <w:vAlign w:val="bottom"/>
            <w:hideMark/>
          </w:tcPr>
          <w:p w14:paraId="1CB73948"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0.401</w:t>
            </w:r>
          </w:p>
        </w:tc>
        <w:tc>
          <w:tcPr>
            <w:tcW w:w="143" w:type="pct"/>
            <w:tcBorders>
              <w:top w:val="nil"/>
              <w:left w:val="nil"/>
              <w:bottom w:val="nil"/>
              <w:right w:val="nil"/>
            </w:tcBorders>
            <w:shd w:val="clear" w:color="000000" w:fill="FFFFFF"/>
            <w:noWrap/>
            <w:vAlign w:val="bottom"/>
            <w:hideMark/>
          </w:tcPr>
          <w:p w14:paraId="3C1D4584"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4A00A1EF"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0.306</w:t>
            </w:r>
          </w:p>
        </w:tc>
        <w:tc>
          <w:tcPr>
            <w:tcW w:w="456" w:type="pct"/>
            <w:tcBorders>
              <w:top w:val="nil"/>
              <w:left w:val="nil"/>
              <w:bottom w:val="nil"/>
              <w:right w:val="nil"/>
            </w:tcBorders>
            <w:shd w:val="clear" w:color="000000" w:fill="FFFFFF"/>
            <w:noWrap/>
            <w:vAlign w:val="bottom"/>
            <w:hideMark/>
          </w:tcPr>
          <w:p w14:paraId="15512485"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0.461</w:t>
            </w:r>
          </w:p>
        </w:tc>
        <w:tc>
          <w:tcPr>
            <w:tcW w:w="143" w:type="pct"/>
            <w:tcBorders>
              <w:top w:val="nil"/>
              <w:left w:val="nil"/>
              <w:bottom w:val="nil"/>
              <w:right w:val="nil"/>
            </w:tcBorders>
            <w:shd w:val="clear" w:color="000000" w:fill="FFFFFF"/>
            <w:noWrap/>
            <w:vAlign w:val="bottom"/>
            <w:hideMark/>
          </w:tcPr>
          <w:p w14:paraId="64F2BBDC"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436" w:type="pct"/>
            <w:tcBorders>
              <w:top w:val="nil"/>
              <w:left w:val="nil"/>
              <w:bottom w:val="nil"/>
              <w:right w:val="nil"/>
            </w:tcBorders>
            <w:shd w:val="clear" w:color="000000" w:fill="FFFFFF"/>
            <w:noWrap/>
            <w:vAlign w:val="bottom"/>
            <w:hideMark/>
          </w:tcPr>
          <w:p w14:paraId="4F1DD3F1"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0.072</w:t>
            </w:r>
          </w:p>
        </w:tc>
        <w:tc>
          <w:tcPr>
            <w:tcW w:w="456" w:type="pct"/>
            <w:tcBorders>
              <w:top w:val="nil"/>
              <w:left w:val="nil"/>
              <w:bottom w:val="nil"/>
              <w:right w:val="nil"/>
            </w:tcBorders>
            <w:shd w:val="clear" w:color="000000" w:fill="FFFFFF"/>
            <w:noWrap/>
            <w:vAlign w:val="bottom"/>
            <w:hideMark/>
          </w:tcPr>
          <w:p w14:paraId="4658A967"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0.259</w:t>
            </w:r>
          </w:p>
        </w:tc>
        <w:tc>
          <w:tcPr>
            <w:tcW w:w="143" w:type="pct"/>
            <w:tcBorders>
              <w:top w:val="nil"/>
              <w:left w:val="nil"/>
              <w:bottom w:val="nil"/>
              <w:right w:val="nil"/>
            </w:tcBorders>
            <w:shd w:val="clear" w:color="000000" w:fill="FFFFFF"/>
            <w:noWrap/>
            <w:vAlign w:val="bottom"/>
            <w:hideMark/>
          </w:tcPr>
          <w:p w14:paraId="5267C0FD"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71638B50"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0.179</w:t>
            </w:r>
          </w:p>
        </w:tc>
        <w:tc>
          <w:tcPr>
            <w:tcW w:w="456" w:type="pct"/>
            <w:tcBorders>
              <w:top w:val="nil"/>
              <w:left w:val="nil"/>
              <w:bottom w:val="nil"/>
              <w:right w:val="nil"/>
            </w:tcBorders>
            <w:shd w:val="clear" w:color="000000" w:fill="FFFFFF"/>
            <w:noWrap/>
            <w:vAlign w:val="bottom"/>
            <w:hideMark/>
          </w:tcPr>
          <w:p w14:paraId="12E4815D"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0.384</w:t>
            </w:r>
          </w:p>
        </w:tc>
      </w:tr>
      <w:tr w:rsidR="00F43115" w:rsidRPr="00F43115" w14:paraId="70ABEBFB" w14:textId="77777777" w:rsidTr="00F43115">
        <w:trPr>
          <w:trHeight w:val="290"/>
          <w:jc w:val="center"/>
        </w:trPr>
        <w:tc>
          <w:tcPr>
            <w:tcW w:w="205" w:type="pct"/>
            <w:tcBorders>
              <w:top w:val="nil"/>
              <w:left w:val="nil"/>
              <w:bottom w:val="nil"/>
              <w:right w:val="nil"/>
            </w:tcBorders>
            <w:shd w:val="clear" w:color="000000" w:fill="FFFFFF"/>
            <w:noWrap/>
            <w:vAlign w:val="bottom"/>
            <w:hideMark/>
          </w:tcPr>
          <w:p w14:paraId="306B52B4"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lastRenderedPageBreak/>
              <w:t> </w:t>
            </w:r>
          </w:p>
        </w:tc>
        <w:tc>
          <w:tcPr>
            <w:tcW w:w="818" w:type="pct"/>
            <w:tcBorders>
              <w:top w:val="nil"/>
              <w:left w:val="nil"/>
              <w:bottom w:val="nil"/>
              <w:right w:val="nil"/>
            </w:tcBorders>
            <w:shd w:val="clear" w:color="000000" w:fill="FFFFFF"/>
            <w:vAlign w:val="center"/>
            <w:hideMark/>
          </w:tcPr>
          <w:p w14:paraId="2050809C"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health_ins</w:t>
            </w:r>
          </w:p>
        </w:tc>
        <w:tc>
          <w:tcPr>
            <w:tcW w:w="143" w:type="pct"/>
            <w:tcBorders>
              <w:top w:val="nil"/>
              <w:left w:val="nil"/>
              <w:bottom w:val="nil"/>
              <w:right w:val="nil"/>
            </w:tcBorders>
            <w:shd w:val="clear" w:color="000000" w:fill="FFFFFF"/>
            <w:noWrap/>
            <w:vAlign w:val="bottom"/>
            <w:hideMark/>
          </w:tcPr>
          <w:p w14:paraId="4B62A382"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22278CF8"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0.196</w:t>
            </w:r>
          </w:p>
        </w:tc>
        <w:tc>
          <w:tcPr>
            <w:tcW w:w="456" w:type="pct"/>
            <w:tcBorders>
              <w:top w:val="nil"/>
              <w:left w:val="nil"/>
              <w:bottom w:val="nil"/>
              <w:right w:val="nil"/>
            </w:tcBorders>
            <w:shd w:val="clear" w:color="000000" w:fill="FFFFFF"/>
            <w:noWrap/>
            <w:vAlign w:val="bottom"/>
            <w:hideMark/>
          </w:tcPr>
          <w:p w14:paraId="6257B84B"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0.397</w:t>
            </w:r>
          </w:p>
        </w:tc>
        <w:tc>
          <w:tcPr>
            <w:tcW w:w="143" w:type="pct"/>
            <w:tcBorders>
              <w:top w:val="nil"/>
              <w:left w:val="nil"/>
              <w:bottom w:val="nil"/>
              <w:right w:val="nil"/>
            </w:tcBorders>
            <w:shd w:val="clear" w:color="000000" w:fill="FFFFFF"/>
            <w:noWrap/>
            <w:vAlign w:val="bottom"/>
            <w:hideMark/>
          </w:tcPr>
          <w:p w14:paraId="5A4609E8"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4BF7025D"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0.050</w:t>
            </w:r>
          </w:p>
        </w:tc>
        <w:tc>
          <w:tcPr>
            <w:tcW w:w="456" w:type="pct"/>
            <w:tcBorders>
              <w:top w:val="nil"/>
              <w:left w:val="nil"/>
              <w:bottom w:val="nil"/>
              <w:right w:val="nil"/>
            </w:tcBorders>
            <w:shd w:val="clear" w:color="000000" w:fill="FFFFFF"/>
            <w:noWrap/>
            <w:vAlign w:val="bottom"/>
            <w:hideMark/>
          </w:tcPr>
          <w:p w14:paraId="5E229801"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0.218</w:t>
            </w:r>
          </w:p>
        </w:tc>
        <w:tc>
          <w:tcPr>
            <w:tcW w:w="143" w:type="pct"/>
            <w:tcBorders>
              <w:top w:val="nil"/>
              <w:left w:val="nil"/>
              <w:bottom w:val="nil"/>
              <w:right w:val="nil"/>
            </w:tcBorders>
            <w:shd w:val="clear" w:color="000000" w:fill="FFFFFF"/>
            <w:noWrap/>
            <w:vAlign w:val="bottom"/>
            <w:hideMark/>
          </w:tcPr>
          <w:p w14:paraId="702E3F9E"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436" w:type="pct"/>
            <w:tcBorders>
              <w:top w:val="nil"/>
              <w:left w:val="nil"/>
              <w:bottom w:val="nil"/>
              <w:right w:val="nil"/>
            </w:tcBorders>
            <w:shd w:val="clear" w:color="000000" w:fill="FFFFFF"/>
            <w:noWrap/>
            <w:vAlign w:val="bottom"/>
            <w:hideMark/>
          </w:tcPr>
          <w:p w14:paraId="394B87C3"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0.398</w:t>
            </w:r>
          </w:p>
        </w:tc>
        <w:tc>
          <w:tcPr>
            <w:tcW w:w="456" w:type="pct"/>
            <w:tcBorders>
              <w:top w:val="nil"/>
              <w:left w:val="nil"/>
              <w:bottom w:val="nil"/>
              <w:right w:val="nil"/>
            </w:tcBorders>
            <w:shd w:val="clear" w:color="000000" w:fill="FFFFFF"/>
            <w:noWrap/>
            <w:vAlign w:val="bottom"/>
            <w:hideMark/>
          </w:tcPr>
          <w:p w14:paraId="21A404F4"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0.490</w:t>
            </w:r>
          </w:p>
        </w:tc>
        <w:tc>
          <w:tcPr>
            <w:tcW w:w="143" w:type="pct"/>
            <w:tcBorders>
              <w:top w:val="nil"/>
              <w:left w:val="nil"/>
              <w:bottom w:val="nil"/>
              <w:right w:val="nil"/>
            </w:tcBorders>
            <w:shd w:val="clear" w:color="000000" w:fill="FFFFFF"/>
            <w:noWrap/>
            <w:vAlign w:val="bottom"/>
            <w:hideMark/>
          </w:tcPr>
          <w:p w14:paraId="2C5ED890"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4DA6D092"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0.198</w:t>
            </w:r>
          </w:p>
        </w:tc>
        <w:tc>
          <w:tcPr>
            <w:tcW w:w="456" w:type="pct"/>
            <w:tcBorders>
              <w:top w:val="nil"/>
              <w:left w:val="nil"/>
              <w:bottom w:val="nil"/>
              <w:right w:val="nil"/>
            </w:tcBorders>
            <w:shd w:val="clear" w:color="000000" w:fill="FFFFFF"/>
            <w:noWrap/>
            <w:vAlign w:val="bottom"/>
            <w:hideMark/>
          </w:tcPr>
          <w:p w14:paraId="139C5D17"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0.399</w:t>
            </w:r>
          </w:p>
        </w:tc>
      </w:tr>
      <w:tr w:rsidR="00F43115" w:rsidRPr="00F43115" w14:paraId="34A9582B" w14:textId="77777777" w:rsidTr="00F43115">
        <w:trPr>
          <w:trHeight w:val="290"/>
          <w:jc w:val="center"/>
        </w:trPr>
        <w:tc>
          <w:tcPr>
            <w:tcW w:w="205" w:type="pct"/>
            <w:tcBorders>
              <w:top w:val="nil"/>
              <w:left w:val="nil"/>
              <w:bottom w:val="nil"/>
              <w:right w:val="nil"/>
            </w:tcBorders>
            <w:shd w:val="clear" w:color="000000" w:fill="FFFFFF"/>
            <w:noWrap/>
            <w:vAlign w:val="bottom"/>
            <w:hideMark/>
          </w:tcPr>
          <w:p w14:paraId="0E88F7F8"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818" w:type="pct"/>
            <w:tcBorders>
              <w:top w:val="nil"/>
              <w:left w:val="nil"/>
              <w:bottom w:val="nil"/>
              <w:right w:val="nil"/>
            </w:tcBorders>
            <w:shd w:val="clear" w:color="000000" w:fill="FFFFFF"/>
            <w:vAlign w:val="center"/>
            <w:hideMark/>
          </w:tcPr>
          <w:p w14:paraId="379D9B45"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dropout</w:t>
            </w:r>
          </w:p>
        </w:tc>
        <w:tc>
          <w:tcPr>
            <w:tcW w:w="143" w:type="pct"/>
            <w:tcBorders>
              <w:top w:val="nil"/>
              <w:left w:val="nil"/>
              <w:bottom w:val="nil"/>
              <w:right w:val="nil"/>
            </w:tcBorders>
            <w:shd w:val="clear" w:color="000000" w:fill="FFFFFF"/>
            <w:noWrap/>
            <w:vAlign w:val="bottom"/>
            <w:hideMark/>
          </w:tcPr>
          <w:p w14:paraId="345A660E"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0B0A0593"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0.082</w:t>
            </w:r>
          </w:p>
        </w:tc>
        <w:tc>
          <w:tcPr>
            <w:tcW w:w="456" w:type="pct"/>
            <w:tcBorders>
              <w:top w:val="nil"/>
              <w:left w:val="nil"/>
              <w:bottom w:val="nil"/>
              <w:right w:val="nil"/>
            </w:tcBorders>
            <w:shd w:val="clear" w:color="000000" w:fill="FFFFFF"/>
            <w:noWrap/>
            <w:vAlign w:val="bottom"/>
            <w:hideMark/>
          </w:tcPr>
          <w:p w14:paraId="1A848DC1"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0.274</w:t>
            </w:r>
          </w:p>
        </w:tc>
        <w:tc>
          <w:tcPr>
            <w:tcW w:w="143" w:type="pct"/>
            <w:tcBorders>
              <w:top w:val="nil"/>
              <w:left w:val="nil"/>
              <w:bottom w:val="nil"/>
              <w:right w:val="nil"/>
            </w:tcBorders>
            <w:shd w:val="clear" w:color="000000" w:fill="FFFFFF"/>
            <w:noWrap/>
            <w:vAlign w:val="bottom"/>
            <w:hideMark/>
          </w:tcPr>
          <w:p w14:paraId="6A3EE52D"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09EAD4CE"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0.140</w:t>
            </w:r>
          </w:p>
        </w:tc>
        <w:tc>
          <w:tcPr>
            <w:tcW w:w="456" w:type="pct"/>
            <w:tcBorders>
              <w:top w:val="nil"/>
              <w:left w:val="nil"/>
              <w:bottom w:val="nil"/>
              <w:right w:val="nil"/>
            </w:tcBorders>
            <w:shd w:val="clear" w:color="000000" w:fill="FFFFFF"/>
            <w:noWrap/>
            <w:vAlign w:val="bottom"/>
            <w:hideMark/>
          </w:tcPr>
          <w:p w14:paraId="10F29411"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0.347</w:t>
            </w:r>
          </w:p>
        </w:tc>
        <w:tc>
          <w:tcPr>
            <w:tcW w:w="143" w:type="pct"/>
            <w:tcBorders>
              <w:top w:val="nil"/>
              <w:left w:val="nil"/>
              <w:bottom w:val="nil"/>
              <w:right w:val="nil"/>
            </w:tcBorders>
            <w:shd w:val="clear" w:color="000000" w:fill="FFFFFF"/>
            <w:noWrap/>
            <w:vAlign w:val="bottom"/>
            <w:hideMark/>
          </w:tcPr>
          <w:p w14:paraId="4527109D"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436" w:type="pct"/>
            <w:tcBorders>
              <w:top w:val="nil"/>
              <w:left w:val="nil"/>
              <w:bottom w:val="nil"/>
              <w:right w:val="nil"/>
            </w:tcBorders>
            <w:shd w:val="clear" w:color="000000" w:fill="FFFFFF"/>
            <w:noWrap/>
            <w:vAlign w:val="bottom"/>
            <w:hideMark/>
          </w:tcPr>
          <w:p w14:paraId="06B538F8"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0.022</w:t>
            </w:r>
          </w:p>
        </w:tc>
        <w:tc>
          <w:tcPr>
            <w:tcW w:w="456" w:type="pct"/>
            <w:tcBorders>
              <w:top w:val="nil"/>
              <w:left w:val="nil"/>
              <w:bottom w:val="nil"/>
              <w:right w:val="nil"/>
            </w:tcBorders>
            <w:shd w:val="clear" w:color="000000" w:fill="FFFFFF"/>
            <w:noWrap/>
            <w:vAlign w:val="bottom"/>
            <w:hideMark/>
          </w:tcPr>
          <w:p w14:paraId="71574514"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0.146</w:t>
            </w:r>
          </w:p>
        </w:tc>
        <w:tc>
          <w:tcPr>
            <w:tcW w:w="143" w:type="pct"/>
            <w:tcBorders>
              <w:top w:val="nil"/>
              <w:left w:val="nil"/>
              <w:bottom w:val="nil"/>
              <w:right w:val="nil"/>
            </w:tcBorders>
            <w:shd w:val="clear" w:color="000000" w:fill="FFFFFF"/>
            <w:noWrap/>
            <w:vAlign w:val="bottom"/>
            <w:hideMark/>
          </w:tcPr>
          <w:p w14:paraId="3C01F8F1"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32B805F3"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0.056</w:t>
            </w:r>
          </w:p>
        </w:tc>
        <w:tc>
          <w:tcPr>
            <w:tcW w:w="456" w:type="pct"/>
            <w:tcBorders>
              <w:top w:val="nil"/>
              <w:left w:val="nil"/>
              <w:bottom w:val="nil"/>
              <w:right w:val="nil"/>
            </w:tcBorders>
            <w:shd w:val="clear" w:color="000000" w:fill="FFFFFF"/>
            <w:noWrap/>
            <w:vAlign w:val="bottom"/>
            <w:hideMark/>
          </w:tcPr>
          <w:p w14:paraId="58C9114B"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0.231</w:t>
            </w:r>
          </w:p>
        </w:tc>
      </w:tr>
      <w:tr w:rsidR="00F43115" w:rsidRPr="00F43115" w14:paraId="6AFE0D8E" w14:textId="77777777" w:rsidTr="00F43115">
        <w:trPr>
          <w:trHeight w:val="360"/>
          <w:jc w:val="center"/>
        </w:trPr>
        <w:tc>
          <w:tcPr>
            <w:tcW w:w="5000" w:type="pct"/>
            <w:gridSpan w:val="14"/>
            <w:tcBorders>
              <w:top w:val="nil"/>
              <w:left w:val="nil"/>
              <w:bottom w:val="nil"/>
              <w:right w:val="nil"/>
            </w:tcBorders>
            <w:shd w:val="clear" w:color="000000" w:fill="FFFFFF"/>
            <w:noWrap/>
            <w:vAlign w:val="center"/>
            <w:hideMark/>
          </w:tcPr>
          <w:p w14:paraId="52824781" w14:textId="19CA5815" w:rsidR="00F43115" w:rsidRPr="00F43115" w:rsidRDefault="00F43115" w:rsidP="00F43115">
            <w:pPr>
              <w:spacing w:line="240" w:lineRule="auto"/>
              <w:rPr>
                <w:i/>
                <w:iCs/>
                <w:color w:val="000000"/>
                <w:sz w:val="22"/>
                <w:szCs w:val="22"/>
                <w:u w:val="single"/>
                <w:lang w:val="en-US" w:eastAsia="en-US"/>
              </w:rPr>
            </w:pPr>
            <w:r w:rsidRPr="00F43115">
              <w:rPr>
                <w:i/>
                <w:iCs/>
                <w:color w:val="000000"/>
                <w:sz w:val="22"/>
                <w:szCs w:val="22"/>
                <w:u w:val="single"/>
                <w:lang w:val="en-US" w:eastAsia="en-US"/>
              </w:rPr>
              <w:t>Family and Household Characteristics</w:t>
            </w:r>
          </w:p>
        </w:tc>
      </w:tr>
      <w:tr w:rsidR="00F43115" w:rsidRPr="00F43115" w14:paraId="64D9C1BE" w14:textId="77777777" w:rsidTr="00F43115">
        <w:trPr>
          <w:trHeight w:val="290"/>
          <w:jc w:val="center"/>
        </w:trPr>
        <w:tc>
          <w:tcPr>
            <w:tcW w:w="205" w:type="pct"/>
            <w:tcBorders>
              <w:top w:val="nil"/>
              <w:left w:val="nil"/>
              <w:bottom w:val="nil"/>
              <w:right w:val="nil"/>
            </w:tcBorders>
            <w:shd w:val="clear" w:color="000000" w:fill="FFFFFF"/>
            <w:noWrap/>
            <w:vAlign w:val="bottom"/>
            <w:hideMark/>
          </w:tcPr>
          <w:p w14:paraId="2F5AFDCB"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818" w:type="pct"/>
            <w:tcBorders>
              <w:top w:val="nil"/>
              <w:left w:val="nil"/>
              <w:bottom w:val="nil"/>
              <w:right w:val="nil"/>
            </w:tcBorders>
            <w:shd w:val="clear" w:color="000000" w:fill="FFFFFF"/>
            <w:noWrap/>
            <w:vAlign w:val="center"/>
            <w:hideMark/>
          </w:tcPr>
          <w:p w14:paraId="50C71C4D"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fem_scho</w:t>
            </w:r>
          </w:p>
        </w:tc>
        <w:tc>
          <w:tcPr>
            <w:tcW w:w="143" w:type="pct"/>
            <w:tcBorders>
              <w:top w:val="nil"/>
              <w:left w:val="nil"/>
              <w:bottom w:val="nil"/>
              <w:right w:val="nil"/>
            </w:tcBorders>
            <w:shd w:val="clear" w:color="000000" w:fill="FFFFFF"/>
            <w:noWrap/>
            <w:vAlign w:val="bottom"/>
            <w:hideMark/>
          </w:tcPr>
          <w:p w14:paraId="0195A1B9"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6469F153"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7.717</w:t>
            </w:r>
          </w:p>
        </w:tc>
        <w:tc>
          <w:tcPr>
            <w:tcW w:w="456" w:type="pct"/>
            <w:tcBorders>
              <w:top w:val="nil"/>
              <w:left w:val="nil"/>
              <w:bottom w:val="nil"/>
              <w:right w:val="nil"/>
            </w:tcBorders>
            <w:shd w:val="clear" w:color="000000" w:fill="FFFFFF"/>
            <w:noWrap/>
            <w:vAlign w:val="bottom"/>
            <w:hideMark/>
          </w:tcPr>
          <w:p w14:paraId="4F5BE30E"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4.905</w:t>
            </w:r>
          </w:p>
        </w:tc>
        <w:tc>
          <w:tcPr>
            <w:tcW w:w="143" w:type="pct"/>
            <w:tcBorders>
              <w:top w:val="nil"/>
              <w:left w:val="nil"/>
              <w:bottom w:val="nil"/>
              <w:right w:val="nil"/>
            </w:tcBorders>
            <w:shd w:val="clear" w:color="000000" w:fill="FFFFFF"/>
            <w:noWrap/>
            <w:vAlign w:val="bottom"/>
            <w:hideMark/>
          </w:tcPr>
          <w:p w14:paraId="13227697"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2C2C44EA"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5.311</w:t>
            </w:r>
          </w:p>
        </w:tc>
        <w:tc>
          <w:tcPr>
            <w:tcW w:w="456" w:type="pct"/>
            <w:tcBorders>
              <w:top w:val="nil"/>
              <w:left w:val="nil"/>
              <w:bottom w:val="nil"/>
              <w:right w:val="nil"/>
            </w:tcBorders>
            <w:shd w:val="clear" w:color="000000" w:fill="FFFFFF"/>
            <w:noWrap/>
            <w:vAlign w:val="bottom"/>
            <w:hideMark/>
          </w:tcPr>
          <w:p w14:paraId="395C987B"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3.743</w:t>
            </w:r>
          </w:p>
        </w:tc>
        <w:tc>
          <w:tcPr>
            <w:tcW w:w="143" w:type="pct"/>
            <w:tcBorders>
              <w:top w:val="nil"/>
              <w:left w:val="nil"/>
              <w:bottom w:val="nil"/>
              <w:right w:val="nil"/>
            </w:tcBorders>
            <w:shd w:val="clear" w:color="000000" w:fill="FFFFFF"/>
            <w:noWrap/>
            <w:vAlign w:val="bottom"/>
            <w:hideMark/>
          </w:tcPr>
          <w:p w14:paraId="3052677F"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436" w:type="pct"/>
            <w:tcBorders>
              <w:top w:val="nil"/>
              <w:left w:val="nil"/>
              <w:bottom w:val="nil"/>
              <w:right w:val="nil"/>
            </w:tcBorders>
            <w:shd w:val="clear" w:color="000000" w:fill="FFFFFF"/>
            <w:noWrap/>
            <w:vAlign w:val="bottom"/>
            <w:hideMark/>
          </w:tcPr>
          <w:p w14:paraId="6459518B"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10.979</w:t>
            </w:r>
          </w:p>
        </w:tc>
        <w:tc>
          <w:tcPr>
            <w:tcW w:w="456" w:type="pct"/>
            <w:tcBorders>
              <w:top w:val="nil"/>
              <w:left w:val="nil"/>
              <w:bottom w:val="nil"/>
              <w:right w:val="nil"/>
            </w:tcBorders>
            <w:shd w:val="clear" w:color="000000" w:fill="FFFFFF"/>
            <w:noWrap/>
            <w:vAlign w:val="bottom"/>
            <w:hideMark/>
          </w:tcPr>
          <w:p w14:paraId="519A3C9A"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4.595</w:t>
            </w:r>
          </w:p>
        </w:tc>
        <w:tc>
          <w:tcPr>
            <w:tcW w:w="143" w:type="pct"/>
            <w:tcBorders>
              <w:top w:val="nil"/>
              <w:left w:val="nil"/>
              <w:bottom w:val="nil"/>
              <w:right w:val="nil"/>
            </w:tcBorders>
            <w:shd w:val="clear" w:color="000000" w:fill="FFFFFF"/>
            <w:noWrap/>
            <w:vAlign w:val="bottom"/>
            <w:hideMark/>
          </w:tcPr>
          <w:p w14:paraId="2513CA7F"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034C28DB"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8.546</w:t>
            </w:r>
          </w:p>
        </w:tc>
        <w:tc>
          <w:tcPr>
            <w:tcW w:w="456" w:type="pct"/>
            <w:tcBorders>
              <w:top w:val="nil"/>
              <w:left w:val="nil"/>
              <w:bottom w:val="nil"/>
              <w:right w:val="nil"/>
            </w:tcBorders>
            <w:shd w:val="clear" w:color="000000" w:fill="FFFFFF"/>
            <w:noWrap/>
            <w:vAlign w:val="bottom"/>
            <w:hideMark/>
          </w:tcPr>
          <w:p w14:paraId="1BC80E50"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4.472</w:t>
            </w:r>
          </w:p>
        </w:tc>
      </w:tr>
      <w:tr w:rsidR="00F43115" w:rsidRPr="00F43115" w14:paraId="038DAABE" w14:textId="77777777" w:rsidTr="00F43115">
        <w:trPr>
          <w:trHeight w:val="290"/>
          <w:jc w:val="center"/>
        </w:trPr>
        <w:tc>
          <w:tcPr>
            <w:tcW w:w="205" w:type="pct"/>
            <w:tcBorders>
              <w:top w:val="nil"/>
              <w:left w:val="nil"/>
              <w:bottom w:val="nil"/>
              <w:right w:val="nil"/>
            </w:tcBorders>
            <w:shd w:val="clear" w:color="000000" w:fill="FFFFFF"/>
            <w:noWrap/>
            <w:vAlign w:val="bottom"/>
            <w:hideMark/>
          </w:tcPr>
          <w:p w14:paraId="10EA8D16"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818" w:type="pct"/>
            <w:tcBorders>
              <w:top w:val="nil"/>
              <w:left w:val="nil"/>
              <w:bottom w:val="nil"/>
              <w:right w:val="nil"/>
            </w:tcBorders>
            <w:shd w:val="clear" w:color="000000" w:fill="FFFFFF"/>
            <w:noWrap/>
            <w:vAlign w:val="center"/>
            <w:hideMark/>
          </w:tcPr>
          <w:p w14:paraId="11335086"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scholagechild</w:t>
            </w:r>
          </w:p>
        </w:tc>
        <w:tc>
          <w:tcPr>
            <w:tcW w:w="143" w:type="pct"/>
            <w:tcBorders>
              <w:top w:val="nil"/>
              <w:left w:val="nil"/>
              <w:bottom w:val="nil"/>
              <w:right w:val="nil"/>
            </w:tcBorders>
            <w:shd w:val="clear" w:color="000000" w:fill="FFFFFF"/>
            <w:noWrap/>
            <w:vAlign w:val="bottom"/>
            <w:hideMark/>
          </w:tcPr>
          <w:p w14:paraId="78A4DBC0"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678F41FE"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1.614</w:t>
            </w:r>
          </w:p>
        </w:tc>
        <w:tc>
          <w:tcPr>
            <w:tcW w:w="456" w:type="pct"/>
            <w:tcBorders>
              <w:top w:val="nil"/>
              <w:left w:val="nil"/>
              <w:bottom w:val="nil"/>
              <w:right w:val="nil"/>
            </w:tcBorders>
            <w:shd w:val="clear" w:color="000000" w:fill="FFFFFF"/>
            <w:noWrap/>
            <w:vAlign w:val="bottom"/>
            <w:hideMark/>
          </w:tcPr>
          <w:p w14:paraId="7DE3A72E"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1.423</w:t>
            </w:r>
          </w:p>
        </w:tc>
        <w:tc>
          <w:tcPr>
            <w:tcW w:w="143" w:type="pct"/>
            <w:tcBorders>
              <w:top w:val="nil"/>
              <w:left w:val="nil"/>
              <w:bottom w:val="nil"/>
              <w:right w:val="nil"/>
            </w:tcBorders>
            <w:shd w:val="clear" w:color="000000" w:fill="FFFFFF"/>
            <w:noWrap/>
            <w:vAlign w:val="bottom"/>
            <w:hideMark/>
          </w:tcPr>
          <w:p w14:paraId="21917DDC"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659614FF"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1.895</w:t>
            </w:r>
          </w:p>
        </w:tc>
        <w:tc>
          <w:tcPr>
            <w:tcW w:w="456" w:type="pct"/>
            <w:tcBorders>
              <w:top w:val="nil"/>
              <w:left w:val="nil"/>
              <w:bottom w:val="nil"/>
              <w:right w:val="nil"/>
            </w:tcBorders>
            <w:shd w:val="clear" w:color="000000" w:fill="FFFFFF"/>
            <w:noWrap/>
            <w:vAlign w:val="bottom"/>
            <w:hideMark/>
          </w:tcPr>
          <w:p w14:paraId="49B05DB1"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1.484</w:t>
            </w:r>
          </w:p>
        </w:tc>
        <w:tc>
          <w:tcPr>
            <w:tcW w:w="143" w:type="pct"/>
            <w:tcBorders>
              <w:top w:val="nil"/>
              <w:left w:val="nil"/>
              <w:bottom w:val="nil"/>
              <w:right w:val="nil"/>
            </w:tcBorders>
            <w:shd w:val="clear" w:color="000000" w:fill="FFFFFF"/>
            <w:noWrap/>
            <w:vAlign w:val="bottom"/>
            <w:hideMark/>
          </w:tcPr>
          <w:p w14:paraId="0E072E17"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436" w:type="pct"/>
            <w:tcBorders>
              <w:top w:val="nil"/>
              <w:left w:val="nil"/>
              <w:bottom w:val="nil"/>
              <w:right w:val="nil"/>
            </w:tcBorders>
            <w:shd w:val="clear" w:color="000000" w:fill="FFFFFF"/>
            <w:noWrap/>
            <w:vAlign w:val="bottom"/>
            <w:hideMark/>
          </w:tcPr>
          <w:p w14:paraId="447FD337"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1.265</w:t>
            </w:r>
          </w:p>
        </w:tc>
        <w:tc>
          <w:tcPr>
            <w:tcW w:w="456" w:type="pct"/>
            <w:tcBorders>
              <w:top w:val="nil"/>
              <w:left w:val="nil"/>
              <w:bottom w:val="nil"/>
              <w:right w:val="nil"/>
            </w:tcBorders>
            <w:shd w:val="clear" w:color="000000" w:fill="FFFFFF"/>
            <w:noWrap/>
            <w:vAlign w:val="bottom"/>
            <w:hideMark/>
          </w:tcPr>
          <w:p w14:paraId="76D6BAEC"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1.258</w:t>
            </w:r>
          </w:p>
        </w:tc>
        <w:tc>
          <w:tcPr>
            <w:tcW w:w="143" w:type="pct"/>
            <w:tcBorders>
              <w:top w:val="nil"/>
              <w:left w:val="nil"/>
              <w:bottom w:val="nil"/>
              <w:right w:val="nil"/>
            </w:tcBorders>
            <w:shd w:val="clear" w:color="000000" w:fill="FFFFFF"/>
            <w:noWrap/>
            <w:vAlign w:val="bottom"/>
            <w:hideMark/>
          </w:tcPr>
          <w:p w14:paraId="26CDD6B0"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41B1E798"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1.560</w:t>
            </w:r>
          </w:p>
        </w:tc>
        <w:tc>
          <w:tcPr>
            <w:tcW w:w="456" w:type="pct"/>
            <w:tcBorders>
              <w:top w:val="nil"/>
              <w:left w:val="nil"/>
              <w:bottom w:val="nil"/>
              <w:right w:val="nil"/>
            </w:tcBorders>
            <w:shd w:val="clear" w:color="000000" w:fill="FFFFFF"/>
            <w:noWrap/>
            <w:vAlign w:val="bottom"/>
            <w:hideMark/>
          </w:tcPr>
          <w:p w14:paraId="610E7AE6"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1.405</w:t>
            </w:r>
          </w:p>
        </w:tc>
      </w:tr>
      <w:tr w:rsidR="00F43115" w:rsidRPr="00F43115" w14:paraId="254D76F0" w14:textId="77777777" w:rsidTr="00F43115">
        <w:trPr>
          <w:trHeight w:val="290"/>
          <w:jc w:val="center"/>
        </w:trPr>
        <w:tc>
          <w:tcPr>
            <w:tcW w:w="205" w:type="pct"/>
            <w:tcBorders>
              <w:top w:val="nil"/>
              <w:left w:val="nil"/>
              <w:bottom w:val="nil"/>
              <w:right w:val="nil"/>
            </w:tcBorders>
            <w:shd w:val="clear" w:color="000000" w:fill="FFFFFF"/>
            <w:noWrap/>
            <w:vAlign w:val="bottom"/>
            <w:hideMark/>
          </w:tcPr>
          <w:p w14:paraId="6CDBDEB0"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818" w:type="pct"/>
            <w:tcBorders>
              <w:top w:val="nil"/>
              <w:left w:val="nil"/>
              <w:bottom w:val="nil"/>
              <w:right w:val="nil"/>
            </w:tcBorders>
            <w:shd w:val="clear" w:color="000000" w:fill="FFFFFF"/>
            <w:noWrap/>
            <w:vAlign w:val="center"/>
            <w:hideMark/>
          </w:tcPr>
          <w:p w14:paraId="49FAF176"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hh_cct</w:t>
            </w:r>
          </w:p>
        </w:tc>
        <w:tc>
          <w:tcPr>
            <w:tcW w:w="143" w:type="pct"/>
            <w:tcBorders>
              <w:top w:val="nil"/>
              <w:left w:val="nil"/>
              <w:bottom w:val="nil"/>
              <w:right w:val="nil"/>
            </w:tcBorders>
            <w:shd w:val="clear" w:color="000000" w:fill="FFFFFF"/>
            <w:noWrap/>
            <w:vAlign w:val="bottom"/>
            <w:hideMark/>
          </w:tcPr>
          <w:p w14:paraId="3B0E0885"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2469A930"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0.686</w:t>
            </w:r>
          </w:p>
        </w:tc>
        <w:tc>
          <w:tcPr>
            <w:tcW w:w="456" w:type="pct"/>
            <w:tcBorders>
              <w:top w:val="nil"/>
              <w:left w:val="nil"/>
              <w:bottom w:val="nil"/>
              <w:right w:val="nil"/>
            </w:tcBorders>
            <w:shd w:val="clear" w:color="000000" w:fill="FFFFFF"/>
            <w:noWrap/>
            <w:vAlign w:val="bottom"/>
            <w:hideMark/>
          </w:tcPr>
          <w:p w14:paraId="048C6C3C"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0.464</w:t>
            </w:r>
          </w:p>
        </w:tc>
        <w:tc>
          <w:tcPr>
            <w:tcW w:w="143" w:type="pct"/>
            <w:tcBorders>
              <w:top w:val="nil"/>
              <w:left w:val="nil"/>
              <w:bottom w:val="nil"/>
              <w:right w:val="nil"/>
            </w:tcBorders>
            <w:shd w:val="clear" w:color="000000" w:fill="FFFFFF"/>
            <w:noWrap/>
            <w:vAlign w:val="bottom"/>
            <w:hideMark/>
          </w:tcPr>
          <w:p w14:paraId="1A20EC73"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7C1BC985"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0.750</w:t>
            </w:r>
          </w:p>
        </w:tc>
        <w:tc>
          <w:tcPr>
            <w:tcW w:w="456" w:type="pct"/>
            <w:tcBorders>
              <w:top w:val="nil"/>
              <w:left w:val="nil"/>
              <w:bottom w:val="nil"/>
              <w:right w:val="nil"/>
            </w:tcBorders>
            <w:shd w:val="clear" w:color="000000" w:fill="FFFFFF"/>
            <w:noWrap/>
            <w:vAlign w:val="bottom"/>
            <w:hideMark/>
          </w:tcPr>
          <w:p w14:paraId="510EFA09"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0.433</w:t>
            </w:r>
          </w:p>
        </w:tc>
        <w:tc>
          <w:tcPr>
            <w:tcW w:w="143" w:type="pct"/>
            <w:tcBorders>
              <w:top w:val="nil"/>
              <w:left w:val="nil"/>
              <w:bottom w:val="nil"/>
              <w:right w:val="nil"/>
            </w:tcBorders>
            <w:shd w:val="clear" w:color="000000" w:fill="FFFFFF"/>
            <w:noWrap/>
            <w:vAlign w:val="bottom"/>
            <w:hideMark/>
          </w:tcPr>
          <w:p w14:paraId="469B1BE3"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436" w:type="pct"/>
            <w:tcBorders>
              <w:top w:val="nil"/>
              <w:left w:val="nil"/>
              <w:bottom w:val="nil"/>
              <w:right w:val="nil"/>
            </w:tcBorders>
            <w:shd w:val="clear" w:color="000000" w:fill="FFFFFF"/>
            <w:noWrap/>
            <w:vAlign w:val="bottom"/>
            <w:hideMark/>
          </w:tcPr>
          <w:p w14:paraId="4789AD87"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0.605</w:t>
            </w:r>
          </w:p>
        </w:tc>
        <w:tc>
          <w:tcPr>
            <w:tcW w:w="456" w:type="pct"/>
            <w:tcBorders>
              <w:top w:val="nil"/>
              <w:left w:val="nil"/>
              <w:bottom w:val="nil"/>
              <w:right w:val="nil"/>
            </w:tcBorders>
            <w:shd w:val="clear" w:color="000000" w:fill="FFFFFF"/>
            <w:noWrap/>
            <w:vAlign w:val="bottom"/>
            <w:hideMark/>
          </w:tcPr>
          <w:p w14:paraId="07D2FAA0"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0.489</w:t>
            </w:r>
          </w:p>
        </w:tc>
        <w:tc>
          <w:tcPr>
            <w:tcW w:w="143" w:type="pct"/>
            <w:tcBorders>
              <w:top w:val="nil"/>
              <w:left w:val="nil"/>
              <w:bottom w:val="nil"/>
              <w:right w:val="nil"/>
            </w:tcBorders>
            <w:shd w:val="clear" w:color="000000" w:fill="FFFFFF"/>
            <w:noWrap/>
            <w:vAlign w:val="bottom"/>
            <w:hideMark/>
          </w:tcPr>
          <w:p w14:paraId="43E572CA"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54717EBB"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0.675</w:t>
            </w:r>
          </w:p>
        </w:tc>
        <w:tc>
          <w:tcPr>
            <w:tcW w:w="456" w:type="pct"/>
            <w:tcBorders>
              <w:top w:val="nil"/>
              <w:left w:val="nil"/>
              <w:bottom w:val="nil"/>
              <w:right w:val="nil"/>
            </w:tcBorders>
            <w:shd w:val="clear" w:color="000000" w:fill="FFFFFF"/>
            <w:noWrap/>
            <w:vAlign w:val="bottom"/>
            <w:hideMark/>
          </w:tcPr>
          <w:p w14:paraId="2117B37D"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0.468</w:t>
            </w:r>
          </w:p>
        </w:tc>
      </w:tr>
      <w:tr w:rsidR="00F43115" w:rsidRPr="00F43115" w14:paraId="5B2F821B" w14:textId="77777777" w:rsidTr="00F43115">
        <w:trPr>
          <w:trHeight w:val="290"/>
          <w:jc w:val="center"/>
        </w:trPr>
        <w:tc>
          <w:tcPr>
            <w:tcW w:w="205" w:type="pct"/>
            <w:tcBorders>
              <w:top w:val="nil"/>
              <w:left w:val="nil"/>
              <w:bottom w:val="nil"/>
              <w:right w:val="nil"/>
            </w:tcBorders>
            <w:shd w:val="clear" w:color="000000" w:fill="FFFFFF"/>
            <w:noWrap/>
            <w:vAlign w:val="bottom"/>
            <w:hideMark/>
          </w:tcPr>
          <w:p w14:paraId="27D89554"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818" w:type="pct"/>
            <w:tcBorders>
              <w:top w:val="nil"/>
              <w:left w:val="nil"/>
              <w:bottom w:val="nil"/>
              <w:right w:val="nil"/>
            </w:tcBorders>
            <w:shd w:val="clear" w:color="000000" w:fill="FFFFFF"/>
            <w:noWrap/>
            <w:vAlign w:val="center"/>
            <w:hideMark/>
          </w:tcPr>
          <w:p w14:paraId="3AE57D93"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wealth_index</w:t>
            </w:r>
          </w:p>
        </w:tc>
        <w:tc>
          <w:tcPr>
            <w:tcW w:w="143" w:type="pct"/>
            <w:tcBorders>
              <w:top w:val="nil"/>
              <w:left w:val="nil"/>
              <w:bottom w:val="nil"/>
              <w:right w:val="nil"/>
            </w:tcBorders>
            <w:shd w:val="clear" w:color="000000" w:fill="FFFFFF"/>
            <w:noWrap/>
            <w:vAlign w:val="bottom"/>
            <w:hideMark/>
          </w:tcPr>
          <w:p w14:paraId="110F43E0"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11ABA931"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5.516</w:t>
            </w:r>
          </w:p>
        </w:tc>
        <w:tc>
          <w:tcPr>
            <w:tcW w:w="456" w:type="pct"/>
            <w:tcBorders>
              <w:top w:val="nil"/>
              <w:left w:val="nil"/>
              <w:bottom w:val="nil"/>
              <w:right w:val="nil"/>
            </w:tcBorders>
            <w:shd w:val="clear" w:color="000000" w:fill="FFFFFF"/>
            <w:noWrap/>
            <w:vAlign w:val="bottom"/>
            <w:hideMark/>
          </w:tcPr>
          <w:p w14:paraId="018674DA"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2.039</w:t>
            </w:r>
          </w:p>
        </w:tc>
        <w:tc>
          <w:tcPr>
            <w:tcW w:w="143" w:type="pct"/>
            <w:tcBorders>
              <w:top w:val="nil"/>
              <w:left w:val="nil"/>
              <w:bottom w:val="nil"/>
              <w:right w:val="nil"/>
            </w:tcBorders>
            <w:shd w:val="clear" w:color="000000" w:fill="FFFFFF"/>
            <w:noWrap/>
            <w:vAlign w:val="bottom"/>
            <w:hideMark/>
          </w:tcPr>
          <w:p w14:paraId="1E3D7D94"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38075AF4"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4.360</w:t>
            </w:r>
          </w:p>
        </w:tc>
        <w:tc>
          <w:tcPr>
            <w:tcW w:w="456" w:type="pct"/>
            <w:tcBorders>
              <w:top w:val="nil"/>
              <w:left w:val="nil"/>
              <w:bottom w:val="nil"/>
              <w:right w:val="nil"/>
            </w:tcBorders>
            <w:shd w:val="clear" w:color="000000" w:fill="FFFFFF"/>
            <w:noWrap/>
            <w:vAlign w:val="bottom"/>
            <w:hideMark/>
          </w:tcPr>
          <w:p w14:paraId="0D390CDC"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1.713</w:t>
            </w:r>
          </w:p>
        </w:tc>
        <w:tc>
          <w:tcPr>
            <w:tcW w:w="143" w:type="pct"/>
            <w:tcBorders>
              <w:top w:val="nil"/>
              <w:left w:val="nil"/>
              <w:bottom w:val="nil"/>
              <w:right w:val="nil"/>
            </w:tcBorders>
            <w:shd w:val="clear" w:color="000000" w:fill="FFFFFF"/>
            <w:noWrap/>
            <w:vAlign w:val="bottom"/>
            <w:hideMark/>
          </w:tcPr>
          <w:p w14:paraId="60AF175B"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436" w:type="pct"/>
            <w:tcBorders>
              <w:top w:val="nil"/>
              <w:left w:val="nil"/>
              <w:bottom w:val="nil"/>
              <w:right w:val="nil"/>
            </w:tcBorders>
            <w:shd w:val="clear" w:color="000000" w:fill="FFFFFF"/>
            <w:noWrap/>
            <w:vAlign w:val="bottom"/>
            <w:hideMark/>
          </w:tcPr>
          <w:p w14:paraId="381FEA2E"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6.979</w:t>
            </w:r>
          </w:p>
        </w:tc>
        <w:tc>
          <w:tcPr>
            <w:tcW w:w="456" w:type="pct"/>
            <w:tcBorders>
              <w:top w:val="nil"/>
              <w:left w:val="nil"/>
              <w:bottom w:val="nil"/>
              <w:right w:val="nil"/>
            </w:tcBorders>
            <w:shd w:val="clear" w:color="000000" w:fill="FFFFFF"/>
            <w:noWrap/>
            <w:vAlign w:val="bottom"/>
            <w:hideMark/>
          </w:tcPr>
          <w:p w14:paraId="3B67C4AC"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1.620</w:t>
            </w:r>
          </w:p>
        </w:tc>
        <w:tc>
          <w:tcPr>
            <w:tcW w:w="143" w:type="pct"/>
            <w:tcBorders>
              <w:top w:val="nil"/>
              <w:left w:val="nil"/>
              <w:bottom w:val="nil"/>
              <w:right w:val="nil"/>
            </w:tcBorders>
            <w:shd w:val="clear" w:color="000000" w:fill="FFFFFF"/>
            <w:noWrap/>
            <w:vAlign w:val="bottom"/>
            <w:hideMark/>
          </w:tcPr>
          <w:p w14:paraId="16F0CBC9"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2EC69492"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5.704</w:t>
            </w:r>
          </w:p>
        </w:tc>
        <w:tc>
          <w:tcPr>
            <w:tcW w:w="456" w:type="pct"/>
            <w:tcBorders>
              <w:top w:val="nil"/>
              <w:left w:val="nil"/>
              <w:bottom w:val="nil"/>
              <w:right w:val="nil"/>
            </w:tcBorders>
            <w:shd w:val="clear" w:color="000000" w:fill="FFFFFF"/>
            <w:noWrap/>
            <w:vAlign w:val="bottom"/>
            <w:hideMark/>
          </w:tcPr>
          <w:p w14:paraId="133E6182"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1.789</w:t>
            </w:r>
          </w:p>
        </w:tc>
      </w:tr>
      <w:tr w:rsidR="00F43115" w:rsidRPr="00F43115" w14:paraId="317D1657" w14:textId="77777777" w:rsidTr="00F43115">
        <w:trPr>
          <w:trHeight w:val="290"/>
          <w:jc w:val="center"/>
        </w:trPr>
        <w:tc>
          <w:tcPr>
            <w:tcW w:w="205" w:type="pct"/>
            <w:tcBorders>
              <w:top w:val="nil"/>
              <w:left w:val="nil"/>
              <w:bottom w:val="nil"/>
              <w:right w:val="nil"/>
            </w:tcBorders>
            <w:shd w:val="clear" w:color="000000" w:fill="FFFFFF"/>
            <w:noWrap/>
            <w:vAlign w:val="bottom"/>
            <w:hideMark/>
          </w:tcPr>
          <w:p w14:paraId="489F2365"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818" w:type="pct"/>
            <w:tcBorders>
              <w:top w:val="nil"/>
              <w:left w:val="nil"/>
              <w:bottom w:val="nil"/>
              <w:right w:val="nil"/>
            </w:tcBorders>
            <w:shd w:val="clear" w:color="000000" w:fill="FFFFFF"/>
            <w:noWrap/>
            <w:vAlign w:val="center"/>
            <w:hideMark/>
          </w:tcPr>
          <w:p w14:paraId="1C1DAE83"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income_shocks</w:t>
            </w:r>
          </w:p>
        </w:tc>
        <w:tc>
          <w:tcPr>
            <w:tcW w:w="143" w:type="pct"/>
            <w:tcBorders>
              <w:top w:val="nil"/>
              <w:left w:val="nil"/>
              <w:bottom w:val="nil"/>
              <w:right w:val="nil"/>
            </w:tcBorders>
            <w:shd w:val="clear" w:color="000000" w:fill="FFFFFF"/>
            <w:noWrap/>
            <w:vAlign w:val="bottom"/>
            <w:hideMark/>
          </w:tcPr>
          <w:p w14:paraId="39BCA2BE"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14BC33FC"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0.073</w:t>
            </w:r>
          </w:p>
        </w:tc>
        <w:tc>
          <w:tcPr>
            <w:tcW w:w="456" w:type="pct"/>
            <w:tcBorders>
              <w:top w:val="nil"/>
              <w:left w:val="nil"/>
              <w:bottom w:val="nil"/>
              <w:right w:val="nil"/>
            </w:tcBorders>
            <w:shd w:val="clear" w:color="000000" w:fill="FFFFFF"/>
            <w:noWrap/>
            <w:vAlign w:val="bottom"/>
            <w:hideMark/>
          </w:tcPr>
          <w:p w14:paraId="1322FFAD"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0.260</w:t>
            </w:r>
          </w:p>
        </w:tc>
        <w:tc>
          <w:tcPr>
            <w:tcW w:w="143" w:type="pct"/>
            <w:tcBorders>
              <w:top w:val="nil"/>
              <w:left w:val="nil"/>
              <w:bottom w:val="nil"/>
              <w:right w:val="nil"/>
            </w:tcBorders>
            <w:shd w:val="clear" w:color="000000" w:fill="FFFFFF"/>
            <w:noWrap/>
            <w:vAlign w:val="bottom"/>
            <w:hideMark/>
          </w:tcPr>
          <w:p w14:paraId="40B73B02"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505F872E"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0.052</w:t>
            </w:r>
          </w:p>
        </w:tc>
        <w:tc>
          <w:tcPr>
            <w:tcW w:w="456" w:type="pct"/>
            <w:tcBorders>
              <w:top w:val="nil"/>
              <w:left w:val="nil"/>
              <w:bottom w:val="nil"/>
              <w:right w:val="nil"/>
            </w:tcBorders>
            <w:shd w:val="clear" w:color="000000" w:fill="FFFFFF"/>
            <w:noWrap/>
            <w:vAlign w:val="bottom"/>
            <w:hideMark/>
          </w:tcPr>
          <w:p w14:paraId="7BD1C62D"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0.222</w:t>
            </w:r>
          </w:p>
        </w:tc>
        <w:tc>
          <w:tcPr>
            <w:tcW w:w="143" w:type="pct"/>
            <w:tcBorders>
              <w:top w:val="nil"/>
              <w:left w:val="nil"/>
              <w:bottom w:val="nil"/>
              <w:right w:val="nil"/>
            </w:tcBorders>
            <w:shd w:val="clear" w:color="000000" w:fill="FFFFFF"/>
            <w:noWrap/>
            <w:vAlign w:val="bottom"/>
            <w:hideMark/>
          </w:tcPr>
          <w:p w14:paraId="39AC9DB7"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436" w:type="pct"/>
            <w:tcBorders>
              <w:top w:val="nil"/>
              <w:left w:val="nil"/>
              <w:bottom w:val="nil"/>
              <w:right w:val="nil"/>
            </w:tcBorders>
            <w:shd w:val="clear" w:color="000000" w:fill="FFFFFF"/>
            <w:noWrap/>
            <w:vAlign w:val="bottom"/>
            <w:hideMark/>
          </w:tcPr>
          <w:p w14:paraId="2E2B4894"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0.103</w:t>
            </w:r>
          </w:p>
        </w:tc>
        <w:tc>
          <w:tcPr>
            <w:tcW w:w="456" w:type="pct"/>
            <w:tcBorders>
              <w:top w:val="nil"/>
              <w:left w:val="nil"/>
              <w:bottom w:val="nil"/>
              <w:right w:val="nil"/>
            </w:tcBorders>
            <w:shd w:val="clear" w:color="000000" w:fill="FFFFFF"/>
            <w:noWrap/>
            <w:vAlign w:val="bottom"/>
            <w:hideMark/>
          </w:tcPr>
          <w:p w14:paraId="4D8C1A1A"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0.304</w:t>
            </w:r>
          </w:p>
        </w:tc>
        <w:tc>
          <w:tcPr>
            <w:tcW w:w="143" w:type="pct"/>
            <w:tcBorders>
              <w:top w:val="nil"/>
              <w:left w:val="nil"/>
              <w:bottom w:val="nil"/>
              <w:right w:val="nil"/>
            </w:tcBorders>
            <w:shd w:val="clear" w:color="000000" w:fill="FFFFFF"/>
            <w:noWrap/>
            <w:vAlign w:val="bottom"/>
            <w:hideMark/>
          </w:tcPr>
          <w:p w14:paraId="12D2241A"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22BFA5F4"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0.071</w:t>
            </w:r>
          </w:p>
        </w:tc>
        <w:tc>
          <w:tcPr>
            <w:tcW w:w="456" w:type="pct"/>
            <w:tcBorders>
              <w:top w:val="nil"/>
              <w:left w:val="nil"/>
              <w:bottom w:val="nil"/>
              <w:right w:val="nil"/>
            </w:tcBorders>
            <w:shd w:val="clear" w:color="000000" w:fill="FFFFFF"/>
            <w:noWrap/>
            <w:vAlign w:val="bottom"/>
            <w:hideMark/>
          </w:tcPr>
          <w:p w14:paraId="2D4E576F"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0.256</w:t>
            </w:r>
          </w:p>
        </w:tc>
      </w:tr>
      <w:tr w:rsidR="00F43115" w:rsidRPr="00F43115" w14:paraId="2AE9AB79" w14:textId="77777777" w:rsidTr="00F43115">
        <w:trPr>
          <w:trHeight w:val="290"/>
          <w:jc w:val="center"/>
        </w:trPr>
        <w:tc>
          <w:tcPr>
            <w:tcW w:w="205" w:type="pct"/>
            <w:tcBorders>
              <w:top w:val="nil"/>
              <w:left w:val="nil"/>
              <w:bottom w:val="nil"/>
              <w:right w:val="nil"/>
            </w:tcBorders>
            <w:shd w:val="clear" w:color="000000" w:fill="FFFFFF"/>
            <w:noWrap/>
            <w:vAlign w:val="bottom"/>
            <w:hideMark/>
          </w:tcPr>
          <w:p w14:paraId="26CED95B"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818" w:type="pct"/>
            <w:tcBorders>
              <w:top w:val="nil"/>
              <w:left w:val="nil"/>
              <w:bottom w:val="nil"/>
              <w:right w:val="nil"/>
            </w:tcBorders>
            <w:shd w:val="clear" w:color="000000" w:fill="FFFFFF"/>
            <w:noWrap/>
            <w:vAlign w:val="center"/>
            <w:hideMark/>
          </w:tcPr>
          <w:p w14:paraId="6875320D"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health_shocks</w:t>
            </w:r>
          </w:p>
        </w:tc>
        <w:tc>
          <w:tcPr>
            <w:tcW w:w="143" w:type="pct"/>
            <w:tcBorders>
              <w:top w:val="nil"/>
              <w:left w:val="nil"/>
              <w:bottom w:val="nil"/>
              <w:right w:val="nil"/>
            </w:tcBorders>
            <w:shd w:val="clear" w:color="000000" w:fill="FFFFFF"/>
            <w:noWrap/>
            <w:vAlign w:val="bottom"/>
            <w:hideMark/>
          </w:tcPr>
          <w:p w14:paraId="730E0D30"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7D1CDCED"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0.100</w:t>
            </w:r>
          </w:p>
        </w:tc>
        <w:tc>
          <w:tcPr>
            <w:tcW w:w="456" w:type="pct"/>
            <w:tcBorders>
              <w:top w:val="nil"/>
              <w:left w:val="nil"/>
              <w:bottom w:val="nil"/>
              <w:right w:val="nil"/>
            </w:tcBorders>
            <w:shd w:val="clear" w:color="000000" w:fill="FFFFFF"/>
            <w:noWrap/>
            <w:vAlign w:val="bottom"/>
            <w:hideMark/>
          </w:tcPr>
          <w:p w14:paraId="57545EEA"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0.300</w:t>
            </w:r>
          </w:p>
        </w:tc>
        <w:tc>
          <w:tcPr>
            <w:tcW w:w="143" w:type="pct"/>
            <w:tcBorders>
              <w:top w:val="nil"/>
              <w:left w:val="nil"/>
              <w:bottom w:val="nil"/>
              <w:right w:val="nil"/>
            </w:tcBorders>
            <w:shd w:val="clear" w:color="000000" w:fill="FFFFFF"/>
            <w:noWrap/>
            <w:vAlign w:val="bottom"/>
            <w:hideMark/>
          </w:tcPr>
          <w:p w14:paraId="5ACA29B9"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18AF7B92"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0.109</w:t>
            </w:r>
          </w:p>
        </w:tc>
        <w:tc>
          <w:tcPr>
            <w:tcW w:w="456" w:type="pct"/>
            <w:tcBorders>
              <w:top w:val="nil"/>
              <w:left w:val="nil"/>
              <w:bottom w:val="nil"/>
              <w:right w:val="nil"/>
            </w:tcBorders>
            <w:shd w:val="clear" w:color="000000" w:fill="FFFFFF"/>
            <w:noWrap/>
            <w:vAlign w:val="bottom"/>
            <w:hideMark/>
          </w:tcPr>
          <w:p w14:paraId="1F244FF5"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0.312</w:t>
            </w:r>
          </w:p>
        </w:tc>
        <w:tc>
          <w:tcPr>
            <w:tcW w:w="143" w:type="pct"/>
            <w:tcBorders>
              <w:top w:val="nil"/>
              <w:left w:val="nil"/>
              <w:bottom w:val="nil"/>
              <w:right w:val="nil"/>
            </w:tcBorders>
            <w:shd w:val="clear" w:color="000000" w:fill="FFFFFF"/>
            <w:noWrap/>
            <w:vAlign w:val="bottom"/>
            <w:hideMark/>
          </w:tcPr>
          <w:p w14:paraId="4F1C1B28"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436" w:type="pct"/>
            <w:tcBorders>
              <w:top w:val="nil"/>
              <w:left w:val="nil"/>
              <w:bottom w:val="nil"/>
              <w:right w:val="nil"/>
            </w:tcBorders>
            <w:shd w:val="clear" w:color="000000" w:fill="FFFFFF"/>
            <w:noWrap/>
            <w:vAlign w:val="bottom"/>
            <w:hideMark/>
          </w:tcPr>
          <w:p w14:paraId="044AAD5E"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0.086</w:t>
            </w:r>
          </w:p>
        </w:tc>
        <w:tc>
          <w:tcPr>
            <w:tcW w:w="456" w:type="pct"/>
            <w:tcBorders>
              <w:top w:val="nil"/>
              <w:left w:val="nil"/>
              <w:bottom w:val="nil"/>
              <w:right w:val="nil"/>
            </w:tcBorders>
            <w:shd w:val="clear" w:color="000000" w:fill="FFFFFF"/>
            <w:noWrap/>
            <w:vAlign w:val="bottom"/>
            <w:hideMark/>
          </w:tcPr>
          <w:p w14:paraId="3FE9AED6"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0.280</w:t>
            </w:r>
          </w:p>
        </w:tc>
        <w:tc>
          <w:tcPr>
            <w:tcW w:w="143" w:type="pct"/>
            <w:tcBorders>
              <w:top w:val="nil"/>
              <w:left w:val="nil"/>
              <w:bottom w:val="nil"/>
              <w:right w:val="nil"/>
            </w:tcBorders>
            <w:shd w:val="clear" w:color="000000" w:fill="FFFFFF"/>
            <w:noWrap/>
            <w:vAlign w:val="bottom"/>
            <w:hideMark/>
          </w:tcPr>
          <w:p w14:paraId="02E530B9"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2D8AC8AE"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0.100</w:t>
            </w:r>
          </w:p>
        </w:tc>
        <w:tc>
          <w:tcPr>
            <w:tcW w:w="456" w:type="pct"/>
            <w:tcBorders>
              <w:top w:val="nil"/>
              <w:left w:val="nil"/>
              <w:bottom w:val="nil"/>
              <w:right w:val="nil"/>
            </w:tcBorders>
            <w:shd w:val="clear" w:color="000000" w:fill="FFFFFF"/>
            <w:noWrap/>
            <w:vAlign w:val="bottom"/>
            <w:hideMark/>
          </w:tcPr>
          <w:p w14:paraId="404179C7"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0.301</w:t>
            </w:r>
          </w:p>
        </w:tc>
      </w:tr>
      <w:tr w:rsidR="00F43115" w:rsidRPr="00F43115" w14:paraId="31442D4F" w14:textId="77777777" w:rsidTr="00F43115">
        <w:trPr>
          <w:trHeight w:val="290"/>
          <w:jc w:val="center"/>
        </w:trPr>
        <w:tc>
          <w:tcPr>
            <w:tcW w:w="5000" w:type="pct"/>
            <w:gridSpan w:val="14"/>
            <w:tcBorders>
              <w:top w:val="nil"/>
              <w:left w:val="nil"/>
              <w:bottom w:val="nil"/>
              <w:right w:val="nil"/>
            </w:tcBorders>
            <w:shd w:val="clear" w:color="000000" w:fill="FFFFFF"/>
            <w:noWrap/>
            <w:vAlign w:val="center"/>
            <w:hideMark/>
          </w:tcPr>
          <w:p w14:paraId="777DD43D" w14:textId="65081F28" w:rsidR="00F43115" w:rsidRPr="00F43115" w:rsidRDefault="00F43115" w:rsidP="00F43115">
            <w:pPr>
              <w:spacing w:line="240" w:lineRule="auto"/>
              <w:rPr>
                <w:i/>
                <w:iCs/>
                <w:color w:val="000000"/>
                <w:sz w:val="22"/>
                <w:szCs w:val="22"/>
                <w:u w:val="single"/>
                <w:lang w:val="en-US" w:eastAsia="en-US"/>
              </w:rPr>
            </w:pPr>
            <w:r w:rsidRPr="00F43115">
              <w:rPr>
                <w:i/>
                <w:iCs/>
                <w:color w:val="000000"/>
                <w:sz w:val="22"/>
                <w:szCs w:val="22"/>
                <w:u w:val="single"/>
                <w:lang w:val="en-US" w:eastAsia="en-US"/>
              </w:rPr>
              <w:t>Location and Migration</w:t>
            </w:r>
          </w:p>
        </w:tc>
      </w:tr>
      <w:tr w:rsidR="00F43115" w:rsidRPr="00F43115" w14:paraId="201E9850" w14:textId="77777777" w:rsidTr="00F43115">
        <w:trPr>
          <w:trHeight w:val="290"/>
          <w:jc w:val="center"/>
        </w:trPr>
        <w:tc>
          <w:tcPr>
            <w:tcW w:w="205" w:type="pct"/>
            <w:tcBorders>
              <w:top w:val="nil"/>
              <w:left w:val="nil"/>
              <w:bottom w:val="nil"/>
              <w:right w:val="nil"/>
            </w:tcBorders>
            <w:shd w:val="clear" w:color="000000" w:fill="FFFFFF"/>
            <w:noWrap/>
            <w:vAlign w:val="bottom"/>
            <w:hideMark/>
          </w:tcPr>
          <w:p w14:paraId="1F8B0100"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818" w:type="pct"/>
            <w:tcBorders>
              <w:top w:val="nil"/>
              <w:left w:val="nil"/>
              <w:bottom w:val="nil"/>
              <w:right w:val="nil"/>
            </w:tcBorders>
            <w:shd w:val="clear" w:color="000000" w:fill="FFFFFF"/>
            <w:noWrap/>
            <w:vAlign w:val="center"/>
            <w:hideMark/>
          </w:tcPr>
          <w:p w14:paraId="32B2138D"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ruur</w:t>
            </w:r>
          </w:p>
        </w:tc>
        <w:tc>
          <w:tcPr>
            <w:tcW w:w="143" w:type="pct"/>
            <w:tcBorders>
              <w:top w:val="nil"/>
              <w:left w:val="nil"/>
              <w:bottom w:val="nil"/>
              <w:right w:val="nil"/>
            </w:tcBorders>
            <w:shd w:val="clear" w:color="000000" w:fill="FFFFFF"/>
            <w:noWrap/>
            <w:vAlign w:val="bottom"/>
            <w:hideMark/>
          </w:tcPr>
          <w:p w14:paraId="74A4C4B0"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701A842D"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0.052</w:t>
            </w:r>
          </w:p>
        </w:tc>
        <w:tc>
          <w:tcPr>
            <w:tcW w:w="456" w:type="pct"/>
            <w:tcBorders>
              <w:top w:val="nil"/>
              <w:left w:val="nil"/>
              <w:bottom w:val="nil"/>
              <w:right w:val="nil"/>
            </w:tcBorders>
            <w:shd w:val="clear" w:color="000000" w:fill="FFFFFF"/>
            <w:noWrap/>
            <w:vAlign w:val="bottom"/>
            <w:hideMark/>
          </w:tcPr>
          <w:p w14:paraId="444DB672"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0.222</w:t>
            </w:r>
          </w:p>
        </w:tc>
        <w:tc>
          <w:tcPr>
            <w:tcW w:w="143" w:type="pct"/>
            <w:tcBorders>
              <w:top w:val="nil"/>
              <w:left w:val="nil"/>
              <w:bottom w:val="nil"/>
              <w:right w:val="nil"/>
            </w:tcBorders>
            <w:shd w:val="clear" w:color="000000" w:fill="FFFFFF"/>
            <w:noWrap/>
            <w:vAlign w:val="bottom"/>
            <w:hideMark/>
          </w:tcPr>
          <w:p w14:paraId="745D163E"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322B38C4"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0.055</w:t>
            </w:r>
          </w:p>
        </w:tc>
        <w:tc>
          <w:tcPr>
            <w:tcW w:w="456" w:type="pct"/>
            <w:tcBorders>
              <w:top w:val="nil"/>
              <w:left w:val="nil"/>
              <w:bottom w:val="nil"/>
              <w:right w:val="nil"/>
            </w:tcBorders>
            <w:shd w:val="clear" w:color="000000" w:fill="FFFFFF"/>
            <w:noWrap/>
            <w:vAlign w:val="bottom"/>
            <w:hideMark/>
          </w:tcPr>
          <w:p w14:paraId="3F2D94F0"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0.227</w:t>
            </w:r>
          </w:p>
        </w:tc>
        <w:tc>
          <w:tcPr>
            <w:tcW w:w="143" w:type="pct"/>
            <w:tcBorders>
              <w:top w:val="nil"/>
              <w:left w:val="nil"/>
              <w:bottom w:val="nil"/>
              <w:right w:val="nil"/>
            </w:tcBorders>
            <w:shd w:val="clear" w:color="000000" w:fill="FFFFFF"/>
            <w:noWrap/>
            <w:vAlign w:val="bottom"/>
            <w:hideMark/>
          </w:tcPr>
          <w:p w14:paraId="52B79DF1"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436" w:type="pct"/>
            <w:tcBorders>
              <w:top w:val="nil"/>
              <w:left w:val="nil"/>
              <w:bottom w:val="nil"/>
              <w:right w:val="nil"/>
            </w:tcBorders>
            <w:shd w:val="clear" w:color="000000" w:fill="FFFFFF"/>
            <w:noWrap/>
            <w:vAlign w:val="bottom"/>
            <w:hideMark/>
          </w:tcPr>
          <w:p w14:paraId="69330FD3"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0.037</w:t>
            </w:r>
          </w:p>
        </w:tc>
        <w:tc>
          <w:tcPr>
            <w:tcW w:w="456" w:type="pct"/>
            <w:tcBorders>
              <w:top w:val="nil"/>
              <w:left w:val="nil"/>
              <w:bottom w:val="nil"/>
              <w:right w:val="nil"/>
            </w:tcBorders>
            <w:shd w:val="clear" w:color="000000" w:fill="FFFFFF"/>
            <w:noWrap/>
            <w:vAlign w:val="bottom"/>
            <w:hideMark/>
          </w:tcPr>
          <w:p w14:paraId="66F2F35B"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0.189</w:t>
            </w:r>
          </w:p>
        </w:tc>
        <w:tc>
          <w:tcPr>
            <w:tcW w:w="143" w:type="pct"/>
            <w:tcBorders>
              <w:top w:val="nil"/>
              <w:left w:val="nil"/>
              <w:bottom w:val="nil"/>
              <w:right w:val="nil"/>
            </w:tcBorders>
            <w:shd w:val="clear" w:color="000000" w:fill="FFFFFF"/>
            <w:noWrap/>
            <w:vAlign w:val="bottom"/>
            <w:hideMark/>
          </w:tcPr>
          <w:p w14:paraId="116EE4DF"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664EE752"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0.066</w:t>
            </w:r>
          </w:p>
        </w:tc>
        <w:tc>
          <w:tcPr>
            <w:tcW w:w="456" w:type="pct"/>
            <w:tcBorders>
              <w:top w:val="nil"/>
              <w:left w:val="nil"/>
              <w:bottom w:val="nil"/>
              <w:right w:val="nil"/>
            </w:tcBorders>
            <w:shd w:val="clear" w:color="000000" w:fill="FFFFFF"/>
            <w:noWrap/>
            <w:vAlign w:val="bottom"/>
            <w:hideMark/>
          </w:tcPr>
          <w:p w14:paraId="7C0D2A59"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0.249</w:t>
            </w:r>
          </w:p>
        </w:tc>
      </w:tr>
      <w:tr w:rsidR="00F43115" w:rsidRPr="00F43115" w14:paraId="41B9A4FE" w14:textId="77777777" w:rsidTr="00F43115">
        <w:trPr>
          <w:trHeight w:val="290"/>
          <w:jc w:val="center"/>
        </w:trPr>
        <w:tc>
          <w:tcPr>
            <w:tcW w:w="205" w:type="pct"/>
            <w:tcBorders>
              <w:top w:val="nil"/>
              <w:left w:val="nil"/>
              <w:bottom w:val="nil"/>
              <w:right w:val="nil"/>
            </w:tcBorders>
            <w:shd w:val="clear" w:color="000000" w:fill="FFFFFF"/>
            <w:noWrap/>
            <w:vAlign w:val="bottom"/>
            <w:hideMark/>
          </w:tcPr>
          <w:p w14:paraId="50C5F1D4"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818" w:type="pct"/>
            <w:tcBorders>
              <w:top w:val="nil"/>
              <w:left w:val="nil"/>
              <w:bottom w:val="nil"/>
              <w:right w:val="nil"/>
            </w:tcBorders>
            <w:shd w:val="clear" w:color="000000" w:fill="FFFFFF"/>
            <w:noWrap/>
            <w:vAlign w:val="center"/>
            <w:hideMark/>
          </w:tcPr>
          <w:p w14:paraId="54DB37C4"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urru</w:t>
            </w:r>
          </w:p>
        </w:tc>
        <w:tc>
          <w:tcPr>
            <w:tcW w:w="143" w:type="pct"/>
            <w:tcBorders>
              <w:top w:val="nil"/>
              <w:left w:val="nil"/>
              <w:bottom w:val="nil"/>
              <w:right w:val="nil"/>
            </w:tcBorders>
            <w:shd w:val="clear" w:color="000000" w:fill="FFFFFF"/>
            <w:noWrap/>
            <w:vAlign w:val="bottom"/>
            <w:hideMark/>
          </w:tcPr>
          <w:p w14:paraId="78F74DAA"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426B6F70"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0.053</w:t>
            </w:r>
          </w:p>
        </w:tc>
        <w:tc>
          <w:tcPr>
            <w:tcW w:w="456" w:type="pct"/>
            <w:tcBorders>
              <w:top w:val="nil"/>
              <w:left w:val="nil"/>
              <w:bottom w:val="nil"/>
              <w:right w:val="nil"/>
            </w:tcBorders>
            <w:shd w:val="clear" w:color="000000" w:fill="FFFFFF"/>
            <w:noWrap/>
            <w:vAlign w:val="bottom"/>
            <w:hideMark/>
          </w:tcPr>
          <w:p w14:paraId="2E9EFF1E"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0.224</w:t>
            </w:r>
          </w:p>
        </w:tc>
        <w:tc>
          <w:tcPr>
            <w:tcW w:w="143" w:type="pct"/>
            <w:tcBorders>
              <w:top w:val="nil"/>
              <w:left w:val="nil"/>
              <w:bottom w:val="nil"/>
              <w:right w:val="nil"/>
            </w:tcBorders>
            <w:shd w:val="clear" w:color="000000" w:fill="FFFFFF"/>
            <w:noWrap/>
            <w:vAlign w:val="bottom"/>
            <w:hideMark/>
          </w:tcPr>
          <w:p w14:paraId="24ADFD2A"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41D5F0E0"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0.054</w:t>
            </w:r>
          </w:p>
        </w:tc>
        <w:tc>
          <w:tcPr>
            <w:tcW w:w="456" w:type="pct"/>
            <w:tcBorders>
              <w:top w:val="nil"/>
              <w:left w:val="nil"/>
              <w:bottom w:val="nil"/>
              <w:right w:val="nil"/>
            </w:tcBorders>
            <w:shd w:val="clear" w:color="000000" w:fill="FFFFFF"/>
            <w:noWrap/>
            <w:vAlign w:val="bottom"/>
            <w:hideMark/>
          </w:tcPr>
          <w:p w14:paraId="47869931"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0.227</w:t>
            </w:r>
          </w:p>
        </w:tc>
        <w:tc>
          <w:tcPr>
            <w:tcW w:w="143" w:type="pct"/>
            <w:tcBorders>
              <w:top w:val="nil"/>
              <w:left w:val="nil"/>
              <w:bottom w:val="nil"/>
              <w:right w:val="nil"/>
            </w:tcBorders>
            <w:shd w:val="clear" w:color="000000" w:fill="FFFFFF"/>
            <w:noWrap/>
            <w:vAlign w:val="bottom"/>
            <w:hideMark/>
          </w:tcPr>
          <w:p w14:paraId="11AFC226"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436" w:type="pct"/>
            <w:tcBorders>
              <w:top w:val="nil"/>
              <w:left w:val="nil"/>
              <w:bottom w:val="nil"/>
              <w:right w:val="nil"/>
            </w:tcBorders>
            <w:shd w:val="clear" w:color="000000" w:fill="FFFFFF"/>
            <w:noWrap/>
            <w:vAlign w:val="bottom"/>
            <w:hideMark/>
          </w:tcPr>
          <w:p w14:paraId="1EB7DB03"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0.044</w:t>
            </w:r>
          </w:p>
        </w:tc>
        <w:tc>
          <w:tcPr>
            <w:tcW w:w="456" w:type="pct"/>
            <w:tcBorders>
              <w:top w:val="nil"/>
              <w:left w:val="nil"/>
              <w:bottom w:val="nil"/>
              <w:right w:val="nil"/>
            </w:tcBorders>
            <w:shd w:val="clear" w:color="000000" w:fill="FFFFFF"/>
            <w:noWrap/>
            <w:vAlign w:val="bottom"/>
            <w:hideMark/>
          </w:tcPr>
          <w:p w14:paraId="0E59C634"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0.206</w:t>
            </w:r>
          </w:p>
        </w:tc>
        <w:tc>
          <w:tcPr>
            <w:tcW w:w="143" w:type="pct"/>
            <w:tcBorders>
              <w:top w:val="nil"/>
              <w:left w:val="nil"/>
              <w:bottom w:val="nil"/>
              <w:right w:val="nil"/>
            </w:tcBorders>
            <w:shd w:val="clear" w:color="000000" w:fill="FFFFFF"/>
            <w:noWrap/>
            <w:vAlign w:val="bottom"/>
            <w:hideMark/>
          </w:tcPr>
          <w:p w14:paraId="251570A4"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382" w:type="pct"/>
            <w:tcBorders>
              <w:top w:val="nil"/>
              <w:left w:val="nil"/>
              <w:bottom w:val="nil"/>
              <w:right w:val="nil"/>
            </w:tcBorders>
            <w:shd w:val="clear" w:color="000000" w:fill="FFFFFF"/>
            <w:noWrap/>
            <w:vAlign w:val="bottom"/>
            <w:hideMark/>
          </w:tcPr>
          <w:p w14:paraId="428EFC73"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0.062</w:t>
            </w:r>
          </w:p>
        </w:tc>
        <w:tc>
          <w:tcPr>
            <w:tcW w:w="456" w:type="pct"/>
            <w:tcBorders>
              <w:top w:val="nil"/>
              <w:left w:val="nil"/>
              <w:bottom w:val="nil"/>
              <w:right w:val="nil"/>
            </w:tcBorders>
            <w:shd w:val="clear" w:color="000000" w:fill="FFFFFF"/>
            <w:noWrap/>
            <w:vAlign w:val="bottom"/>
            <w:hideMark/>
          </w:tcPr>
          <w:p w14:paraId="02779C73" w14:textId="77777777" w:rsidR="00F43115" w:rsidRPr="00F43115" w:rsidRDefault="00F43115" w:rsidP="00F43115">
            <w:pPr>
              <w:spacing w:line="240" w:lineRule="auto"/>
              <w:jc w:val="center"/>
              <w:rPr>
                <w:color w:val="000000"/>
                <w:sz w:val="22"/>
                <w:szCs w:val="22"/>
                <w:lang w:val="en-US" w:eastAsia="en-US"/>
              </w:rPr>
            </w:pPr>
            <w:r w:rsidRPr="00F43115">
              <w:rPr>
                <w:color w:val="000000"/>
                <w:sz w:val="22"/>
                <w:szCs w:val="22"/>
                <w:lang w:val="en-US" w:eastAsia="en-US"/>
              </w:rPr>
              <w:t>0.241</w:t>
            </w:r>
          </w:p>
        </w:tc>
      </w:tr>
      <w:tr w:rsidR="00F43115" w:rsidRPr="00F43115" w14:paraId="4535723B" w14:textId="77777777" w:rsidTr="00F43115">
        <w:trPr>
          <w:trHeight w:val="390"/>
          <w:jc w:val="center"/>
        </w:trPr>
        <w:tc>
          <w:tcPr>
            <w:tcW w:w="1023" w:type="pct"/>
            <w:gridSpan w:val="2"/>
            <w:tcBorders>
              <w:top w:val="single" w:sz="4" w:space="0" w:color="auto"/>
              <w:left w:val="nil"/>
              <w:bottom w:val="single" w:sz="4" w:space="0" w:color="auto"/>
              <w:right w:val="nil"/>
            </w:tcBorders>
            <w:shd w:val="clear" w:color="000000" w:fill="FFFFFF"/>
            <w:noWrap/>
            <w:vAlign w:val="center"/>
            <w:hideMark/>
          </w:tcPr>
          <w:p w14:paraId="09FB8D7B" w14:textId="77777777" w:rsidR="00F43115" w:rsidRPr="00F43115" w:rsidRDefault="00F43115" w:rsidP="00F43115">
            <w:pPr>
              <w:spacing w:line="240" w:lineRule="auto"/>
              <w:rPr>
                <w:i/>
                <w:iCs/>
                <w:color w:val="000000"/>
                <w:sz w:val="22"/>
                <w:szCs w:val="22"/>
                <w:lang w:val="en-US" w:eastAsia="en-US"/>
              </w:rPr>
            </w:pPr>
            <w:r w:rsidRPr="00F43115">
              <w:rPr>
                <w:i/>
                <w:iCs/>
                <w:color w:val="000000"/>
                <w:sz w:val="22"/>
                <w:szCs w:val="22"/>
                <w:lang w:val="en-US" w:eastAsia="en-US"/>
              </w:rPr>
              <w:t>No. of Observations</w:t>
            </w:r>
          </w:p>
        </w:tc>
        <w:tc>
          <w:tcPr>
            <w:tcW w:w="143" w:type="pct"/>
            <w:tcBorders>
              <w:top w:val="single" w:sz="4" w:space="0" w:color="auto"/>
              <w:left w:val="nil"/>
              <w:bottom w:val="single" w:sz="4" w:space="0" w:color="auto"/>
              <w:right w:val="nil"/>
            </w:tcBorders>
            <w:shd w:val="clear" w:color="000000" w:fill="FFFFFF"/>
            <w:noWrap/>
            <w:vAlign w:val="center"/>
            <w:hideMark/>
          </w:tcPr>
          <w:p w14:paraId="126F4CB4"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838" w:type="pct"/>
            <w:gridSpan w:val="2"/>
            <w:tcBorders>
              <w:top w:val="single" w:sz="4" w:space="0" w:color="auto"/>
              <w:left w:val="nil"/>
              <w:bottom w:val="single" w:sz="4" w:space="0" w:color="auto"/>
              <w:right w:val="nil"/>
            </w:tcBorders>
            <w:shd w:val="clear" w:color="000000" w:fill="FFFFFF"/>
            <w:noWrap/>
            <w:vAlign w:val="center"/>
            <w:hideMark/>
          </w:tcPr>
          <w:p w14:paraId="52DE3E87" w14:textId="77777777" w:rsidR="00F43115" w:rsidRPr="00F43115" w:rsidRDefault="00F43115" w:rsidP="00F43115">
            <w:pPr>
              <w:spacing w:line="240" w:lineRule="auto"/>
              <w:jc w:val="center"/>
              <w:rPr>
                <w:i/>
                <w:iCs/>
                <w:color w:val="000000"/>
                <w:sz w:val="22"/>
                <w:szCs w:val="22"/>
                <w:lang w:val="en-US" w:eastAsia="en-US"/>
              </w:rPr>
            </w:pPr>
            <w:r w:rsidRPr="00F43115">
              <w:rPr>
                <w:i/>
                <w:iCs/>
                <w:color w:val="000000"/>
                <w:sz w:val="22"/>
                <w:szCs w:val="22"/>
                <w:lang w:val="en-US" w:eastAsia="en-US"/>
              </w:rPr>
              <w:t xml:space="preserve">5,481 </w:t>
            </w:r>
          </w:p>
        </w:tc>
        <w:tc>
          <w:tcPr>
            <w:tcW w:w="143" w:type="pct"/>
            <w:tcBorders>
              <w:top w:val="single" w:sz="4" w:space="0" w:color="auto"/>
              <w:left w:val="nil"/>
              <w:bottom w:val="single" w:sz="4" w:space="0" w:color="auto"/>
              <w:right w:val="nil"/>
            </w:tcBorders>
            <w:shd w:val="clear" w:color="000000" w:fill="FFFFFF"/>
            <w:noWrap/>
            <w:vAlign w:val="center"/>
            <w:hideMark/>
          </w:tcPr>
          <w:p w14:paraId="3311902B"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838" w:type="pct"/>
            <w:gridSpan w:val="2"/>
            <w:tcBorders>
              <w:top w:val="single" w:sz="4" w:space="0" w:color="auto"/>
              <w:left w:val="nil"/>
              <w:bottom w:val="single" w:sz="4" w:space="0" w:color="auto"/>
              <w:right w:val="nil"/>
            </w:tcBorders>
            <w:shd w:val="clear" w:color="000000" w:fill="FFFFFF"/>
            <w:noWrap/>
            <w:vAlign w:val="center"/>
            <w:hideMark/>
          </w:tcPr>
          <w:p w14:paraId="43D49444" w14:textId="77777777" w:rsidR="00F43115" w:rsidRPr="00F43115" w:rsidRDefault="00F43115" w:rsidP="00F43115">
            <w:pPr>
              <w:spacing w:line="240" w:lineRule="auto"/>
              <w:jc w:val="center"/>
              <w:rPr>
                <w:i/>
                <w:iCs/>
                <w:color w:val="000000"/>
                <w:sz w:val="22"/>
                <w:szCs w:val="22"/>
                <w:lang w:val="en-US" w:eastAsia="en-US"/>
              </w:rPr>
            </w:pPr>
            <w:r w:rsidRPr="00F43115">
              <w:rPr>
                <w:i/>
                <w:iCs/>
                <w:color w:val="000000"/>
                <w:sz w:val="22"/>
                <w:szCs w:val="22"/>
                <w:lang w:val="en-US" w:eastAsia="en-US"/>
              </w:rPr>
              <w:t xml:space="preserve">2,379 </w:t>
            </w:r>
          </w:p>
        </w:tc>
        <w:tc>
          <w:tcPr>
            <w:tcW w:w="143" w:type="pct"/>
            <w:tcBorders>
              <w:top w:val="single" w:sz="4" w:space="0" w:color="auto"/>
              <w:left w:val="nil"/>
              <w:bottom w:val="single" w:sz="4" w:space="0" w:color="auto"/>
              <w:right w:val="nil"/>
            </w:tcBorders>
            <w:shd w:val="clear" w:color="000000" w:fill="FFFFFF"/>
            <w:noWrap/>
            <w:vAlign w:val="center"/>
            <w:hideMark/>
          </w:tcPr>
          <w:p w14:paraId="4D48DBF4"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892" w:type="pct"/>
            <w:gridSpan w:val="2"/>
            <w:tcBorders>
              <w:top w:val="single" w:sz="4" w:space="0" w:color="auto"/>
              <w:left w:val="nil"/>
              <w:bottom w:val="single" w:sz="4" w:space="0" w:color="auto"/>
              <w:right w:val="nil"/>
            </w:tcBorders>
            <w:shd w:val="clear" w:color="000000" w:fill="FFFFFF"/>
            <w:noWrap/>
            <w:vAlign w:val="center"/>
            <w:hideMark/>
          </w:tcPr>
          <w:p w14:paraId="7F2B0504" w14:textId="77777777" w:rsidR="00F43115" w:rsidRPr="00F43115" w:rsidRDefault="00F43115" w:rsidP="00F43115">
            <w:pPr>
              <w:spacing w:line="240" w:lineRule="auto"/>
              <w:jc w:val="center"/>
              <w:rPr>
                <w:i/>
                <w:iCs/>
                <w:color w:val="000000"/>
                <w:sz w:val="22"/>
                <w:szCs w:val="22"/>
                <w:lang w:val="en-US" w:eastAsia="en-US"/>
              </w:rPr>
            </w:pPr>
            <w:r w:rsidRPr="00F43115">
              <w:rPr>
                <w:i/>
                <w:iCs/>
                <w:color w:val="000000"/>
                <w:sz w:val="22"/>
                <w:szCs w:val="22"/>
                <w:lang w:val="en-US" w:eastAsia="en-US"/>
              </w:rPr>
              <w:t xml:space="preserve">1,698 </w:t>
            </w:r>
          </w:p>
        </w:tc>
        <w:tc>
          <w:tcPr>
            <w:tcW w:w="143" w:type="pct"/>
            <w:tcBorders>
              <w:top w:val="single" w:sz="4" w:space="0" w:color="auto"/>
              <w:left w:val="nil"/>
              <w:bottom w:val="single" w:sz="4" w:space="0" w:color="auto"/>
              <w:right w:val="nil"/>
            </w:tcBorders>
            <w:shd w:val="clear" w:color="000000" w:fill="FFFFFF"/>
            <w:noWrap/>
            <w:vAlign w:val="center"/>
            <w:hideMark/>
          </w:tcPr>
          <w:p w14:paraId="306C6171" w14:textId="77777777" w:rsidR="00F43115" w:rsidRPr="00F43115" w:rsidRDefault="00F43115" w:rsidP="00F43115">
            <w:pPr>
              <w:spacing w:line="240" w:lineRule="auto"/>
              <w:rPr>
                <w:color w:val="000000"/>
                <w:sz w:val="22"/>
                <w:szCs w:val="22"/>
                <w:lang w:val="en-US" w:eastAsia="en-US"/>
              </w:rPr>
            </w:pPr>
            <w:r w:rsidRPr="00F43115">
              <w:rPr>
                <w:color w:val="000000"/>
                <w:sz w:val="22"/>
                <w:szCs w:val="22"/>
                <w:lang w:val="en-US" w:eastAsia="en-US"/>
              </w:rPr>
              <w:t> </w:t>
            </w:r>
          </w:p>
        </w:tc>
        <w:tc>
          <w:tcPr>
            <w:tcW w:w="838" w:type="pct"/>
            <w:gridSpan w:val="2"/>
            <w:tcBorders>
              <w:top w:val="single" w:sz="4" w:space="0" w:color="auto"/>
              <w:left w:val="nil"/>
              <w:bottom w:val="single" w:sz="4" w:space="0" w:color="auto"/>
              <w:right w:val="nil"/>
            </w:tcBorders>
            <w:shd w:val="clear" w:color="000000" w:fill="FFFFFF"/>
            <w:noWrap/>
            <w:vAlign w:val="center"/>
            <w:hideMark/>
          </w:tcPr>
          <w:p w14:paraId="48E2F09C" w14:textId="77777777" w:rsidR="00F43115" w:rsidRPr="00F43115" w:rsidRDefault="00F43115" w:rsidP="00F43115">
            <w:pPr>
              <w:spacing w:line="240" w:lineRule="auto"/>
              <w:jc w:val="center"/>
              <w:rPr>
                <w:i/>
                <w:iCs/>
                <w:color w:val="000000"/>
                <w:sz w:val="22"/>
                <w:szCs w:val="22"/>
                <w:lang w:val="en-US" w:eastAsia="en-US"/>
              </w:rPr>
            </w:pPr>
            <w:r w:rsidRPr="00F43115">
              <w:rPr>
                <w:i/>
                <w:iCs/>
                <w:color w:val="000000"/>
                <w:sz w:val="22"/>
                <w:szCs w:val="22"/>
                <w:lang w:val="en-US" w:eastAsia="en-US"/>
              </w:rPr>
              <w:t xml:space="preserve">1,404 </w:t>
            </w:r>
          </w:p>
        </w:tc>
      </w:tr>
    </w:tbl>
    <w:p w14:paraId="220352AD" w14:textId="39ACC4E9" w:rsidR="00F43115" w:rsidRDefault="00F43115" w:rsidP="00F43115">
      <w:pPr>
        <w:pStyle w:val="Displayedquotation"/>
        <w:spacing w:line="480" w:lineRule="auto"/>
        <w:ind w:left="0" w:right="39"/>
        <w:jc w:val="both"/>
        <w:rPr>
          <w:color w:val="000000"/>
          <w:position w:val="-10"/>
          <w:sz w:val="24"/>
        </w:rPr>
      </w:pPr>
      <w:r>
        <w:rPr>
          <w:color w:val="000000"/>
          <w:position w:val="-10"/>
          <w:sz w:val="24"/>
        </w:rPr>
        <w:tab/>
      </w:r>
      <w:r w:rsidRPr="00F43115">
        <w:rPr>
          <w:color w:val="000000"/>
          <w:position w:val="-10"/>
          <w:sz w:val="24"/>
        </w:rPr>
        <w:t>From this table, some interesting differences arise among the subgroups of language spoken. Regardi</w:t>
      </w:r>
      <w:r>
        <w:rPr>
          <w:color w:val="000000"/>
          <w:position w:val="-10"/>
          <w:sz w:val="24"/>
        </w:rPr>
        <w:t>ng gender, the female Guaraní</w:t>
      </w:r>
      <w:r w:rsidRPr="00F43115">
        <w:rPr>
          <w:color w:val="000000"/>
          <w:position w:val="-10"/>
          <w:sz w:val="24"/>
        </w:rPr>
        <w:t xml:space="preserve"> speaking group accounts for about 46 perc</w:t>
      </w:r>
      <w:r>
        <w:rPr>
          <w:color w:val="000000"/>
          <w:position w:val="-10"/>
          <w:sz w:val="24"/>
        </w:rPr>
        <w:t>ent of the sample of Guaraní</w:t>
      </w:r>
      <w:r w:rsidRPr="00F43115">
        <w:rPr>
          <w:color w:val="000000"/>
          <w:position w:val="-10"/>
          <w:sz w:val="24"/>
        </w:rPr>
        <w:t xml:space="preserve"> speaking students, while in the case of Spanish and bilingual speakers this proportion is about 51.4 and 52.5 percent, respectively. Regarding birth order</w:t>
      </w:r>
      <w:r>
        <w:rPr>
          <w:color w:val="000000"/>
          <w:position w:val="-10"/>
          <w:sz w:val="24"/>
        </w:rPr>
        <w:t>s, 47 percent of the Guaraní</w:t>
      </w:r>
      <w:r w:rsidRPr="00F43115">
        <w:rPr>
          <w:color w:val="000000"/>
          <w:position w:val="-10"/>
          <w:sz w:val="24"/>
        </w:rPr>
        <w:t xml:space="preserve"> speakers </w:t>
      </w:r>
      <w:r w:rsidR="00E80A77">
        <w:rPr>
          <w:color w:val="000000"/>
          <w:position w:val="-10"/>
          <w:sz w:val="24"/>
        </w:rPr>
        <w:t xml:space="preserve">in the </w:t>
      </w:r>
      <w:r w:rsidRPr="00F43115">
        <w:rPr>
          <w:color w:val="000000"/>
          <w:position w:val="-10"/>
          <w:sz w:val="24"/>
        </w:rPr>
        <w:t>sample are firstborns, while in the case of Spanish and bilingual speakers, this proportion reaches 57.3 and 53.6 percent, respectively. Moreover, 20.7 percent of these firstborns are f</w:t>
      </w:r>
      <w:r>
        <w:rPr>
          <w:color w:val="000000"/>
          <w:position w:val="-10"/>
          <w:sz w:val="24"/>
        </w:rPr>
        <w:t>emales in the case of Guaraní</w:t>
      </w:r>
      <w:r w:rsidRPr="00F43115">
        <w:rPr>
          <w:color w:val="000000"/>
          <w:position w:val="-10"/>
          <w:sz w:val="24"/>
        </w:rPr>
        <w:t xml:space="preserve"> speakers, while 29.2 and 28.2 percent of Spanish and bilingual speakers are female firstborns, respectively. What refers to access to health insurance, only a</w:t>
      </w:r>
      <w:r>
        <w:rPr>
          <w:color w:val="000000"/>
          <w:position w:val="-10"/>
          <w:sz w:val="24"/>
        </w:rPr>
        <w:t xml:space="preserve"> small proportion of Guaraní</w:t>
      </w:r>
      <w:r w:rsidRPr="00F43115">
        <w:rPr>
          <w:color w:val="000000"/>
          <w:position w:val="-10"/>
          <w:sz w:val="24"/>
        </w:rPr>
        <w:t xml:space="preserve"> speaker students have health insurance (about 5 percent). In contrast, about 40 percent of Spanish speaker students have health insurance. These statistics also highlight th</w:t>
      </w:r>
      <w:r>
        <w:rPr>
          <w:color w:val="000000"/>
          <w:position w:val="-10"/>
          <w:sz w:val="24"/>
        </w:rPr>
        <w:t>at the proportion of Guaraní</w:t>
      </w:r>
      <w:r w:rsidRPr="00F43115">
        <w:rPr>
          <w:color w:val="000000"/>
          <w:position w:val="-10"/>
          <w:sz w:val="24"/>
        </w:rPr>
        <w:t xml:space="preserve"> speaking students that drop out of primary school is greater than Spanish and bilingual speakers.</w:t>
      </w:r>
      <w:r>
        <w:rPr>
          <w:color w:val="000000"/>
          <w:position w:val="-10"/>
          <w:sz w:val="24"/>
        </w:rPr>
        <w:t xml:space="preserve"> </w:t>
      </w:r>
    </w:p>
    <w:p w14:paraId="25097C36" w14:textId="77777777" w:rsidR="00A76200" w:rsidRDefault="00F43115" w:rsidP="00F43115">
      <w:pPr>
        <w:pStyle w:val="Displayedquotation"/>
        <w:spacing w:line="480" w:lineRule="auto"/>
        <w:ind w:left="0" w:right="39"/>
        <w:jc w:val="both"/>
        <w:rPr>
          <w:color w:val="000000"/>
          <w:position w:val="-10"/>
          <w:sz w:val="24"/>
        </w:rPr>
      </w:pPr>
      <w:r>
        <w:rPr>
          <w:color w:val="000000"/>
          <w:position w:val="-10"/>
          <w:sz w:val="24"/>
        </w:rPr>
        <w:tab/>
      </w:r>
      <w:r w:rsidRPr="00F43115">
        <w:rPr>
          <w:color w:val="000000"/>
          <w:position w:val="-10"/>
          <w:sz w:val="24"/>
        </w:rPr>
        <w:t>Among other characteristics, large differences between schooling years of the most educated female in the household by language g</w:t>
      </w:r>
      <w:r>
        <w:rPr>
          <w:color w:val="000000"/>
          <w:position w:val="-10"/>
          <w:sz w:val="24"/>
        </w:rPr>
        <w:t>roup can be seen. In Guaraní</w:t>
      </w:r>
      <w:r w:rsidRPr="00F43115">
        <w:rPr>
          <w:color w:val="000000"/>
          <w:position w:val="-10"/>
          <w:sz w:val="24"/>
        </w:rPr>
        <w:t xml:space="preserve"> speakers’ households, on average, the most educated female obtains 5.3 years of schooling while in Spanish speaker households, they have about 11 years of schooling, on average. In additio</w:t>
      </w:r>
      <w:r>
        <w:rPr>
          <w:color w:val="000000"/>
          <w:position w:val="-10"/>
          <w:sz w:val="24"/>
        </w:rPr>
        <w:t>n, the proportion of Guaraní</w:t>
      </w:r>
      <w:r w:rsidRPr="00F43115">
        <w:rPr>
          <w:color w:val="000000"/>
          <w:position w:val="-10"/>
          <w:sz w:val="24"/>
        </w:rPr>
        <w:t xml:space="preserve"> speaker households that participates </w:t>
      </w:r>
      <w:r w:rsidRPr="00F43115">
        <w:rPr>
          <w:color w:val="000000"/>
          <w:position w:val="-10"/>
          <w:sz w:val="24"/>
        </w:rPr>
        <w:lastRenderedPageBreak/>
        <w:t>in a social program, such as cash conditional transfers programs is about 75 percent,</w:t>
      </w:r>
      <w:r>
        <w:rPr>
          <w:color w:val="000000"/>
          <w:position w:val="-10"/>
          <w:sz w:val="24"/>
        </w:rPr>
        <w:t xml:space="preserve"> </w:t>
      </w:r>
      <w:r w:rsidRPr="00F43115">
        <w:rPr>
          <w:color w:val="000000"/>
          <w:position w:val="-10"/>
          <w:sz w:val="24"/>
        </w:rPr>
        <w:t>which is higher than their Spanish and bilingual counterparts.</w:t>
      </w:r>
      <w:r w:rsidR="00A76200">
        <w:rPr>
          <w:color w:val="000000"/>
          <w:position w:val="-10"/>
          <w:sz w:val="24"/>
        </w:rPr>
        <w:t xml:space="preserve"> </w:t>
      </w:r>
    </w:p>
    <w:p w14:paraId="0C0AD883" w14:textId="64465C01" w:rsidR="00F43115" w:rsidRDefault="00A76200" w:rsidP="00F43115">
      <w:pPr>
        <w:pStyle w:val="Displayedquotation"/>
        <w:spacing w:line="480" w:lineRule="auto"/>
        <w:ind w:left="0" w:right="39"/>
        <w:jc w:val="both"/>
        <w:rPr>
          <w:color w:val="000000"/>
          <w:position w:val="-10"/>
          <w:sz w:val="24"/>
        </w:rPr>
      </w:pPr>
      <w:r>
        <w:rPr>
          <w:color w:val="000000"/>
          <w:position w:val="-10"/>
          <w:sz w:val="24"/>
        </w:rPr>
        <w:tab/>
      </w:r>
      <w:r w:rsidRPr="00A76200">
        <w:rPr>
          <w:color w:val="000000"/>
          <w:position w:val="-10"/>
          <w:sz w:val="24"/>
        </w:rPr>
        <w:t>What refers to the wealth index, on average Spanish speaker households’ w</w:t>
      </w:r>
      <w:r>
        <w:rPr>
          <w:color w:val="000000"/>
          <w:position w:val="-10"/>
          <w:sz w:val="24"/>
        </w:rPr>
        <w:t>ealth is higher than Guaraní</w:t>
      </w:r>
      <w:r w:rsidRPr="00A76200">
        <w:rPr>
          <w:color w:val="000000"/>
          <w:position w:val="-10"/>
          <w:sz w:val="24"/>
        </w:rPr>
        <w:t xml:space="preserve"> and bilingual speaker households. This difference might be reflecting the high inequality that has persisted in the country for a long time. Finally, a higher proportio</w:t>
      </w:r>
      <w:r>
        <w:rPr>
          <w:color w:val="000000"/>
          <w:position w:val="-10"/>
          <w:sz w:val="24"/>
        </w:rPr>
        <w:t>n of bilingual and Guaraní</w:t>
      </w:r>
      <w:r w:rsidRPr="00A76200">
        <w:rPr>
          <w:color w:val="000000"/>
          <w:position w:val="-10"/>
          <w:sz w:val="24"/>
        </w:rPr>
        <w:t xml:space="preserve"> speakers migrated from rural(urban) to urban(rural) areas, in comparison to their Spanish and bilingual speakers’ counterparts.</w:t>
      </w:r>
    </w:p>
    <w:p w14:paraId="07CBDA12" w14:textId="5DF48DB0" w:rsidR="00A76200" w:rsidRPr="00E222F0" w:rsidRDefault="00A76200" w:rsidP="00E222F0">
      <w:pPr>
        <w:pStyle w:val="Heading1"/>
        <w:spacing w:before="0" w:after="0" w:line="480" w:lineRule="auto"/>
        <w:ind w:right="0"/>
        <w:contextualSpacing w:val="0"/>
        <w:jc w:val="center"/>
        <w:rPr>
          <w:lang w:val="en-US" w:eastAsia="ru-RU"/>
        </w:rPr>
      </w:pPr>
      <w:r w:rsidRPr="00E222F0">
        <w:rPr>
          <w:lang w:val="en-US" w:eastAsia="ru-RU"/>
        </w:rPr>
        <w:t>Results</w:t>
      </w:r>
    </w:p>
    <w:p w14:paraId="09EC8330" w14:textId="04FC4FEB" w:rsidR="004B6B79" w:rsidRPr="005A56C5" w:rsidRDefault="004B6B79" w:rsidP="00E222F0">
      <w:pPr>
        <w:pStyle w:val="Heading2"/>
        <w:spacing w:before="0" w:after="0" w:line="480" w:lineRule="auto"/>
        <w:ind w:right="0"/>
        <w:contextualSpacing w:val="0"/>
        <w:rPr>
          <w:bCs w:val="0"/>
          <w:kern w:val="32"/>
          <w:lang w:val="en-US" w:eastAsia="ru-RU"/>
        </w:rPr>
      </w:pPr>
      <w:r w:rsidRPr="005A56C5">
        <w:rPr>
          <w:bCs w:val="0"/>
          <w:kern w:val="32"/>
          <w:lang w:val="en-US" w:eastAsia="ru-RU"/>
        </w:rPr>
        <w:t xml:space="preserve">A Preliminary Examination of Drop Outs </w:t>
      </w:r>
    </w:p>
    <w:p w14:paraId="1D1E8C4F" w14:textId="5115CFAF" w:rsidR="00815692" w:rsidRDefault="00A76200" w:rsidP="00A76200">
      <w:pPr>
        <w:pStyle w:val="Paragraph"/>
        <w:ind w:firstLine="720"/>
        <w:jc w:val="both"/>
      </w:pPr>
      <w:r>
        <w:t>Table 3</w:t>
      </w:r>
      <w:r w:rsidRPr="00A76200">
        <w:t xml:space="preserve"> allows for a closer look at the descriptive statistics of the sub-sample of students that dropped out of primary school, while Table </w:t>
      </w:r>
      <w:r>
        <w:t>4</w:t>
      </w:r>
      <w:r w:rsidRPr="00A76200">
        <w:t xml:space="preserve"> summarizes the most important reasons for dropping out reported in the survey. These two tables combined provide a better understanding of the profile of students that have dropped out of primary school.</w:t>
      </w:r>
    </w:p>
    <w:p w14:paraId="4CCD4AAF" w14:textId="74BB5C3E" w:rsidR="00A76200" w:rsidRPr="00A76200" w:rsidRDefault="00A76200" w:rsidP="00A76200">
      <w:pPr>
        <w:pStyle w:val="Newparagraph"/>
        <w:jc w:val="both"/>
      </w:pPr>
      <w:r w:rsidRPr="00A76200">
        <w:t>From this sub-sample, the proportion of females that drop out is lower than males, thus in line with what has been suggested in a branch of the literature on dropouts. Furthermore, a large proportion of those</w:t>
      </w:r>
      <w:r>
        <w:t xml:space="preserve"> who dropped out are Guaraní</w:t>
      </w:r>
      <w:r w:rsidRPr="00A76200">
        <w:t xml:space="preserve"> speakers. In addition, the proportion of students with no access to health insurance and first-born children is significantly high in this sub-sample. The later might be denoting the high rivalry among siblings at the time of competing for resources. This is reinforced by the observation that children that dropped out come from households that on average have two more school-aged children in addition to the one that dropped out. These children also come from households were the most educated female obtain on average 4.6 years of schooling. </w:t>
      </w:r>
    </w:p>
    <w:p w14:paraId="741EBAEC" w14:textId="2F7B76EA" w:rsidR="00A76200" w:rsidRPr="00A76200" w:rsidRDefault="00A76200" w:rsidP="00A76200">
      <w:pPr>
        <w:pStyle w:val="Caption"/>
        <w:keepNext/>
        <w:jc w:val="center"/>
        <w:rPr>
          <w:color w:val="auto"/>
          <w:sz w:val="24"/>
        </w:rPr>
      </w:pPr>
      <w:r w:rsidRPr="00A76200">
        <w:rPr>
          <w:color w:val="auto"/>
          <w:sz w:val="24"/>
        </w:rPr>
        <w:lastRenderedPageBreak/>
        <w:t xml:space="preserve">Table </w:t>
      </w:r>
      <w:r w:rsidRPr="00A76200">
        <w:rPr>
          <w:color w:val="auto"/>
          <w:sz w:val="24"/>
        </w:rPr>
        <w:fldChar w:fldCharType="begin"/>
      </w:r>
      <w:r w:rsidRPr="00A76200">
        <w:rPr>
          <w:color w:val="auto"/>
          <w:sz w:val="24"/>
        </w:rPr>
        <w:instrText xml:space="preserve"> SEQ Table \* ARABIC </w:instrText>
      </w:r>
      <w:r w:rsidRPr="00A76200">
        <w:rPr>
          <w:color w:val="auto"/>
          <w:sz w:val="24"/>
        </w:rPr>
        <w:fldChar w:fldCharType="separate"/>
      </w:r>
      <w:r w:rsidR="00F72AD8">
        <w:rPr>
          <w:noProof/>
          <w:color w:val="auto"/>
          <w:sz w:val="24"/>
        </w:rPr>
        <w:t>3</w:t>
      </w:r>
      <w:r w:rsidRPr="00A76200">
        <w:rPr>
          <w:color w:val="auto"/>
          <w:sz w:val="24"/>
        </w:rPr>
        <w:fldChar w:fldCharType="end"/>
      </w:r>
      <w:r w:rsidRPr="00A76200">
        <w:rPr>
          <w:color w:val="auto"/>
          <w:sz w:val="24"/>
        </w:rPr>
        <w:t xml:space="preserve"> - Descriptive Statistics for Dropouts</w:t>
      </w:r>
    </w:p>
    <w:tbl>
      <w:tblPr>
        <w:tblW w:w="6529" w:type="dxa"/>
        <w:jc w:val="center"/>
        <w:tblLook w:val="04A0" w:firstRow="1" w:lastRow="0" w:firstColumn="1" w:lastColumn="0" w:noHBand="0" w:noVBand="1"/>
      </w:tblPr>
      <w:tblGrid>
        <w:gridCol w:w="271"/>
        <w:gridCol w:w="2158"/>
        <w:gridCol w:w="1380"/>
        <w:gridCol w:w="1300"/>
        <w:gridCol w:w="1420"/>
      </w:tblGrid>
      <w:tr w:rsidR="00A76200" w:rsidRPr="00A76200" w14:paraId="2D64D21F" w14:textId="77777777" w:rsidTr="00A76200">
        <w:trPr>
          <w:trHeight w:val="300"/>
          <w:jc w:val="center"/>
        </w:trPr>
        <w:tc>
          <w:tcPr>
            <w:tcW w:w="2429" w:type="dxa"/>
            <w:gridSpan w:val="2"/>
            <w:tcBorders>
              <w:top w:val="single" w:sz="4" w:space="0" w:color="auto"/>
              <w:left w:val="nil"/>
              <w:bottom w:val="single" w:sz="4" w:space="0" w:color="auto"/>
              <w:right w:val="nil"/>
            </w:tcBorders>
            <w:shd w:val="clear" w:color="000000" w:fill="FFFFFF"/>
            <w:noWrap/>
            <w:vAlign w:val="center"/>
            <w:hideMark/>
          </w:tcPr>
          <w:p w14:paraId="1FF21E99" w14:textId="77777777" w:rsidR="00A76200" w:rsidRPr="00A76200" w:rsidRDefault="00A76200" w:rsidP="00A76200">
            <w:pPr>
              <w:spacing w:line="240" w:lineRule="auto"/>
              <w:rPr>
                <w:b/>
                <w:color w:val="000000"/>
                <w:sz w:val="22"/>
                <w:szCs w:val="22"/>
                <w:lang w:val="en-US" w:eastAsia="en-US"/>
              </w:rPr>
            </w:pPr>
            <w:r w:rsidRPr="00A76200">
              <w:rPr>
                <w:b/>
                <w:color w:val="000000"/>
                <w:sz w:val="22"/>
                <w:szCs w:val="22"/>
                <w:lang w:val="en-US" w:eastAsia="en-US"/>
              </w:rPr>
              <w:t>Variables</w:t>
            </w:r>
          </w:p>
        </w:tc>
        <w:tc>
          <w:tcPr>
            <w:tcW w:w="1380" w:type="dxa"/>
            <w:tcBorders>
              <w:top w:val="single" w:sz="4" w:space="0" w:color="auto"/>
              <w:left w:val="nil"/>
              <w:bottom w:val="single" w:sz="4" w:space="0" w:color="auto"/>
              <w:right w:val="nil"/>
            </w:tcBorders>
            <w:shd w:val="clear" w:color="000000" w:fill="FFFFFF"/>
            <w:noWrap/>
            <w:vAlign w:val="center"/>
            <w:hideMark/>
          </w:tcPr>
          <w:p w14:paraId="268CA2DC" w14:textId="77777777" w:rsidR="00A76200" w:rsidRPr="00A76200" w:rsidRDefault="00A76200" w:rsidP="00A76200">
            <w:pPr>
              <w:spacing w:line="240" w:lineRule="auto"/>
              <w:rPr>
                <w:b/>
                <w:color w:val="000000"/>
                <w:sz w:val="22"/>
                <w:szCs w:val="22"/>
                <w:lang w:val="en-US" w:eastAsia="en-US"/>
              </w:rPr>
            </w:pPr>
            <w:r w:rsidRPr="00A76200">
              <w:rPr>
                <w:b/>
                <w:color w:val="000000"/>
                <w:sz w:val="22"/>
                <w:szCs w:val="22"/>
                <w:lang w:val="en-US" w:eastAsia="en-US"/>
              </w:rPr>
              <w:t> </w:t>
            </w:r>
          </w:p>
        </w:tc>
        <w:tc>
          <w:tcPr>
            <w:tcW w:w="1300" w:type="dxa"/>
            <w:tcBorders>
              <w:top w:val="single" w:sz="4" w:space="0" w:color="auto"/>
              <w:left w:val="nil"/>
              <w:bottom w:val="single" w:sz="4" w:space="0" w:color="auto"/>
              <w:right w:val="nil"/>
            </w:tcBorders>
            <w:shd w:val="clear" w:color="000000" w:fill="FFFFFF"/>
            <w:noWrap/>
            <w:vAlign w:val="center"/>
            <w:hideMark/>
          </w:tcPr>
          <w:p w14:paraId="7C508C23" w14:textId="77777777" w:rsidR="00A76200" w:rsidRPr="00A76200" w:rsidRDefault="00A76200" w:rsidP="00A76200">
            <w:pPr>
              <w:spacing w:line="240" w:lineRule="auto"/>
              <w:jc w:val="center"/>
              <w:rPr>
                <w:b/>
                <w:color w:val="000000"/>
                <w:sz w:val="22"/>
                <w:szCs w:val="22"/>
                <w:lang w:val="en-US" w:eastAsia="en-US"/>
              </w:rPr>
            </w:pPr>
            <w:r w:rsidRPr="00A76200">
              <w:rPr>
                <w:b/>
                <w:color w:val="000000"/>
                <w:sz w:val="22"/>
                <w:szCs w:val="22"/>
                <w:lang w:val="en-US" w:eastAsia="en-US"/>
              </w:rPr>
              <w:t>Mean</w:t>
            </w:r>
          </w:p>
        </w:tc>
        <w:tc>
          <w:tcPr>
            <w:tcW w:w="1420" w:type="dxa"/>
            <w:tcBorders>
              <w:top w:val="single" w:sz="4" w:space="0" w:color="auto"/>
              <w:left w:val="nil"/>
              <w:bottom w:val="single" w:sz="4" w:space="0" w:color="auto"/>
              <w:right w:val="nil"/>
            </w:tcBorders>
            <w:shd w:val="clear" w:color="000000" w:fill="FFFFFF"/>
            <w:noWrap/>
            <w:vAlign w:val="center"/>
            <w:hideMark/>
          </w:tcPr>
          <w:p w14:paraId="391D2017" w14:textId="77777777" w:rsidR="00A76200" w:rsidRPr="00A76200" w:rsidRDefault="00A76200" w:rsidP="00A76200">
            <w:pPr>
              <w:spacing w:line="240" w:lineRule="auto"/>
              <w:jc w:val="center"/>
              <w:rPr>
                <w:b/>
                <w:color w:val="000000"/>
                <w:sz w:val="22"/>
                <w:szCs w:val="22"/>
                <w:lang w:val="en-US" w:eastAsia="en-US"/>
              </w:rPr>
            </w:pPr>
            <w:r w:rsidRPr="00A76200">
              <w:rPr>
                <w:b/>
                <w:color w:val="000000"/>
                <w:sz w:val="22"/>
                <w:szCs w:val="22"/>
                <w:lang w:val="en-US" w:eastAsia="en-US"/>
              </w:rPr>
              <w:t>Std. Er.</w:t>
            </w:r>
          </w:p>
        </w:tc>
      </w:tr>
      <w:tr w:rsidR="00A76200" w:rsidRPr="00A76200" w14:paraId="175C7D1C" w14:textId="77777777" w:rsidTr="00A76200">
        <w:trPr>
          <w:trHeight w:val="290"/>
          <w:jc w:val="center"/>
        </w:trPr>
        <w:tc>
          <w:tcPr>
            <w:tcW w:w="3809" w:type="dxa"/>
            <w:gridSpan w:val="3"/>
            <w:tcBorders>
              <w:top w:val="nil"/>
              <w:left w:val="nil"/>
              <w:bottom w:val="nil"/>
              <w:right w:val="nil"/>
            </w:tcBorders>
            <w:shd w:val="clear" w:color="000000" w:fill="FFFFFF"/>
            <w:noWrap/>
            <w:vAlign w:val="center"/>
            <w:hideMark/>
          </w:tcPr>
          <w:p w14:paraId="0FDDB8D8" w14:textId="77777777" w:rsidR="00A76200" w:rsidRPr="00A76200" w:rsidRDefault="00A76200" w:rsidP="00A76200">
            <w:pPr>
              <w:spacing w:line="240" w:lineRule="auto"/>
              <w:rPr>
                <w:i/>
                <w:iCs/>
                <w:color w:val="000000"/>
                <w:sz w:val="22"/>
                <w:szCs w:val="22"/>
                <w:u w:val="single"/>
                <w:lang w:val="en-US" w:eastAsia="en-US"/>
              </w:rPr>
            </w:pPr>
            <w:r w:rsidRPr="00A76200">
              <w:rPr>
                <w:i/>
                <w:iCs/>
                <w:color w:val="000000"/>
                <w:sz w:val="22"/>
                <w:szCs w:val="22"/>
                <w:u w:val="single"/>
                <w:lang w:val="en-US" w:eastAsia="en-US"/>
              </w:rPr>
              <w:t>Children Characteristics</w:t>
            </w:r>
          </w:p>
        </w:tc>
        <w:tc>
          <w:tcPr>
            <w:tcW w:w="1300" w:type="dxa"/>
            <w:tcBorders>
              <w:top w:val="nil"/>
              <w:left w:val="nil"/>
              <w:bottom w:val="nil"/>
              <w:right w:val="nil"/>
            </w:tcBorders>
            <w:shd w:val="clear" w:color="000000" w:fill="FFFFFF"/>
            <w:noWrap/>
            <w:vAlign w:val="bottom"/>
            <w:hideMark/>
          </w:tcPr>
          <w:p w14:paraId="4808F82E"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 </w:t>
            </w:r>
          </w:p>
        </w:tc>
        <w:tc>
          <w:tcPr>
            <w:tcW w:w="1420" w:type="dxa"/>
            <w:tcBorders>
              <w:top w:val="nil"/>
              <w:left w:val="nil"/>
              <w:bottom w:val="nil"/>
              <w:right w:val="nil"/>
            </w:tcBorders>
            <w:shd w:val="clear" w:color="000000" w:fill="FFFFFF"/>
            <w:noWrap/>
            <w:vAlign w:val="bottom"/>
            <w:hideMark/>
          </w:tcPr>
          <w:p w14:paraId="1B25E204"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 </w:t>
            </w:r>
          </w:p>
        </w:tc>
      </w:tr>
      <w:tr w:rsidR="00A76200" w:rsidRPr="00A76200" w14:paraId="791EA334" w14:textId="77777777" w:rsidTr="00A76200">
        <w:trPr>
          <w:trHeight w:val="290"/>
          <w:jc w:val="center"/>
        </w:trPr>
        <w:tc>
          <w:tcPr>
            <w:tcW w:w="271" w:type="dxa"/>
            <w:tcBorders>
              <w:top w:val="nil"/>
              <w:left w:val="nil"/>
              <w:bottom w:val="nil"/>
              <w:right w:val="nil"/>
            </w:tcBorders>
            <w:shd w:val="clear" w:color="000000" w:fill="FFFFFF"/>
            <w:noWrap/>
            <w:vAlign w:val="bottom"/>
            <w:hideMark/>
          </w:tcPr>
          <w:p w14:paraId="523863DA"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2158" w:type="dxa"/>
            <w:tcBorders>
              <w:top w:val="nil"/>
              <w:left w:val="nil"/>
              <w:bottom w:val="nil"/>
              <w:right w:val="nil"/>
            </w:tcBorders>
            <w:shd w:val="clear" w:color="000000" w:fill="FFFFFF"/>
            <w:noWrap/>
            <w:vAlign w:val="center"/>
            <w:hideMark/>
          </w:tcPr>
          <w:p w14:paraId="585B8360"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female</w:t>
            </w:r>
          </w:p>
        </w:tc>
        <w:tc>
          <w:tcPr>
            <w:tcW w:w="1380" w:type="dxa"/>
            <w:tcBorders>
              <w:top w:val="nil"/>
              <w:left w:val="nil"/>
              <w:bottom w:val="nil"/>
              <w:right w:val="nil"/>
            </w:tcBorders>
            <w:shd w:val="clear" w:color="000000" w:fill="FFFFFF"/>
            <w:noWrap/>
            <w:vAlign w:val="bottom"/>
            <w:hideMark/>
          </w:tcPr>
          <w:p w14:paraId="49CBEA44"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1300" w:type="dxa"/>
            <w:tcBorders>
              <w:top w:val="nil"/>
              <w:left w:val="nil"/>
              <w:bottom w:val="nil"/>
              <w:right w:val="nil"/>
            </w:tcBorders>
            <w:shd w:val="clear" w:color="000000" w:fill="FFFFFF"/>
            <w:noWrap/>
            <w:vAlign w:val="bottom"/>
            <w:hideMark/>
          </w:tcPr>
          <w:p w14:paraId="2EE71E3A"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0.462</w:t>
            </w:r>
          </w:p>
        </w:tc>
        <w:tc>
          <w:tcPr>
            <w:tcW w:w="1420" w:type="dxa"/>
            <w:tcBorders>
              <w:top w:val="nil"/>
              <w:left w:val="nil"/>
              <w:bottom w:val="nil"/>
              <w:right w:val="nil"/>
            </w:tcBorders>
            <w:shd w:val="clear" w:color="000000" w:fill="FFFFFF"/>
            <w:noWrap/>
            <w:vAlign w:val="bottom"/>
            <w:hideMark/>
          </w:tcPr>
          <w:p w14:paraId="737F63A5"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0.499</w:t>
            </w:r>
          </w:p>
        </w:tc>
      </w:tr>
      <w:tr w:rsidR="00A76200" w:rsidRPr="00A76200" w14:paraId="55EFC246" w14:textId="77777777" w:rsidTr="00A76200">
        <w:trPr>
          <w:trHeight w:val="290"/>
          <w:jc w:val="center"/>
        </w:trPr>
        <w:tc>
          <w:tcPr>
            <w:tcW w:w="271" w:type="dxa"/>
            <w:tcBorders>
              <w:top w:val="nil"/>
              <w:left w:val="nil"/>
              <w:bottom w:val="nil"/>
              <w:right w:val="nil"/>
            </w:tcBorders>
            <w:shd w:val="clear" w:color="000000" w:fill="FFFFFF"/>
            <w:noWrap/>
            <w:vAlign w:val="bottom"/>
            <w:hideMark/>
          </w:tcPr>
          <w:p w14:paraId="2768023F"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2158" w:type="dxa"/>
            <w:tcBorders>
              <w:top w:val="nil"/>
              <w:left w:val="nil"/>
              <w:bottom w:val="nil"/>
              <w:right w:val="nil"/>
            </w:tcBorders>
            <w:shd w:val="clear" w:color="000000" w:fill="FFFFFF"/>
            <w:noWrap/>
            <w:vAlign w:val="center"/>
            <w:hideMark/>
          </w:tcPr>
          <w:p w14:paraId="5C2AE435"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guarani</w:t>
            </w:r>
          </w:p>
        </w:tc>
        <w:tc>
          <w:tcPr>
            <w:tcW w:w="1380" w:type="dxa"/>
            <w:tcBorders>
              <w:top w:val="nil"/>
              <w:left w:val="nil"/>
              <w:bottom w:val="nil"/>
              <w:right w:val="nil"/>
            </w:tcBorders>
            <w:shd w:val="clear" w:color="000000" w:fill="FFFFFF"/>
            <w:noWrap/>
            <w:vAlign w:val="bottom"/>
            <w:hideMark/>
          </w:tcPr>
          <w:p w14:paraId="74819D5E"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1300" w:type="dxa"/>
            <w:tcBorders>
              <w:top w:val="nil"/>
              <w:left w:val="nil"/>
              <w:bottom w:val="nil"/>
              <w:right w:val="nil"/>
            </w:tcBorders>
            <w:shd w:val="clear" w:color="000000" w:fill="FFFFFF"/>
            <w:noWrap/>
            <w:vAlign w:val="bottom"/>
            <w:hideMark/>
          </w:tcPr>
          <w:p w14:paraId="2B7F105E"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0.741</w:t>
            </w:r>
          </w:p>
        </w:tc>
        <w:tc>
          <w:tcPr>
            <w:tcW w:w="1420" w:type="dxa"/>
            <w:tcBorders>
              <w:top w:val="nil"/>
              <w:left w:val="nil"/>
              <w:bottom w:val="nil"/>
              <w:right w:val="nil"/>
            </w:tcBorders>
            <w:shd w:val="clear" w:color="000000" w:fill="FFFFFF"/>
            <w:noWrap/>
            <w:vAlign w:val="bottom"/>
            <w:hideMark/>
          </w:tcPr>
          <w:p w14:paraId="44A3AB4F"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0.439</w:t>
            </w:r>
          </w:p>
        </w:tc>
      </w:tr>
      <w:tr w:rsidR="00A76200" w:rsidRPr="00A76200" w14:paraId="1A379163" w14:textId="77777777" w:rsidTr="00A76200">
        <w:trPr>
          <w:trHeight w:val="290"/>
          <w:jc w:val="center"/>
        </w:trPr>
        <w:tc>
          <w:tcPr>
            <w:tcW w:w="271" w:type="dxa"/>
            <w:tcBorders>
              <w:top w:val="nil"/>
              <w:left w:val="nil"/>
              <w:bottom w:val="nil"/>
              <w:right w:val="nil"/>
            </w:tcBorders>
            <w:shd w:val="clear" w:color="000000" w:fill="FFFFFF"/>
            <w:noWrap/>
            <w:vAlign w:val="bottom"/>
            <w:hideMark/>
          </w:tcPr>
          <w:p w14:paraId="69FCE9B1"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2158" w:type="dxa"/>
            <w:tcBorders>
              <w:top w:val="nil"/>
              <w:left w:val="nil"/>
              <w:bottom w:val="nil"/>
              <w:right w:val="nil"/>
            </w:tcBorders>
            <w:shd w:val="clear" w:color="000000" w:fill="FFFFFF"/>
            <w:noWrap/>
            <w:vAlign w:val="center"/>
            <w:hideMark/>
          </w:tcPr>
          <w:p w14:paraId="269E2B94"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bilingual</w:t>
            </w:r>
          </w:p>
        </w:tc>
        <w:tc>
          <w:tcPr>
            <w:tcW w:w="1380" w:type="dxa"/>
            <w:tcBorders>
              <w:top w:val="nil"/>
              <w:left w:val="nil"/>
              <w:bottom w:val="nil"/>
              <w:right w:val="nil"/>
            </w:tcBorders>
            <w:shd w:val="clear" w:color="000000" w:fill="FFFFFF"/>
            <w:noWrap/>
            <w:vAlign w:val="bottom"/>
            <w:hideMark/>
          </w:tcPr>
          <w:p w14:paraId="1CFAA569"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1300" w:type="dxa"/>
            <w:tcBorders>
              <w:top w:val="nil"/>
              <w:left w:val="nil"/>
              <w:bottom w:val="nil"/>
              <w:right w:val="nil"/>
            </w:tcBorders>
            <w:shd w:val="clear" w:color="000000" w:fill="FFFFFF"/>
            <w:noWrap/>
            <w:vAlign w:val="bottom"/>
            <w:hideMark/>
          </w:tcPr>
          <w:p w14:paraId="56A85C0C"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0.176</w:t>
            </w:r>
          </w:p>
        </w:tc>
        <w:tc>
          <w:tcPr>
            <w:tcW w:w="1420" w:type="dxa"/>
            <w:tcBorders>
              <w:top w:val="nil"/>
              <w:left w:val="nil"/>
              <w:bottom w:val="nil"/>
              <w:right w:val="nil"/>
            </w:tcBorders>
            <w:shd w:val="clear" w:color="000000" w:fill="FFFFFF"/>
            <w:noWrap/>
            <w:vAlign w:val="bottom"/>
            <w:hideMark/>
          </w:tcPr>
          <w:p w14:paraId="13E02D53"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0.382</w:t>
            </w:r>
          </w:p>
        </w:tc>
      </w:tr>
      <w:tr w:rsidR="00A76200" w:rsidRPr="00A76200" w14:paraId="0999EEC2" w14:textId="77777777" w:rsidTr="00A76200">
        <w:trPr>
          <w:trHeight w:val="290"/>
          <w:jc w:val="center"/>
        </w:trPr>
        <w:tc>
          <w:tcPr>
            <w:tcW w:w="271" w:type="dxa"/>
            <w:tcBorders>
              <w:top w:val="nil"/>
              <w:left w:val="nil"/>
              <w:bottom w:val="nil"/>
              <w:right w:val="nil"/>
            </w:tcBorders>
            <w:shd w:val="clear" w:color="000000" w:fill="FFFFFF"/>
            <w:noWrap/>
            <w:vAlign w:val="bottom"/>
            <w:hideMark/>
          </w:tcPr>
          <w:p w14:paraId="60D13A56"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2158" w:type="dxa"/>
            <w:tcBorders>
              <w:top w:val="nil"/>
              <w:left w:val="nil"/>
              <w:bottom w:val="nil"/>
              <w:right w:val="nil"/>
            </w:tcBorders>
            <w:shd w:val="clear" w:color="000000" w:fill="FFFFFF"/>
            <w:noWrap/>
            <w:vAlign w:val="center"/>
            <w:hideMark/>
          </w:tcPr>
          <w:p w14:paraId="55B7D7FF"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spanish</w:t>
            </w:r>
          </w:p>
        </w:tc>
        <w:tc>
          <w:tcPr>
            <w:tcW w:w="1380" w:type="dxa"/>
            <w:tcBorders>
              <w:top w:val="nil"/>
              <w:left w:val="nil"/>
              <w:bottom w:val="nil"/>
              <w:right w:val="nil"/>
            </w:tcBorders>
            <w:shd w:val="clear" w:color="000000" w:fill="FFFFFF"/>
            <w:noWrap/>
            <w:vAlign w:val="bottom"/>
            <w:hideMark/>
          </w:tcPr>
          <w:p w14:paraId="08E63AEA"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1300" w:type="dxa"/>
            <w:tcBorders>
              <w:top w:val="nil"/>
              <w:left w:val="nil"/>
              <w:bottom w:val="nil"/>
              <w:right w:val="nil"/>
            </w:tcBorders>
            <w:shd w:val="clear" w:color="000000" w:fill="FFFFFF"/>
            <w:noWrap/>
            <w:vAlign w:val="bottom"/>
            <w:hideMark/>
          </w:tcPr>
          <w:p w14:paraId="036EDE5B"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0.083</w:t>
            </w:r>
          </w:p>
        </w:tc>
        <w:tc>
          <w:tcPr>
            <w:tcW w:w="1420" w:type="dxa"/>
            <w:tcBorders>
              <w:top w:val="nil"/>
              <w:left w:val="nil"/>
              <w:bottom w:val="nil"/>
              <w:right w:val="nil"/>
            </w:tcBorders>
            <w:shd w:val="clear" w:color="000000" w:fill="FFFFFF"/>
            <w:noWrap/>
            <w:vAlign w:val="bottom"/>
            <w:hideMark/>
          </w:tcPr>
          <w:p w14:paraId="4F54F724"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0.276</w:t>
            </w:r>
          </w:p>
        </w:tc>
      </w:tr>
      <w:tr w:rsidR="00A76200" w:rsidRPr="00A76200" w14:paraId="1D34F313" w14:textId="77777777" w:rsidTr="00A76200">
        <w:trPr>
          <w:trHeight w:val="290"/>
          <w:jc w:val="center"/>
        </w:trPr>
        <w:tc>
          <w:tcPr>
            <w:tcW w:w="271" w:type="dxa"/>
            <w:tcBorders>
              <w:top w:val="nil"/>
              <w:left w:val="nil"/>
              <w:bottom w:val="nil"/>
              <w:right w:val="nil"/>
            </w:tcBorders>
            <w:shd w:val="clear" w:color="000000" w:fill="FFFFFF"/>
            <w:noWrap/>
            <w:vAlign w:val="bottom"/>
            <w:hideMark/>
          </w:tcPr>
          <w:p w14:paraId="7169314F"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2158" w:type="dxa"/>
            <w:tcBorders>
              <w:top w:val="nil"/>
              <w:left w:val="nil"/>
              <w:bottom w:val="nil"/>
              <w:right w:val="nil"/>
            </w:tcBorders>
            <w:shd w:val="clear" w:color="000000" w:fill="FFFFFF"/>
            <w:vAlign w:val="center"/>
            <w:hideMark/>
          </w:tcPr>
          <w:p w14:paraId="6B95A3AD"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firstborn</w:t>
            </w:r>
          </w:p>
        </w:tc>
        <w:tc>
          <w:tcPr>
            <w:tcW w:w="1380" w:type="dxa"/>
            <w:tcBorders>
              <w:top w:val="nil"/>
              <w:left w:val="nil"/>
              <w:bottom w:val="nil"/>
              <w:right w:val="nil"/>
            </w:tcBorders>
            <w:shd w:val="clear" w:color="000000" w:fill="FFFFFF"/>
            <w:noWrap/>
            <w:vAlign w:val="bottom"/>
            <w:hideMark/>
          </w:tcPr>
          <w:p w14:paraId="66B506FA"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1300" w:type="dxa"/>
            <w:tcBorders>
              <w:top w:val="nil"/>
              <w:left w:val="nil"/>
              <w:bottom w:val="nil"/>
              <w:right w:val="nil"/>
            </w:tcBorders>
            <w:shd w:val="clear" w:color="000000" w:fill="FFFFFF"/>
            <w:noWrap/>
            <w:vAlign w:val="bottom"/>
            <w:hideMark/>
          </w:tcPr>
          <w:p w14:paraId="49D98AA6"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0.717</w:t>
            </w:r>
          </w:p>
        </w:tc>
        <w:tc>
          <w:tcPr>
            <w:tcW w:w="1420" w:type="dxa"/>
            <w:tcBorders>
              <w:top w:val="nil"/>
              <w:left w:val="nil"/>
              <w:bottom w:val="nil"/>
              <w:right w:val="nil"/>
            </w:tcBorders>
            <w:shd w:val="clear" w:color="000000" w:fill="FFFFFF"/>
            <w:noWrap/>
            <w:vAlign w:val="bottom"/>
            <w:hideMark/>
          </w:tcPr>
          <w:p w14:paraId="39A8D660"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0.451</w:t>
            </w:r>
          </w:p>
        </w:tc>
      </w:tr>
      <w:tr w:rsidR="00A76200" w:rsidRPr="00A76200" w14:paraId="1C82A45D" w14:textId="77777777" w:rsidTr="00A76200">
        <w:trPr>
          <w:trHeight w:val="290"/>
          <w:jc w:val="center"/>
        </w:trPr>
        <w:tc>
          <w:tcPr>
            <w:tcW w:w="271" w:type="dxa"/>
            <w:tcBorders>
              <w:top w:val="nil"/>
              <w:left w:val="nil"/>
              <w:bottom w:val="nil"/>
              <w:right w:val="nil"/>
            </w:tcBorders>
            <w:shd w:val="clear" w:color="000000" w:fill="FFFFFF"/>
            <w:noWrap/>
            <w:vAlign w:val="bottom"/>
            <w:hideMark/>
          </w:tcPr>
          <w:p w14:paraId="135DDD59"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2158" w:type="dxa"/>
            <w:tcBorders>
              <w:top w:val="nil"/>
              <w:left w:val="nil"/>
              <w:bottom w:val="nil"/>
              <w:right w:val="nil"/>
            </w:tcBorders>
            <w:shd w:val="clear" w:color="000000" w:fill="FFFFFF"/>
            <w:vAlign w:val="center"/>
            <w:hideMark/>
          </w:tcPr>
          <w:p w14:paraId="130150B6"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health_ins</w:t>
            </w:r>
          </w:p>
        </w:tc>
        <w:tc>
          <w:tcPr>
            <w:tcW w:w="1380" w:type="dxa"/>
            <w:tcBorders>
              <w:top w:val="nil"/>
              <w:left w:val="nil"/>
              <w:bottom w:val="nil"/>
              <w:right w:val="nil"/>
            </w:tcBorders>
            <w:shd w:val="clear" w:color="000000" w:fill="FFFFFF"/>
            <w:noWrap/>
            <w:vAlign w:val="bottom"/>
            <w:hideMark/>
          </w:tcPr>
          <w:p w14:paraId="3482247E"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1300" w:type="dxa"/>
            <w:tcBorders>
              <w:top w:val="nil"/>
              <w:left w:val="nil"/>
              <w:bottom w:val="nil"/>
              <w:right w:val="nil"/>
            </w:tcBorders>
            <w:shd w:val="clear" w:color="000000" w:fill="FFFFFF"/>
            <w:noWrap/>
            <w:vAlign w:val="bottom"/>
            <w:hideMark/>
          </w:tcPr>
          <w:p w14:paraId="7FBECF76"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0.022</w:t>
            </w:r>
          </w:p>
        </w:tc>
        <w:tc>
          <w:tcPr>
            <w:tcW w:w="1420" w:type="dxa"/>
            <w:tcBorders>
              <w:top w:val="nil"/>
              <w:left w:val="nil"/>
              <w:bottom w:val="nil"/>
              <w:right w:val="nil"/>
            </w:tcBorders>
            <w:shd w:val="clear" w:color="000000" w:fill="FFFFFF"/>
            <w:noWrap/>
            <w:vAlign w:val="bottom"/>
            <w:hideMark/>
          </w:tcPr>
          <w:p w14:paraId="5629CBF7"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0.148</w:t>
            </w:r>
          </w:p>
        </w:tc>
      </w:tr>
      <w:tr w:rsidR="00A76200" w:rsidRPr="00A76200" w14:paraId="2A62EF8B" w14:textId="77777777" w:rsidTr="00A76200">
        <w:trPr>
          <w:trHeight w:val="290"/>
          <w:jc w:val="center"/>
        </w:trPr>
        <w:tc>
          <w:tcPr>
            <w:tcW w:w="5109" w:type="dxa"/>
            <w:gridSpan w:val="4"/>
            <w:tcBorders>
              <w:top w:val="nil"/>
              <w:left w:val="nil"/>
              <w:bottom w:val="nil"/>
              <w:right w:val="nil"/>
            </w:tcBorders>
            <w:shd w:val="clear" w:color="000000" w:fill="FFFFFF"/>
            <w:noWrap/>
            <w:vAlign w:val="center"/>
            <w:hideMark/>
          </w:tcPr>
          <w:p w14:paraId="5AE85142" w14:textId="77777777" w:rsidR="00A76200" w:rsidRPr="00A76200" w:rsidRDefault="00A76200" w:rsidP="00A76200">
            <w:pPr>
              <w:spacing w:line="240" w:lineRule="auto"/>
              <w:rPr>
                <w:i/>
                <w:iCs/>
                <w:color w:val="000000"/>
                <w:sz w:val="22"/>
                <w:szCs w:val="22"/>
                <w:u w:val="single"/>
                <w:lang w:val="en-US" w:eastAsia="en-US"/>
              </w:rPr>
            </w:pPr>
            <w:r w:rsidRPr="00A76200">
              <w:rPr>
                <w:i/>
                <w:iCs/>
                <w:color w:val="000000"/>
                <w:sz w:val="22"/>
                <w:szCs w:val="22"/>
                <w:u w:val="single"/>
                <w:lang w:val="en-US" w:eastAsia="en-US"/>
              </w:rPr>
              <w:t>Family and Household Characteristics</w:t>
            </w:r>
          </w:p>
        </w:tc>
        <w:tc>
          <w:tcPr>
            <w:tcW w:w="1420" w:type="dxa"/>
            <w:tcBorders>
              <w:top w:val="nil"/>
              <w:left w:val="nil"/>
              <w:bottom w:val="nil"/>
              <w:right w:val="nil"/>
            </w:tcBorders>
            <w:shd w:val="clear" w:color="000000" w:fill="FFFFFF"/>
            <w:noWrap/>
            <w:vAlign w:val="bottom"/>
            <w:hideMark/>
          </w:tcPr>
          <w:p w14:paraId="1D824A23"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 </w:t>
            </w:r>
          </w:p>
        </w:tc>
      </w:tr>
      <w:tr w:rsidR="00A76200" w:rsidRPr="00A76200" w14:paraId="61EC8968" w14:textId="77777777" w:rsidTr="00A76200">
        <w:trPr>
          <w:trHeight w:val="290"/>
          <w:jc w:val="center"/>
        </w:trPr>
        <w:tc>
          <w:tcPr>
            <w:tcW w:w="271" w:type="dxa"/>
            <w:tcBorders>
              <w:top w:val="nil"/>
              <w:left w:val="nil"/>
              <w:bottom w:val="nil"/>
              <w:right w:val="nil"/>
            </w:tcBorders>
            <w:shd w:val="clear" w:color="000000" w:fill="FFFFFF"/>
            <w:noWrap/>
            <w:vAlign w:val="bottom"/>
            <w:hideMark/>
          </w:tcPr>
          <w:p w14:paraId="308C5E45"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2158" w:type="dxa"/>
            <w:tcBorders>
              <w:top w:val="nil"/>
              <w:left w:val="nil"/>
              <w:bottom w:val="nil"/>
              <w:right w:val="nil"/>
            </w:tcBorders>
            <w:shd w:val="clear" w:color="000000" w:fill="FFFFFF"/>
            <w:noWrap/>
            <w:vAlign w:val="center"/>
            <w:hideMark/>
          </w:tcPr>
          <w:p w14:paraId="14094E71"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fem_scho</w:t>
            </w:r>
          </w:p>
        </w:tc>
        <w:tc>
          <w:tcPr>
            <w:tcW w:w="1380" w:type="dxa"/>
            <w:tcBorders>
              <w:top w:val="nil"/>
              <w:left w:val="nil"/>
              <w:bottom w:val="nil"/>
              <w:right w:val="nil"/>
            </w:tcBorders>
            <w:shd w:val="clear" w:color="000000" w:fill="FFFFFF"/>
            <w:noWrap/>
            <w:vAlign w:val="bottom"/>
            <w:hideMark/>
          </w:tcPr>
          <w:p w14:paraId="44130291"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1300" w:type="dxa"/>
            <w:tcBorders>
              <w:top w:val="nil"/>
              <w:left w:val="nil"/>
              <w:bottom w:val="nil"/>
              <w:right w:val="nil"/>
            </w:tcBorders>
            <w:shd w:val="clear" w:color="000000" w:fill="FFFFFF"/>
            <w:noWrap/>
            <w:vAlign w:val="bottom"/>
            <w:hideMark/>
          </w:tcPr>
          <w:p w14:paraId="28565363"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5.281</w:t>
            </w:r>
          </w:p>
        </w:tc>
        <w:tc>
          <w:tcPr>
            <w:tcW w:w="1420" w:type="dxa"/>
            <w:tcBorders>
              <w:top w:val="nil"/>
              <w:left w:val="nil"/>
              <w:bottom w:val="nil"/>
              <w:right w:val="nil"/>
            </w:tcBorders>
            <w:shd w:val="clear" w:color="000000" w:fill="FFFFFF"/>
            <w:noWrap/>
            <w:vAlign w:val="bottom"/>
            <w:hideMark/>
          </w:tcPr>
          <w:p w14:paraId="12C9C739"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3.700</w:t>
            </w:r>
          </w:p>
        </w:tc>
      </w:tr>
      <w:tr w:rsidR="00A76200" w:rsidRPr="00A76200" w14:paraId="160BDE60" w14:textId="77777777" w:rsidTr="00A76200">
        <w:trPr>
          <w:trHeight w:val="290"/>
          <w:jc w:val="center"/>
        </w:trPr>
        <w:tc>
          <w:tcPr>
            <w:tcW w:w="271" w:type="dxa"/>
            <w:tcBorders>
              <w:top w:val="nil"/>
              <w:left w:val="nil"/>
              <w:bottom w:val="nil"/>
              <w:right w:val="nil"/>
            </w:tcBorders>
            <w:shd w:val="clear" w:color="000000" w:fill="FFFFFF"/>
            <w:noWrap/>
            <w:vAlign w:val="bottom"/>
            <w:hideMark/>
          </w:tcPr>
          <w:p w14:paraId="4A60415C"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2158" w:type="dxa"/>
            <w:tcBorders>
              <w:top w:val="nil"/>
              <w:left w:val="nil"/>
              <w:bottom w:val="nil"/>
              <w:right w:val="nil"/>
            </w:tcBorders>
            <w:shd w:val="clear" w:color="000000" w:fill="FFFFFF"/>
            <w:noWrap/>
            <w:vAlign w:val="center"/>
            <w:hideMark/>
          </w:tcPr>
          <w:p w14:paraId="69B83372"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sib_scho</w:t>
            </w:r>
          </w:p>
        </w:tc>
        <w:tc>
          <w:tcPr>
            <w:tcW w:w="1380" w:type="dxa"/>
            <w:tcBorders>
              <w:top w:val="nil"/>
              <w:left w:val="nil"/>
              <w:bottom w:val="nil"/>
              <w:right w:val="nil"/>
            </w:tcBorders>
            <w:shd w:val="clear" w:color="000000" w:fill="FFFFFF"/>
            <w:noWrap/>
            <w:vAlign w:val="bottom"/>
            <w:hideMark/>
          </w:tcPr>
          <w:p w14:paraId="5A9A9220"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1300" w:type="dxa"/>
            <w:tcBorders>
              <w:top w:val="nil"/>
              <w:left w:val="nil"/>
              <w:bottom w:val="nil"/>
              <w:right w:val="nil"/>
            </w:tcBorders>
            <w:shd w:val="clear" w:color="000000" w:fill="FFFFFF"/>
            <w:noWrap/>
            <w:vAlign w:val="bottom"/>
            <w:hideMark/>
          </w:tcPr>
          <w:p w14:paraId="76E4BD2C"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1.951</w:t>
            </w:r>
          </w:p>
        </w:tc>
        <w:tc>
          <w:tcPr>
            <w:tcW w:w="1420" w:type="dxa"/>
            <w:tcBorders>
              <w:top w:val="nil"/>
              <w:left w:val="nil"/>
              <w:bottom w:val="nil"/>
              <w:right w:val="nil"/>
            </w:tcBorders>
            <w:shd w:val="clear" w:color="000000" w:fill="FFFFFF"/>
            <w:noWrap/>
            <w:vAlign w:val="bottom"/>
            <w:hideMark/>
          </w:tcPr>
          <w:p w14:paraId="403A423C"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3.287</w:t>
            </w:r>
          </w:p>
        </w:tc>
      </w:tr>
      <w:tr w:rsidR="00A76200" w:rsidRPr="00A76200" w14:paraId="76C58B6B" w14:textId="77777777" w:rsidTr="00A76200">
        <w:trPr>
          <w:trHeight w:val="290"/>
          <w:jc w:val="center"/>
        </w:trPr>
        <w:tc>
          <w:tcPr>
            <w:tcW w:w="271" w:type="dxa"/>
            <w:tcBorders>
              <w:top w:val="nil"/>
              <w:left w:val="nil"/>
              <w:bottom w:val="nil"/>
              <w:right w:val="nil"/>
            </w:tcBorders>
            <w:shd w:val="clear" w:color="000000" w:fill="FFFFFF"/>
            <w:noWrap/>
            <w:vAlign w:val="bottom"/>
            <w:hideMark/>
          </w:tcPr>
          <w:p w14:paraId="605ED5E6"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2158" w:type="dxa"/>
            <w:tcBorders>
              <w:top w:val="nil"/>
              <w:left w:val="nil"/>
              <w:bottom w:val="nil"/>
              <w:right w:val="nil"/>
            </w:tcBorders>
            <w:shd w:val="clear" w:color="000000" w:fill="FFFFFF"/>
            <w:noWrap/>
            <w:vAlign w:val="center"/>
            <w:hideMark/>
          </w:tcPr>
          <w:p w14:paraId="3140CE45"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scholagechild</w:t>
            </w:r>
          </w:p>
        </w:tc>
        <w:tc>
          <w:tcPr>
            <w:tcW w:w="1380" w:type="dxa"/>
            <w:tcBorders>
              <w:top w:val="nil"/>
              <w:left w:val="nil"/>
              <w:bottom w:val="nil"/>
              <w:right w:val="nil"/>
            </w:tcBorders>
            <w:shd w:val="clear" w:color="000000" w:fill="FFFFFF"/>
            <w:noWrap/>
            <w:vAlign w:val="bottom"/>
            <w:hideMark/>
          </w:tcPr>
          <w:p w14:paraId="1E35EE42"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1300" w:type="dxa"/>
            <w:tcBorders>
              <w:top w:val="nil"/>
              <w:left w:val="nil"/>
              <w:bottom w:val="nil"/>
              <w:right w:val="nil"/>
            </w:tcBorders>
            <w:shd w:val="clear" w:color="000000" w:fill="FFFFFF"/>
            <w:noWrap/>
            <w:vAlign w:val="bottom"/>
            <w:hideMark/>
          </w:tcPr>
          <w:p w14:paraId="16020E81"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1.908</w:t>
            </w:r>
          </w:p>
        </w:tc>
        <w:tc>
          <w:tcPr>
            <w:tcW w:w="1420" w:type="dxa"/>
            <w:tcBorders>
              <w:top w:val="nil"/>
              <w:left w:val="nil"/>
              <w:bottom w:val="nil"/>
              <w:right w:val="nil"/>
            </w:tcBorders>
            <w:shd w:val="clear" w:color="000000" w:fill="FFFFFF"/>
            <w:noWrap/>
            <w:vAlign w:val="bottom"/>
            <w:hideMark/>
          </w:tcPr>
          <w:p w14:paraId="67F32B00"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1.571</w:t>
            </w:r>
          </w:p>
        </w:tc>
      </w:tr>
      <w:tr w:rsidR="00A76200" w:rsidRPr="00A76200" w14:paraId="1C595A4A" w14:textId="77777777" w:rsidTr="00A76200">
        <w:trPr>
          <w:trHeight w:val="290"/>
          <w:jc w:val="center"/>
        </w:trPr>
        <w:tc>
          <w:tcPr>
            <w:tcW w:w="271" w:type="dxa"/>
            <w:tcBorders>
              <w:top w:val="nil"/>
              <w:left w:val="nil"/>
              <w:bottom w:val="nil"/>
              <w:right w:val="nil"/>
            </w:tcBorders>
            <w:shd w:val="clear" w:color="000000" w:fill="FFFFFF"/>
            <w:noWrap/>
            <w:vAlign w:val="bottom"/>
            <w:hideMark/>
          </w:tcPr>
          <w:p w14:paraId="138281B5"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2158" w:type="dxa"/>
            <w:tcBorders>
              <w:top w:val="nil"/>
              <w:left w:val="nil"/>
              <w:bottom w:val="nil"/>
              <w:right w:val="nil"/>
            </w:tcBorders>
            <w:shd w:val="clear" w:color="000000" w:fill="FFFFFF"/>
            <w:noWrap/>
            <w:vAlign w:val="center"/>
            <w:hideMark/>
          </w:tcPr>
          <w:p w14:paraId="10B6BDB8"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hh_cct</w:t>
            </w:r>
          </w:p>
        </w:tc>
        <w:tc>
          <w:tcPr>
            <w:tcW w:w="1380" w:type="dxa"/>
            <w:tcBorders>
              <w:top w:val="nil"/>
              <w:left w:val="nil"/>
              <w:bottom w:val="nil"/>
              <w:right w:val="nil"/>
            </w:tcBorders>
            <w:shd w:val="clear" w:color="000000" w:fill="FFFFFF"/>
            <w:noWrap/>
            <w:vAlign w:val="bottom"/>
            <w:hideMark/>
          </w:tcPr>
          <w:p w14:paraId="4D9901D4"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1300" w:type="dxa"/>
            <w:tcBorders>
              <w:top w:val="nil"/>
              <w:left w:val="nil"/>
              <w:bottom w:val="nil"/>
              <w:right w:val="nil"/>
            </w:tcBorders>
            <w:shd w:val="clear" w:color="000000" w:fill="FFFFFF"/>
            <w:noWrap/>
            <w:vAlign w:val="bottom"/>
            <w:hideMark/>
          </w:tcPr>
          <w:p w14:paraId="01E7EE86"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0.712</w:t>
            </w:r>
          </w:p>
        </w:tc>
        <w:tc>
          <w:tcPr>
            <w:tcW w:w="1420" w:type="dxa"/>
            <w:tcBorders>
              <w:top w:val="nil"/>
              <w:left w:val="nil"/>
              <w:bottom w:val="nil"/>
              <w:right w:val="nil"/>
            </w:tcBorders>
            <w:shd w:val="clear" w:color="000000" w:fill="FFFFFF"/>
            <w:noWrap/>
            <w:vAlign w:val="bottom"/>
            <w:hideMark/>
          </w:tcPr>
          <w:p w14:paraId="39B62940"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0.453</w:t>
            </w:r>
          </w:p>
        </w:tc>
      </w:tr>
      <w:tr w:rsidR="00A76200" w:rsidRPr="00A76200" w14:paraId="539E656B" w14:textId="77777777" w:rsidTr="00A76200">
        <w:trPr>
          <w:trHeight w:val="290"/>
          <w:jc w:val="center"/>
        </w:trPr>
        <w:tc>
          <w:tcPr>
            <w:tcW w:w="271" w:type="dxa"/>
            <w:tcBorders>
              <w:top w:val="nil"/>
              <w:left w:val="nil"/>
              <w:bottom w:val="nil"/>
              <w:right w:val="nil"/>
            </w:tcBorders>
            <w:shd w:val="clear" w:color="000000" w:fill="FFFFFF"/>
            <w:noWrap/>
            <w:vAlign w:val="bottom"/>
            <w:hideMark/>
          </w:tcPr>
          <w:p w14:paraId="2AE991CA"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2158" w:type="dxa"/>
            <w:tcBorders>
              <w:top w:val="nil"/>
              <w:left w:val="nil"/>
              <w:bottom w:val="nil"/>
              <w:right w:val="nil"/>
            </w:tcBorders>
            <w:shd w:val="clear" w:color="000000" w:fill="FFFFFF"/>
            <w:noWrap/>
            <w:vAlign w:val="center"/>
            <w:hideMark/>
          </w:tcPr>
          <w:p w14:paraId="5D8AC21B"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hh_remit</w:t>
            </w:r>
          </w:p>
        </w:tc>
        <w:tc>
          <w:tcPr>
            <w:tcW w:w="1380" w:type="dxa"/>
            <w:tcBorders>
              <w:top w:val="nil"/>
              <w:left w:val="nil"/>
              <w:bottom w:val="nil"/>
              <w:right w:val="nil"/>
            </w:tcBorders>
            <w:shd w:val="clear" w:color="000000" w:fill="FFFFFF"/>
            <w:noWrap/>
            <w:vAlign w:val="bottom"/>
            <w:hideMark/>
          </w:tcPr>
          <w:p w14:paraId="2F4569D7"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1300" w:type="dxa"/>
            <w:tcBorders>
              <w:top w:val="nil"/>
              <w:left w:val="nil"/>
              <w:bottom w:val="nil"/>
              <w:right w:val="nil"/>
            </w:tcBorders>
            <w:shd w:val="clear" w:color="000000" w:fill="FFFFFF"/>
            <w:noWrap/>
            <w:vAlign w:val="bottom"/>
            <w:hideMark/>
          </w:tcPr>
          <w:p w14:paraId="14FA2364"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0.063</w:t>
            </w:r>
          </w:p>
        </w:tc>
        <w:tc>
          <w:tcPr>
            <w:tcW w:w="1420" w:type="dxa"/>
            <w:tcBorders>
              <w:top w:val="nil"/>
              <w:left w:val="nil"/>
              <w:bottom w:val="nil"/>
              <w:right w:val="nil"/>
            </w:tcBorders>
            <w:shd w:val="clear" w:color="000000" w:fill="FFFFFF"/>
            <w:noWrap/>
            <w:vAlign w:val="bottom"/>
            <w:hideMark/>
          </w:tcPr>
          <w:p w14:paraId="5B2C7557"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0.242</w:t>
            </w:r>
          </w:p>
        </w:tc>
      </w:tr>
      <w:tr w:rsidR="00A76200" w:rsidRPr="00A76200" w14:paraId="55C7D9DE" w14:textId="77777777" w:rsidTr="00A76200">
        <w:trPr>
          <w:trHeight w:val="290"/>
          <w:jc w:val="center"/>
        </w:trPr>
        <w:tc>
          <w:tcPr>
            <w:tcW w:w="271" w:type="dxa"/>
            <w:tcBorders>
              <w:top w:val="nil"/>
              <w:left w:val="nil"/>
              <w:bottom w:val="nil"/>
              <w:right w:val="nil"/>
            </w:tcBorders>
            <w:shd w:val="clear" w:color="000000" w:fill="FFFFFF"/>
            <w:noWrap/>
            <w:vAlign w:val="bottom"/>
            <w:hideMark/>
          </w:tcPr>
          <w:p w14:paraId="7EA59967"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2158" w:type="dxa"/>
            <w:tcBorders>
              <w:top w:val="nil"/>
              <w:left w:val="nil"/>
              <w:bottom w:val="nil"/>
              <w:right w:val="nil"/>
            </w:tcBorders>
            <w:shd w:val="clear" w:color="000000" w:fill="FFFFFF"/>
            <w:noWrap/>
            <w:vAlign w:val="center"/>
            <w:hideMark/>
          </w:tcPr>
          <w:p w14:paraId="31FAF4F6"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wealth_index</w:t>
            </w:r>
          </w:p>
        </w:tc>
        <w:tc>
          <w:tcPr>
            <w:tcW w:w="1380" w:type="dxa"/>
            <w:tcBorders>
              <w:top w:val="nil"/>
              <w:left w:val="nil"/>
              <w:bottom w:val="nil"/>
              <w:right w:val="nil"/>
            </w:tcBorders>
            <w:shd w:val="clear" w:color="000000" w:fill="FFFFFF"/>
            <w:noWrap/>
            <w:vAlign w:val="bottom"/>
            <w:hideMark/>
          </w:tcPr>
          <w:p w14:paraId="0394549E"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1300" w:type="dxa"/>
            <w:tcBorders>
              <w:top w:val="nil"/>
              <w:left w:val="nil"/>
              <w:bottom w:val="nil"/>
              <w:right w:val="nil"/>
            </w:tcBorders>
            <w:shd w:val="clear" w:color="000000" w:fill="FFFFFF"/>
            <w:noWrap/>
            <w:vAlign w:val="bottom"/>
            <w:hideMark/>
          </w:tcPr>
          <w:p w14:paraId="6C7EDD4E"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4.142</w:t>
            </w:r>
          </w:p>
        </w:tc>
        <w:tc>
          <w:tcPr>
            <w:tcW w:w="1420" w:type="dxa"/>
            <w:tcBorders>
              <w:top w:val="nil"/>
              <w:left w:val="nil"/>
              <w:bottom w:val="nil"/>
              <w:right w:val="nil"/>
            </w:tcBorders>
            <w:shd w:val="clear" w:color="000000" w:fill="FFFFFF"/>
            <w:noWrap/>
            <w:vAlign w:val="bottom"/>
            <w:hideMark/>
          </w:tcPr>
          <w:p w14:paraId="59FCE41C"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1.791</w:t>
            </w:r>
          </w:p>
        </w:tc>
      </w:tr>
      <w:tr w:rsidR="00A76200" w:rsidRPr="00A76200" w14:paraId="4E901C13" w14:textId="77777777" w:rsidTr="00A76200">
        <w:trPr>
          <w:trHeight w:val="290"/>
          <w:jc w:val="center"/>
        </w:trPr>
        <w:tc>
          <w:tcPr>
            <w:tcW w:w="271" w:type="dxa"/>
            <w:tcBorders>
              <w:top w:val="nil"/>
              <w:left w:val="nil"/>
              <w:bottom w:val="nil"/>
              <w:right w:val="nil"/>
            </w:tcBorders>
            <w:shd w:val="clear" w:color="000000" w:fill="FFFFFF"/>
            <w:noWrap/>
            <w:vAlign w:val="bottom"/>
            <w:hideMark/>
          </w:tcPr>
          <w:p w14:paraId="6EFDEF5D"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2158" w:type="dxa"/>
            <w:tcBorders>
              <w:top w:val="nil"/>
              <w:left w:val="nil"/>
              <w:bottom w:val="nil"/>
              <w:right w:val="nil"/>
            </w:tcBorders>
            <w:shd w:val="clear" w:color="000000" w:fill="FFFFFF"/>
            <w:noWrap/>
            <w:vAlign w:val="center"/>
            <w:hideMark/>
          </w:tcPr>
          <w:p w14:paraId="1ED4BB33"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income_shocks</w:t>
            </w:r>
          </w:p>
        </w:tc>
        <w:tc>
          <w:tcPr>
            <w:tcW w:w="1380" w:type="dxa"/>
            <w:tcBorders>
              <w:top w:val="nil"/>
              <w:left w:val="nil"/>
              <w:bottom w:val="nil"/>
              <w:right w:val="nil"/>
            </w:tcBorders>
            <w:shd w:val="clear" w:color="000000" w:fill="FFFFFF"/>
            <w:noWrap/>
            <w:vAlign w:val="bottom"/>
            <w:hideMark/>
          </w:tcPr>
          <w:p w14:paraId="621E431B"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1300" w:type="dxa"/>
            <w:tcBorders>
              <w:top w:val="nil"/>
              <w:left w:val="nil"/>
              <w:bottom w:val="nil"/>
              <w:right w:val="nil"/>
            </w:tcBorders>
            <w:shd w:val="clear" w:color="000000" w:fill="FFFFFF"/>
            <w:noWrap/>
            <w:vAlign w:val="bottom"/>
            <w:hideMark/>
          </w:tcPr>
          <w:p w14:paraId="3E0149C3"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0.071</w:t>
            </w:r>
          </w:p>
        </w:tc>
        <w:tc>
          <w:tcPr>
            <w:tcW w:w="1420" w:type="dxa"/>
            <w:tcBorders>
              <w:top w:val="nil"/>
              <w:left w:val="nil"/>
              <w:bottom w:val="nil"/>
              <w:right w:val="nil"/>
            </w:tcBorders>
            <w:shd w:val="clear" w:color="000000" w:fill="FFFFFF"/>
            <w:noWrap/>
            <w:vAlign w:val="bottom"/>
            <w:hideMark/>
          </w:tcPr>
          <w:p w14:paraId="52778758"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0.258</w:t>
            </w:r>
          </w:p>
        </w:tc>
      </w:tr>
      <w:tr w:rsidR="00A76200" w:rsidRPr="00A76200" w14:paraId="4F350F71" w14:textId="77777777" w:rsidTr="00A76200">
        <w:trPr>
          <w:trHeight w:val="290"/>
          <w:jc w:val="center"/>
        </w:trPr>
        <w:tc>
          <w:tcPr>
            <w:tcW w:w="271" w:type="dxa"/>
            <w:tcBorders>
              <w:top w:val="nil"/>
              <w:left w:val="nil"/>
              <w:bottom w:val="nil"/>
              <w:right w:val="nil"/>
            </w:tcBorders>
            <w:shd w:val="clear" w:color="000000" w:fill="FFFFFF"/>
            <w:noWrap/>
            <w:vAlign w:val="bottom"/>
            <w:hideMark/>
          </w:tcPr>
          <w:p w14:paraId="0991EE55"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2158" w:type="dxa"/>
            <w:tcBorders>
              <w:top w:val="nil"/>
              <w:left w:val="nil"/>
              <w:bottom w:val="nil"/>
              <w:right w:val="nil"/>
            </w:tcBorders>
            <w:shd w:val="clear" w:color="000000" w:fill="FFFFFF"/>
            <w:noWrap/>
            <w:vAlign w:val="center"/>
            <w:hideMark/>
          </w:tcPr>
          <w:p w14:paraId="3E70D5CC"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health_shocks</w:t>
            </w:r>
          </w:p>
        </w:tc>
        <w:tc>
          <w:tcPr>
            <w:tcW w:w="1380" w:type="dxa"/>
            <w:tcBorders>
              <w:top w:val="nil"/>
              <w:left w:val="nil"/>
              <w:bottom w:val="nil"/>
              <w:right w:val="nil"/>
            </w:tcBorders>
            <w:shd w:val="clear" w:color="000000" w:fill="FFFFFF"/>
            <w:noWrap/>
            <w:vAlign w:val="bottom"/>
            <w:hideMark/>
          </w:tcPr>
          <w:p w14:paraId="09C6BF51"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1300" w:type="dxa"/>
            <w:tcBorders>
              <w:top w:val="nil"/>
              <w:left w:val="nil"/>
              <w:bottom w:val="nil"/>
              <w:right w:val="nil"/>
            </w:tcBorders>
            <w:shd w:val="clear" w:color="000000" w:fill="FFFFFF"/>
            <w:noWrap/>
            <w:vAlign w:val="bottom"/>
            <w:hideMark/>
          </w:tcPr>
          <w:p w14:paraId="28A62F7D"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0.129</w:t>
            </w:r>
          </w:p>
        </w:tc>
        <w:tc>
          <w:tcPr>
            <w:tcW w:w="1420" w:type="dxa"/>
            <w:tcBorders>
              <w:top w:val="nil"/>
              <w:left w:val="nil"/>
              <w:bottom w:val="nil"/>
              <w:right w:val="nil"/>
            </w:tcBorders>
            <w:shd w:val="clear" w:color="000000" w:fill="FFFFFF"/>
            <w:noWrap/>
            <w:vAlign w:val="bottom"/>
            <w:hideMark/>
          </w:tcPr>
          <w:p w14:paraId="0A789692"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0.336</w:t>
            </w:r>
          </w:p>
        </w:tc>
      </w:tr>
      <w:tr w:rsidR="00A76200" w:rsidRPr="00A76200" w14:paraId="2C7131EA" w14:textId="77777777" w:rsidTr="00A76200">
        <w:trPr>
          <w:trHeight w:val="290"/>
          <w:jc w:val="center"/>
        </w:trPr>
        <w:tc>
          <w:tcPr>
            <w:tcW w:w="2429" w:type="dxa"/>
            <w:gridSpan w:val="2"/>
            <w:tcBorders>
              <w:top w:val="nil"/>
              <w:left w:val="nil"/>
              <w:bottom w:val="nil"/>
              <w:right w:val="nil"/>
            </w:tcBorders>
            <w:shd w:val="clear" w:color="000000" w:fill="FFFFFF"/>
            <w:noWrap/>
            <w:vAlign w:val="center"/>
            <w:hideMark/>
          </w:tcPr>
          <w:p w14:paraId="419E48ED" w14:textId="77777777" w:rsidR="00A76200" w:rsidRPr="00A76200" w:rsidRDefault="00A76200" w:rsidP="00A76200">
            <w:pPr>
              <w:spacing w:line="240" w:lineRule="auto"/>
              <w:rPr>
                <w:i/>
                <w:iCs/>
                <w:color w:val="000000"/>
                <w:sz w:val="22"/>
                <w:szCs w:val="22"/>
                <w:u w:val="single"/>
                <w:lang w:val="en-US" w:eastAsia="en-US"/>
              </w:rPr>
            </w:pPr>
            <w:r w:rsidRPr="00A76200">
              <w:rPr>
                <w:i/>
                <w:iCs/>
                <w:color w:val="000000"/>
                <w:sz w:val="22"/>
                <w:szCs w:val="22"/>
                <w:u w:val="single"/>
                <w:lang w:val="en-US" w:eastAsia="en-US"/>
              </w:rPr>
              <w:t>Location and Migration</w:t>
            </w:r>
          </w:p>
        </w:tc>
        <w:tc>
          <w:tcPr>
            <w:tcW w:w="1380" w:type="dxa"/>
            <w:tcBorders>
              <w:top w:val="nil"/>
              <w:left w:val="nil"/>
              <w:bottom w:val="nil"/>
              <w:right w:val="nil"/>
            </w:tcBorders>
            <w:shd w:val="clear" w:color="000000" w:fill="FFFFFF"/>
            <w:noWrap/>
            <w:vAlign w:val="bottom"/>
            <w:hideMark/>
          </w:tcPr>
          <w:p w14:paraId="706094FF"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1300" w:type="dxa"/>
            <w:tcBorders>
              <w:top w:val="nil"/>
              <w:left w:val="nil"/>
              <w:bottom w:val="nil"/>
              <w:right w:val="nil"/>
            </w:tcBorders>
            <w:shd w:val="clear" w:color="000000" w:fill="FFFFFF"/>
            <w:noWrap/>
            <w:vAlign w:val="bottom"/>
            <w:hideMark/>
          </w:tcPr>
          <w:p w14:paraId="4440DFDD"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 </w:t>
            </w:r>
          </w:p>
        </w:tc>
        <w:tc>
          <w:tcPr>
            <w:tcW w:w="1420" w:type="dxa"/>
            <w:tcBorders>
              <w:top w:val="nil"/>
              <w:left w:val="nil"/>
              <w:bottom w:val="nil"/>
              <w:right w:val="nil"/>
            </w:tcBorders>
            <w:shd w:val="clear" w:color="000000" w:fill="FFFFFF"/>
            <w:noWrap/>
            <w:vAlign w:val="bottom"/>
            <w:hideMark/>
          </w:tcPr>
          <w:p w14:paraId="07D90A6A"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 </w:t>
            </w:r>
          </w:p>
        </w:tc>
      </w:tr>
      <w:tr w:rsidR="00A76200" w:rsidRPr="00A76200" w14:paraId="74B9736A" w14:textId="77777777" w:rsidTr="00A76200">
        <w:trPr>
          <w:trHeight w:val="290"/>
          <w:jc w:val="center"/>
        </w:trPr>
        <w:tc>
          <w:tcPr>
            <w:tcW w:w="271" w:type="dxa"/>
            <w:tcBorders>
              <w:top w:val="nil"/>
              <w:left w:val="nil"/>
              <w:bottom w:val="nil"/>
              <w:right w:val="nil"/>
            </w:tcBorders>
            <w:shd w:val="clear" w:color="000000" w:fill="FFFFFF"/>
            <w:noWrap/>
            <w:vAlign w:val="bottom"/>
            <w:hideMark/>
          </w:tcPr>
          <w:p w14:paraId="0D94BAB3"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2158" w:type="dxa"/>
            <w:tcBorders>
              <w:top w:val="nil"/>
              <w:left w:val="nil"/>
              <w:bottom w:val="nil"/>
              <w:right w:val="nil"/>
            </w:tcBorders>
            <w:shd w:val="clear" w:color="000000" w:fill="FFFFFF"/>
            <w:noWrap/>
            <w:vAlign w:val="center"/>
            <w:hideMark/>
          </w:tcPr>
          <w:p w14:paraId="1DCB0C98"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rural</w:t>
            </w:r>
          </w:p>
        </w:tc>
        <w:tc>
          <w:tcPr>
            <w:tcW w:w="1380" w:type="dxa"/>
            <w:tcBorders>
              <w:top w:val="nil"/>
              <w:left w:val="nil"/>
              <w:bottom w:val="nil"/>
              <w:right w:val="nil"/>
            </w:tcBorders>
            <w:shd w:val="clear" w:color="000000" w:fill="FFFFFF"/>
            <w:noWrap/>
            <w:vAlign w:val="bottom"/>
            <w:hideMark/>
          </w:tcPr>
          <w:p w14:paraId="11AED31A"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1300" w:type="dxa"/>
            <w:tcBorders>
              <w:top w:val="nil"/>
              <w:left w:val="nil"/>
              <w:bottom w:val="nil"/>
              <w:right w:val="nil"/>
            </w:tcBorders>
            <w:shd w:val="clear" w:color="000000" w:fill="FFFFFF"/>
            <w:noWrap/>
            <w:vAlign w:val="bottom"/>
            <w:hideMark/>
          </w:tcPr>
          <w:p w14:paraId="7AE5428A"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0.627</w:t>
            </w:r>
          </w:p>
        </w:tc>
        <w:tc>
          <w:tcPr>
            <w:tcW w:w="1420" w:type="dxa"/>
            <w:tcBorders>
              <w:top w:val="nil"/>
              <w:left w:val="nil"/>
              <w:bottom w:val="nil"/>
              <w:right w:val="nil"/>
            </w:tcBorders>
            <w:shd w:val="clear" w:color="000000" w:fill="FFFFFF"/>
            <w:noWrap/>
            <w:vAlign w:val="bottom"/>
            <w:hideMark/>
          </w:tcPr>
          <w:p w14:paraId="4836ADE1"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0.484</w:t>
            </w:r>
          </w:p>
        </w:tc>
      </w:tr>
      <w:tr w:rsidR="00A76200" w:rsidRPr="00A76200" w14:paraId="42FB42ED" w14:textId="77777777" w:rsidTr="00A76200">
        <w:trPr>
          <w:trHeight w:val="290"/>
          <w:jc w:val="center"/>
        </w:trPr>
        <w:tc>
          <w:tcPr>
            <w:tcW w:w="271" w:type="dxa"/>
            <w:tcBorders>
              <w:top w:val="nil"/>
              <w:left w:val="nil"/>
              <w:bottom w:val="nil"/>
              <w:right w:val="nil"/>
            </w:tcBorders>
            <w:shd w:val="clear" w:color="000000" w:fill="FFFFFF"/>
            <w:noWrap/>
            <w:vAlign w:val="bottom"/>
            <w:hideMark/>
          </w:tcPr>
          <w:p w14:paraId="098DB22E"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2158" w:type="dxa"/>
            <w:tcBorders>
              <w:top w:val="nil"/>
              <w:left w:val="nil"/>
              <w:bottom w:val="nil"/>
              <w:right w:val="nil"/>
            </w:tcBorders>
            <w:shd w:val="clear" w:color="000000" w:fill="FFFFFF"/>
            <w:noWrap/>
            <w:vAlign w:val="center"/>
            <w:hideMark/>
          </w:tcPr>
          <w:p w14:paraId="1BF94E2D"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ruur</w:t>
            </w:r>
          </w:p>
        </w:tc>
        <w:tc>
          <w:tcPr>
            <w:tcW w:w="1380" w:type="dxa"/>
            <w:tcBorders>
              <w:top w:val="nil"/>
              <w:left w:val="nil"/>
              <w:bottom w:val="nil"/>
              <w:right w:val="nil"/>
            </w:tcBorders>
            <w:shd w:val="clear" w:color="000000" w:fill="FFFFFF"/>
            <w:noWrap/>
            <w:vAlign w:val="bottom"/>
            <w:hideMark/>
          </w:tcPr>
          <w:p w14:paraId="4638E86B"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1300" w:type="dxa"/>
            <w:tcBorders>
              <w:top w:val="nil"/>
              <w:left w:val="nil"/>
              <w:bottom w:val="nil"/>
              <w:right w:val="nil"/>
            </w:tcBorders>
            <w:shd w:val="clear" w:color="000000" w:fill="FFFFFF"/>
            <w:noWrap/>
            <w:vAlign w:val="bottom"/>
            <w:hideMark/>
          </w:tcPr>
          <w:p w14:paraId="10392312"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0.114</w:t>
            </w:r>
          </w:p>
        </w:tc>
        <w:tc>
          <w:tcPr>
            <w:tcW w:w="1420" w:type="dxa"/>
            <w:tcBorders>
              <w:top w:val="nil"/>
              <w:left w:val="nil"/>
              <w:bottom w:val="nil"/>
              <w:right w:val="nil"/>
            </w:tcBorders>
            <w:shd w:val="clear" w:color="000000" w:fill="FFFFFF"/>
            <w:noWrap/>
            <w:vAlign w:val="bottom"/>
            <w:hideMark/>
          </w:tcPr>
          <w:p w14:paraId="7B0326FA"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0.318</w:t>
            </w:r>
          </w:p>
        </w:tc>
      </w:tr>
      <w:tr w:rsidR="00A76200" w:rsidRPr="00A76200" w14:paraId="42F74E4E" w14:textId="77777777" w:rsidTr="00A76200">
        <w:trPr>
          <w:trHeight w:val="290"/>
          <w:jc w:val="center"/>
        </w:trPr>
        <w:tc>
          <w:tcPr>
            <w:tcW w:w="271" w:type="dxa"/>
            <w:tcBorders>
              <w:top w:val="nil"/>
              <w:left w:val="nil"/>
              <w:bottom w:val="nil"/>
              <w:right w:val="nil"/>
            </w:tcBorders>
            <w:shd w:val="clear" w:color="000000" w:fill="FFFFFF"/>
            <w:noWrap/>
            <w:vAlign w:val="bottom"/>
            <w:hideMark/>
          </w:tcPr>
          <w:p w14:paraId="3C434C8C"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2158" w:type="dxa"/>
            <w:tcBorders>
              <w:top w:val="nil"/>
              <w:left w:val="nil"/>
              <w:bottom w:val="nil"/>
              <w:right w:val="nil"/>
            </w:tcBorders>
            <w:shd w:val="clear" w:color="000000" w:fill="FFFFFF"/>
            <w:noWrap/>
            <w:vAlign w:val="center"/>
            <w:hideMark/>
          </w:tcPr>
          <w:p w14:paraId="7CDC7783"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urru</w:t>
            </w:r>
          </w:p>
        </w:tc>
        <w:tc>
          <w:tcPr>
            <w:tcW w:w="1380" w:type="dxa"/>
            <w:tcBorders>
              <w:top w:val="nil"/>
              <w:left w:val="nil"/>
              <w:bottom w:val="nil"/>
              <w:right w:val="nil"/>
            </w:tcBorders>
            <w:shd w:val="clear" w:color="000000" w:fill="FFFFFF"/>
            <w:noWrap/>
            <w:vAlign w:val="bottom"/>
            <w:hideMark/>
          </w:tcPr>
          <w:p w14:paraId="30E1E8EF"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1300" w:type="dxa"/>
            <w:tcBorders>
              <w:top w:val="nil"/>
              <w:left w:val="nil"/>
              <w:bottom w:val="nil"/>
              <w:right w:val="nil"/>
            </w:tcBorders>
            <w:shd w:val="clear" w:color="000000" w:fill="FFFFFF"/>
            <w:noWrap/>
            <w:vAlign w:val="bottom"/>
            <w:hideMark/>
          </w:tcPr>
          <w:p w14:paraId="65B1D48A"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0.049</w:t>
            </w:r>
          </w:p>
        </w:tc>
        <w:tc>
          <w:tcPr>
            <w:tcW w:w="1420" w:type="dxa"/>
            <w:tcBorders>
              <w:top w:val="nil"/>
              <w:left w:val="nil"/>
              <w:bottom w:val="nil"/>
              <w:right w:val="nil"/>
            </w:tcBorders>
            <w:shd w:val="clear" w:color="000000" w:fill="FFFFFF"/>
            <w:noWrap/>
            <w:vAlign w:val="bottom"/>
            <w:hideMark/>
          </w:tcPr>
          <w:p w14:paraId="7233A96A"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0.216</w:t>
            </w:r>
          </w:p>
        </w:tc>
      </w:tr>
      <w:tr w:rsidR="00A76200" w:rsidRPr="00A76200" w14:paraId="76666D08" w14:textId="77777777" w:rsidTr="00A76200">
        <w:trPr>
          <w:trHeight w:val="290"/>
          <w:jc w:val="center"/>
        </w:trPr>
        <w:tc>
          <w:tcPr>
            <w:tcW w:w="2429" w:type="dxa"/>
            <w:gridSpan w:val="2"/>
            <w:tcBorders>
              <w:top w:val="single" w:sz="4" w:space="0" w:color="auto"/>
              <w:left w:val="nil"/>
              <w:bottom w:val="single" w:sz="4" w:space="0" w:color="auto"/>
              <w:right w:val="nil"/>
            </w:tcBorders>
            <w:shd w:val="clear" w:color="000000" w:fill="FFFFFF"/>
            <w:noWrap/>
            <w:vAlign w:val="center"/>
            <w:hideMark/>
          </w:tcPr>
          <w:p w14:paraId="2483D77C" w14:textId="77777777" w:rsidR="00A76200" w:rsidRPr="00A76200" w:rsidRDefault="00A76200" w:rsidP="00A76200">
            <w:pPr>
              <w:spacing w:line="240" w:lineRule="auto"/>
              <w:rPr>
                <w:i/>
                <w:iCs/>
                <w:color w:val="000000"/>
                <w:sz w:val="22"/>
                <w:szCs w:val="22"/>
                <w:lang w:val="en-US" w:eastAsia="en-US"/>
              </w:rPr>
            </w:pPr>
            <w:r w:rsidRPr="00A76200">
              <w:rPr>
                <w:i/>
                <w:iCs/>
                <w:color w:val="000000"/>
                <w:sz w:val="22"/>
                <w:szCs w:val="22"/>
                <w:lang w:val="en-US" w:eastAsia="en-US"/>
              </w:rPr>
              <w:t>No. of Observations</w:t>
            </w:r>
          </w:p>
        </w:tc>
        <w:tc>
          <w:tcPr>
            <w:tcW w:w="1380" w:type="dxa"/>
            <w:tcBorders>
              <w:top w:val="single" w:sz="4" w:space="0" w:color="auto"/>
              <w:left w:val="nil"/>
              <w:bottom w:val="single" w:sz="4" w:space="0" w:color="auto"/>
              <w:right w:val="nil"/>
            </w:tcBorders>
            <w:shd w:val="clear" w:color="000000" w:fill="FFFFFF"/>
            <w:noWrap/>
            <w:vAlign w:val="bottom"/>
            <w:hideMark/>
          </w:tcPr>
          <w:p w14:paraId="70EE7F05"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2720" w:type="dxa"/>
            <w:gridSpan w:val="2"/>
            <w:tcBorders>
              <w:top w:val="single" w:sz="4" w:space="0" w:color="auto"/>
              <w:left w:val="nil"/>
              <w:bottom w:val="single" w:sz="4" w:space="0" w:color="auto"/>
              <w:right w:val="nil"/>
            </w:tcBorders>
            <w:shd w:val="clear" w:color="000000" w:fill="FFFFFF"/>
            <w:noWrap/>
            <w:vAlign w:val="bottom"/>
            <w:hideMark/>
          </w:tcPr>
          <w:p w14:paraId="088BCDE5" w14:textId="77777777" w:rsidR="00A76200" w:rsidRPr="00A76200" w:rsidRDefault="00A76200" w:rsidP="00A76200">
            <w:pPr>
              <w:spacing w:line="240" w:lineRule="auto"/>
              <w:jc w:val="center"/>
              <w:rPr>
                <w:i/>
                <w:iCs/>
                <w:color w:val="000000"/>
                <w:sz w:val="22"/>
                <w:szCs w:val="22"/>
                <w:lang w:val="en-US" w:eastAsia="en-US"/>
              </w:rPr>
            </w:pPr>
            <w:r w:rsidRPr="00A76200">
              <w:rPr>
                <w:i/>
                <w:iCs/>
                <w:color w:val="000000"/>
                <w:sz w:val="22"/>
                <w:szCs w:val="22"/>
                <w:lang w:val="en-US" w:eastAsia="en-US"/>
              </w:rPr>
              <w:t>448</w:t>
            </w:r>
          </w:p>
        </w:tc>
      </w:tr>
    </w:tbl>
    <w:p w14:paraId="02E55C1C" w14:textId="52CE9A07" w:rsidR="00A76200" w:rsidRDefault="00A76200" w:rsidP="00A76200">
      <w:pPr>
        <w:pStyle w:val="Newparagraph"/>
      </w:pPr>
    </w:p>
    <w:p w14:paraId="5AF7E0C6" w14:textId="203A1C4D" w:rsidR="00A76200" w:rsidRDefault="00A76200" w:rsidP="00A76200">
      <w:pPr>
        <w:pStyle w:val="Newparagraph"/>
      </w:pPr>
      <w:r w:rsidRPr="00A76200">
        <w:t>The dropouts are also characterized for participating in a welfare program, and for having low levels of assets (denoted by the wealth index) in comparison to those that did not drop out.</w:t>
      </w:r>
    </w:p>
    <w:p w14:paraId="5C712671" w14:textId="49539921" w:rsidR="00A76200" w:rsidRPr="00A76200" w:rsidRDefault="00A76200" w:rsidP="00A76200">
      <w:pPr>
        <w:pStyle w:val="Caption"/>
        <w:keepNext/>
        <w:jc w:val="center"/>
        <w:rPr>
          <w:color w:val="auto"/>
          <w:sz w:val="22"/>
        </w:rPr>
      </w:pPr>
      <w:r w:rsidRPr="00A76200">
        <w:rPr>
          <w:color w:val="auto"/>
          <w:sz w:val="22"/>
        </w:rPr>
        <w:t xml:space="preserve">Table </w:t>
      </w:r>
      <w:r w:rsidRPr="00A76200">
        <w:rPr>
          <w:color w:val="auto"/>
          <w:sz w:val="22"/>
        </w:rPr>
        <w:fldChar w:fldCharType="begin"/>
      </w:r>
      <w:r w:rsidRPr="00A76200">
        <w:rPr>
          <w:color w:val="auto"/>
          <w:sz w:val="22"/>
        </w:rPr>
        <w:instrText xml:space="preserve"> SEQ Table \* ARABIC </w:instrText>
      </w:r>
      <w:r w:rsidRPr="00A76200">
        <w:rPr>
          <w:color w:val="auto"/>
          <w:sz w:val="22"/>
        </w:rPr>
        <w:fldChar w:fldCharType="separate"/>
      </w:r>
      <w:r w:rsidR="00F72AD8">
        <w:rPr>
          <w:noProof/>
          <w:color w:val="auto"/>
          <w:sz w:val="22"/>
        </w:rPr>
        <w:t>4</w:t>
      </w:r>
      <w:r w:rsidRPr="00A76200">
        <w:rPr>
          <w:color w:val="auto"/>
          <w:sz w:val="22"/>
        </w:rPr>
        <w:fldChar w:fldCharType="end"/>
      </w:r>
      <w:r w:rsidRPr="00A76200">
        <w:rPr>
          <w:color w:val="auto"/>
          <w:sz w:val="22"/>
        </w:rPr>
        <w:t xml:space="preserve"> – Most Important Reasons for Dropping Out</w:t>
      </w:r>
    </w:p>
    <w:tbl>
      <w:tblPr>
        <w:tblW w:w="0" w:type="auto"/>
        <w:jc w:val="center"/>
        <w:tblLook w:val="04A0" w:firstRow="1" w:lastRow="0" w:firstColumn="1" w:lastColumn="0" w:noHBand="0" w:noVBand="1"/>
      </w:tblPr>
      <w:tblGrid>
        <w:gridCol w:w="272"/>
        <w:gridCol w:w="2285"/>
        <w:gridCol w:w="1219"/>
        <w:gridCol w:w="937"/>
      </w:tblGrid>
      <w:tr w:rsidR="00A76200" w:rsidRPr="00A76200" w14:paraId="7E1F5DD3" w14:textId="77777777" w:rsidTr="00A76200">
        <w:trPr>
          <w:trHeight w:val="435"/>
          <w:jc w:val="center"/>
        </w:trPr>
        <w:tc>
          <w:tcPr>
            <w:tcW w:w="0" w:type="auto"/>
            <w:gridSpan w:val="2"/>
            <w:tcBorders>
              <w:top w:val="double" w:sz="6" w:space="0" w:color="auto"/>
              <w:left w:val="nil"/>
              <w:bottom w:val="single" w:sz="4" w:space="0" w:color="auto"/>
              <w:right w:val="nil"/>
            </w:tcBorders>
            <w:shd w:val="clear" w:color="000000" w:fill="FFFFFF"/>
            <w:vAlign w:val="center"/>
            <w:hideMark/>
          </w:tcPr>
          <w:p w14:paraId="60F620C2" w14:textId="77777777" w:rsidR="00A76200" w:rsidRPr="00A76200" w:rsidRDefault="00A76200" w:rsidP="00A76200">
            <w:pPr>
              <w:spacing w:line="240" w:lineRule="auto"/>
              <w:rPr>
                <w:b/>
                <w:bCs/>
                <w:color w:val="000000"/>
                <w:sz w:val="22"/>
                <w:szCs w:val="22"/>
                <w:lang w:val="en-US" w:eastAsia="en-US"/>
              </w:rPr>
            </w:pPr>
            <w:r w:rsidRPr="00A76200">
              <w:rPr>
                <w:b/>
                <w:bCs/>
                <w:color w:val="000000"/>
                <w:sz w:val="22"/>
                <w:szCs w:val="22"/>
                <w:lang w:val="en-US" w:eastAsia="en-US"/>
              </w:rPr>
              <w:t xml:space="preserve">Reason </w:t>
            </w:r>
          </w:p>
        </w:tc>
        <w:tc>
          <w:tcPr>
            <w:tcW w:w="0" w:type="auto"/>
            <w:tcBorders>
              <w:top w:val="double" w:sz="6" w:space="0" w:color="auto"/>
              <w:left w:val="nil"/>
              <w:bottom w:val="single" w:sz="4" w:space="0" w:color="auto"/>
              <w:right w:val="nil"/>
            </w:tcBorders>
            <w:shd w:val="clear" w:color="000000" w:fill="FFFFFF"/>
            <w:vAlign w:val="center"/>
            <w:hideMark/>
          </w:tcPr>
          <w:p w14:paraId="5D53A4BE" w14:textId="77777777" w:rsidR="00A76200" w:rsidRPr="00A76200" w:rsidRDefault="00A76200" w:rsidP="00A76200">
            <w:pPr>
              <w:spacing w:line="240" w:lineRule="auto"/>
              <w:jc w:val="center"/>
              <w:rPr>
                <w:b/>
                <w:bCs/>
                <w:color w:val="000000"/>
                <w:sz w:val="22"/>
                <w:szCs w:val="22"/>
                <w:lang w:val="en-US" w:eastAsia="en-US"/>
              </w:rPr>
            </w:pPr>
            <w:r w:rsidRPr="00A76200">
              <w:rPr>
                <w:b/>
                <w:bCs/>
                <w:color w:val="000000"/>
                <w:sz w:val="22"/>
                <w:szCs w:val="22"/>
                <w:lang w:val="en-US" w:eastAsia="en-US"/>
              </w:rPr>
              <w:t>Frequency</w:t>
            </w:r>
          </w:p>
        </w:tc>
        <w:tc>
          <w:tcPr>
            <w:tcW w:w="0" w:type="auto"/>
            <w:tcBorders>
              <w:top w:val="double" w:sz="6" w:space="0" w:color="auto"/>
              <w:left w:val="nil"/>
              <w:bottom w:val="single" w:sz="4" w:space="0" w:color="auto"/>
              <w:right w:val="nil"/>
            </w:tcBorders>
            <w:shd w:val="clear" w:color="000000" w:fill="FFFFFF"/>
            <w:vAlign w:val="center"/>
            <w:hideMark/>
          </w:tcPr>
          <w:p w14:paraId="6CE3E6EF" w14:textId="77777777" w:rsidR="00A76200" w:rsidRPr="00A76200" w:rsidRDefault="00A76200" w:rsidP="00A76200">
            <w:pPr>
              <w:spacing w:line="240" w:lineRule="auto"/>
              <w:jc w:val="center"/>
              <w:rPr>
                <w:b/>
                <w:bCs/>
                <w:color w:val="000000"/>
                <w:sz w:val="22"/>
                <w:szCs w:val="22"/>
                <w:lang w:val="en-US" w:eastAsia="en-US"/>
              </w:rPr>
            </w:pPr>
            <w:r w:rsidRPr="00A76200">
              <w:rPr>
                <w:b/>
                <w:bCs/>
                <w:color w:val="000000"/>
                <w:sz w:val="22"/>
                <w:szCs w:val="22"/>
                <w:lang w:val="en-US" w:eastAsia="en-US"/>
              </w:rPr>
              <w:t>Percent</w:t>
            </w:r>
          </w:p>
        </w:tc>
      </w:tr>
      <w:tr w:rsidR="00A76200" w:rsidRPr="00A76200" w14:paraId="4B11F89A" w14:textId="77777777" w:rsidTr="00A76200">
        <w:trPr>
          <w:trHeight w:val="500"/>
          <w:jc w:val="center"/>
        </w:trPr>
        <w:tc>
          <w:tcPr>
            <w:tcW w:w="0" w:type="auto"/>
            <w:gridSpan w:val="2"/>
            <w:tcBorders>
              <w:top w:val="nil"/>
              <w:left w:val="nil"/>
              <w:bottom w:val="nil"/>
              <w:right w:val="nil"/>
            </w:tcBorders>
            <w:shd w:val="clear" w:color="000000" w:fill="FFFFFF"/>
            <w:noWrap/>
            <w:vAlign w:val="center"/>
            <w:hideMark/>
          </w:tcPr>
          <w:p w14:paraId="145F635D" w14:textId="77777777" w:rsidR="00A76200" w:rsidRPr="00A76200" w:rsidRDefault="00A76200" w:rsidP="00A76200">
            <w:pPr>
              <w:spacing w:line="240" w:lineRule="auto"/>
              <w:rPr>
                <w:i/>
                <w:iCs/>
                <w:color w:val="000000"/>
                <w:sz w:val="22"/>
                <w:szCs w:val="22"/>
                <w:u w:val="single"/>
                <w:lang w:val="en-US" w:eastAsia="en-US"/>
              </w:rPr>
            </w:pPr>
            <w:r w:rsidRPr="00A76200">
              <w:rPr>
                <w:i/>
                <w:iCs/>
                <w:color w:val="000000"/>
                <w:sz w:val="22"/>
                <w:szCs w:val="22"/>
                <w:u w:val="single"/>
                <w:lang w:val="en-US" w:eastAsia="en-US"/>
              </w:rPr>
              <w:t>Economic Reason</w:t>
            </w:r>
          </w:p>
        </w:tc>
        <w:tc>
          <w:tcPr>
            <w:tcW w:w="0" w:type="auto"/>
            <w:tcBorders>
              <w:top w:val="nil"/>
              <w:left w:val="nil"/>
              <w:bottom w:val="nil"/>
              <w:right w:val="nil"/>
            </w:tcBorders>
            <w:shd w:val="clear" w:color="000000" w:fill="FFFFFF"/>
            <w:vAlign w:val="center"/>
            <w:hideMark/>
          </w:tcPr>
          <w:p w14:paraId="2A739611" w14:textId="77777777" w:rsidR="00A76200" w:rsidRPr="00A76200" w:rsidRDefault="00A76200" w:rsidP="00A76200">
            <w:pPr>
              <w:spacing w:line="240" w:lineRule="auto"/>
              <w:jc w:val="center"/>
              <w:rPr>
                <w:b/>
                <w:bCs/>
                <w:color w:val="000000"/>
                <w:sz w:val="22"/>
                <w:szCs w:val="22"/>
                <w:lang w:val="en-US" w:eastAsia="en-US"/>
              </w:rPr>
            </w:pPr>
            <w:r w:rsidRPr="00A76200">
              <w:rPr>
                <w:b/>
                <w:bCs/>
                <w:color w:val="000000"/>
                <w:sz w:val="22"/>
                <w:szCs w:val="22"/>
                <w:lang w:val="en-US" w:eastAsia="en-US"/>
              </w:rPr>
              <w:t> </w:t>
            </w:r>
          </w:p>
        </w:tc>
        <w:tc>
          <w:tcPr>
            <w:tcW w:w="0" w:type="auto"/>
            <w:tcBorders>
              <w:top w:val="nil"/>
              <w:left w:val="nil"/>
              <w:bottom w:val="nil"/>
              <w:right w:val="nil"/>
            </w:tcBorders>
            <w:shd w:val="clear" w:color="000000" w:fill="FFFFFF"/>
            <w:vAlign w:val="center"/>
            <w:hideMark/>
          </w:tcPr>
          <w:p w14:paraId="2F50D541" w14:textId="77777777" w:rsidR="00A76200" w:rsidRPr="00A76200" w:rsidRDefault="00A76200" w:rsidP="00A76200">
            <w:pPr>
              <w:spacing w:line="240" w:lineRule="auto"/>
              <w:jc w:val="center"/>
              <w:rPr>
                <w:b/>
                <w:bCs/>
                <w:color w:val="000000"/>
                <w:sz w:val="22"/>
                <w:szCs w:val="22"/>
                <w:lang w:val="en-US" w:eastAsia="en-US"/>
              </w:rPr>
            </w:pPr>
            <w:r w:rsidRPr="00A76200">
              <w:rPr>
                <w:b/>
                <w:bCs/>
                <w:color w:val="000000"/>
                <w:sz w:val="22"/>
                <w:szCs w:val="22"/>
                <w:lang w:val="en-US" w:eastAsia="en-US"/>
              </w:rPr>
              <w:t> </w:t>
            </w:r>
          </w:p>
        </w:tc>
      </w:tr>
      <w:tr w:rsidR="00A76200" w:rsidRPr="00A76200" w14:paraId="7318AE35" w14:textId="77777777" w:rsidTr="00A76200">
        <w:trPr>
          <w:trHeight w:val="280"/>
          <w:jc w:val="center"/>
        </w:trPr>
        <w:tc>
          <w:tcPr>
            <w:tcW w:w="0" w:type="auto"/>
            <w:tcBorders>
              <w:top w:val="nil"/>
              <w:left w:val="nil"/>
              <w:bottom w:val="nil"/>
              <w:right w:val="nil"/>
            </w:tcBorders>
            <w:shd w:val="clear" w:color="000000" w:fill="FFFFFF"/>
            <w:noWrap/>
            <w:vAlign w:val="bottom"/>
            <w:hideMark/>
          </w:tcPr>
          <w:p w14:paraId="0B7B0B8F"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0" w:type="auto"/>
            <w:tcBorders>
              <w:top w:val="nil"/>
              <w:left w:val="nil"/>
              <w:bottom w:val="nil"/>
              <w:right w:val="nil"/>
            </w:tcBorders>
            <w:shd w:val="clear" w:color="000000" w:fill="FFFFFF"/>
            <w:noWrap/>
            <w:vAlign w:val="bottom"/>
            <w:hideMark/>
          </w:tcPr>
          <w:p w14:paraId="0A7717BD"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Financially constrained</w:t>
            </w:r>
          </w:p>
        </w:tc>
        <w:tc>
          <w:tcPr>
            <w:tcW w:w="0" w:type="auto"/>
            <w:tcBorders>
              <w:top w:val="nil"/>
              <w:left w:val="nil"/>
              <w:bottom w:val="nil"/>
              <w:right w:val="nil"/>
            </w:tcBorders>
            <w:shd w:val="clear" w:color="000000" w:fill="FFFFFF"/>
            <w:noWrap/>
            <w:vAlign w:val="bottom"/>
            <w:hideMark/>
          </w:tcPr>
          <w:p w14:paraId="15D65646"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152</w:t>
            </w:r>
          </w:p>
        </w:tc>
        <w:tc>
          <w:tcPr>
            <w:tcW w:w="0" w:type="auto"/>
            <w:tcBorders>
              <w:top w:val="nil"/>
              <w:left w:val="nil"/>
              <w:bottom w:val="nil"/>
              <w:right w:val="nil"/>
            </w:tcBorders>
            <w:shd w:val="clear" w:color="000000" w:fill="FFFFFF"/>
            <w:noWrap/>
            <w:vAlign w:val="bottom"/>
            <w:hideMark/>
          </w:tcPr>
          <w:p w14:paraId="5AB88023"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33.93</w:t>
            </w:r>
          </w:p>
        </w:tc>
      </w:tr>
      <w:tr w:rsidR="00A76200" w:rsidRPr="00A76200" w14:paraId="78711071" w14:textId="77777777" w:rsidTr="00A76200">
        <w:trPr>
          <w:trHeight w:val="280"/>
          <w:jc w:val="center"/>
        </w:trPr>
        <w:tc>
          <w:tcPr>
            <w:tcW w:w="0" w:type="auto"/>
            <w:tcBorders>
              <w:top w:val="nil"/>
              <w:left w:val="nil"/>
              <w:bottom w:val="nil"/>
              <w:right w:val="nil"/>
            </w:tcBorders>
            <w:shd w:val="clear" w:color="000000" w:fill="FFFFFF"/>
            <w:noWrap/>
            <w:vAlign w:val="bottom"/>
            <w:hideMark/>
          </w:tcPr>
          <w:p w14:paraId="14E00BE3"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0" w:type="auto"/>
            <w:tcBorders>
              <w:top w:val="nil"/>
              <w:left w:val="nil"/>
              <w:bottom w:val="nil"/>
              <w:right w:val="nil"/>
            </w:tcBorders>
            <w:shd w:val="clear" w:color="000000" w:fill="FFFFFF"/>
            <w:noWrap/>
            <w:vAlign w:val="bottom"/>
            <w:hideMark/>
          </w:tcPr>
          <w:p w14:paraId="7234B4D7"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Needs to work</w:t>
            </w:r>
          </w:p>
        </w:tc>
        <w:tc>
          <w:tcPr>
            <w:tcW w:w="0" w:type="auto"/>
            <w:tcBorders>
              <w:top w:val="nil"/>
              <w:left w:val="nil"/>
              <w:bottom w:val="nil"/>
              <w:right w:val="nil"/>
            </w:tcBorders>
            <w:shd w:val="clear" w:color="000000" w:fill="FFFFFF"/>
            <w:noWrap/>
            <w:vAlign w:val="bottom"/>
            <w:hideMark/>
          </w:tcPr>
          <w:p w14:paraId="6B0A90D7"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47</w:t>
            </w:r>
          </w:p>
        </w:tc>
        <w:tc>
          <w:tcPr>
            <w:tcW w:w="0" w:type="auto"/>
            <w:tcBorders>
              <w:top w:val="nil"/>
              <w:left w:val="nil"/>
              <w:bottom w:val="nil"/>
              <w:right w:val="nil"/>
            </w:tcBorders>
            <w:shd w:val="clear" w:color="000000" w:fill="FFFFFF"/>
            <w:noWrap/>
            <w:vAlign w:val="bottom"/>
            <w:hideMark/>
          </w:tcPr>
          <w:p w14:paraId="0F638850"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10.49</w:t>
            </w:r>
          </w:p>
        </w:tc>
      </w:tr>
      <w:tr w:rsidR="00A76200" w:rsidRPr="00A76200" w14:paraId="4C7AD54B" w14:textId="77777777" w:rsidTr="00A76200">
        <w:trPr>
          <w:trHeight w:val="500"/>
          <w:jc w:val="center"/>
        </w:trPr>
        <w:tc>
          <w:tcPr>
            <w:tcW w:w="0" w:type="auto"/>
            <w:gridSpan w:val="2"/>
            <w:tcBorders>
              <w:top w:val="nil"/>
              <w:left w:val="nil"/>
              <w:bottom w:val="nil"/>
              <w:right w:val="nil"/>
            </w:tcBorders>
            <w:shd w:val="clear" w:color="000000" w:fill="FFFFFF"/>
            <w:noWrap/>
            <w:vAlign w:val="center"/>
            <w:hideMark/>
          </w:tcPr>
          <w:p w14:paraId="2490C5C6" w14:textId="77777777" w:rsidR="00A76200" w:rsidRPr="00A76200" w:rsidRDefault="00A76200" w:rsidP="00A76200">
            <w:pPr>
              <w:spacing w:line="240" w:lineRule="auto"/>
              <w:rPr>
                <w:i/>
                <w:iCs/>
                <w:color w:val="000000"/>
                <w:sz w:val="22"/>
                <w:szCs w:val="22"/>
                <w:u w:val="single"/>
                <w:lang w:val="en-US" w:eastAsia="en-US"/>
              </w:rPr>
            </w:pPr>
            <w:r w:rsidRPr="00A76200">
              <w:rPr>
                <w:i/>
                <w:iCs/>
                <w:color w:val="000000"/>
                <w:sz w:val="22"/>
                <w:szCs w:val="22"/>
                <w:u w:val="single"/>
                <w:lang w:val="en-US" w:eastAsia="en-US"/>
              </w:rPr>
              <w:t>Subjective Reason</w:t>
            </w:r>
          </w:p>
        </w:tc>
        <w:tc>
          <w:tcPr>
            <w:tcW w:w="0" w:type="auto"/>
            <w:tcBorders>
              <w:top w:val="nil"/>
              <w:left w:val="nil"/>
              <w:bottom w:val="nil"/>
              <w:right w:val="nil"/>
            </w:tcBorders>
            <w:shd w:val="clear" w:color="000000" w:fill="FFFFFF"/>
            <w:vAlign w:val="center"/>
            <w:hideMark/>
          </w:tcPr>
          <w:p w14:paraId="6100072F" w14:textId="77777777" w:rsidR="00A76200" w:rsidRPr="00A76200" w:rsidRDefault="00A76200" w:rsidP="00A76200">
            <w:pPr>
              <w:spacing w:line="240" w:lineRule="auto"/>
              <w:jc w:val="center"/>
              <w:rPr>
                <w:b/>
                <w:bCs/>
                <w:color w:val="000000"/>
                <w:sz w:val="22"/>
                <w:szCs w:val="22"/>
                <w:lang w:val="en-US" w:eastAsia="en-US"/>
              </w:rPr>
            </w:pPr>
            <w:r w:rsidRPr="00A76200">
              <w:rPr>
                <w:b/>
                <w:bCs/>
                <w:color w:val="000000"/>
                <w:sz w:val="22"/>
                <w:szCs w:val="22"/>
                <w:lang w:val="en-US" w:eastAsia="en-US"/>
              </w:rPr>
              <w:t> </w:t>
            </w:r>
          </w:p>
        </w:tc>
        <w:tc>
          <w:tcPr>
            <w:tcW w:w="0" w:type="auto"/>
            <w:tcBorders>
              <w:top w:val="nil"/>
              <w:left w:val="nil"/>
              <w:bottom w:val="nil"/>
              <w:right w:val="nil"/>
            </w:tcBorders>
            <w:shd w:val="clear" w:color="000000" w:fill="FFFFFF"/>
            <w:vAlign w:val="center"/>
            <w:hideMark/>
          </w:tcPr>
          <w:p w14:paraId="59207023" w14:textId="77777777" w:rsidR="00A76200" w:rsidRPr="00A76200" w:rsidRDefault="00A76200" w:rsidP="00A76200">
            <w:pPr>
              <w:spacing w:line="240" w:lineRule="auto"/>
              <w:jc w:val="center"/>
              <w:rPr>
                <w:b/>
                <w:bCs/>
                <w:color w:val="000000"/>
                <w:sz w:val="22"/>
                <w:szCs w:val="22"/>
                <w:lang w:val="en-US" w:eastAsia="en-US"/>
              </w:rPr>
            </w:pPr>
            <w:r w:rsidRPr="00A76200">
              <w:rPr>
                <w:b/>
                <w:bCs/>
                <w:color w:val="000000"/>
                <w:sz w:val="22"/>
                <w:szCs w:val="22"/>
                <w:lang w:val="en-US" w:eastAsia="en-US"/>
              </w:rPr>
              <w:t> </w:t>
            </w:r>
          </w:p>
        </w:tc>
      </w:tr>
      <w:tr w:rsidR="00A76200" w:rsidRPr="00A76200" w14:paraId="48BC568F" w14:textId="77777777" w:rsidTr="00A76200">
        <w:trPr>
          <w:trHeight w:val="280"/>
          <w:jc w:val="center"/>
        </w:trPr>
        <w:tc>
          <w:tcPr>
            <w:tcW w:w="0" w:type="auto"/>
            <w:tcBorders>
              <w:top w:val="nil"/>
              <w:left w:val="nil"/>
              <w:bottom w:val="nil"/>
              <w:right w:val="nil"/>
            </w:tcBorders>
            <w:shd w:val="clear" w:color="000000" w:fill="FFFFFF"/>
            <w:noWrap/>
            <w:vAlign w:val="bottom"/>
            <w:hideMark/>
          </w:tcPr>
          <w:p w14:paraId="1F556B46"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0" w:type="auto"/>
            <w:tcBorders>
              <w:top w:val="nil"/>
              <w:left w:val="nil"/>
              <w:bottom w:val="nil"/>
              <w:right w:val="nil"/>
            </w:tcBorders>
            <w:shd w:val="clear" w:color="000000" w:fill="FFFFFF"/>
            <w:noWrap/>
            <w:vAlign w:val="bottom"/>
            <w:hideMark/>
          </w:tcPr>
          <w:p w14:paraId="2B012BC8"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Does not want to study</w:t>
            </w:r>
          </w:p>
        </w:tc>
        <w:tc>
          <w:tcPr>
            <w:tcW w:w="0" w:type="auto"/>
            <w:tcBorders>
              <w:top w:val="nil"/>
              <w:left w:val="nil"/>
              <w:bottom w:val="nil"/>
              <w:right w:val="nil"/>
            </w:tcBorders>
            <w:shd w:val="clear" w:color="000000" w:fill="FFFFFF"/>
            <w:noWrap/>
            <w:vAlign w:val="bottom"/>
            <w:hideMark/>
          </w:tcPr>
          <w:p w14:paraId="66F958D8"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110</w:t>
            </w:r>
          </w:p>
        </w:tc>
        <w:tc>
          <w:tcPr>
            <w:tcW w:w="0" w:type="auto"/>
            <w:tcBorders>
              <w:top w:val="nil"/>
              <w:left w:val="nil"/>
              <w:bottom w:val="nil"/>
              <w:right w:val="nil"/>
            </w:tcBorders>
            <w:shd w:val="clear" w:color="000000" w:fill="FFFFFF"/>
            <w:noWrap/>
            <w:vAlign w:val="bottom"/>
            <w:hideMark/>
          </w:tcPr>
          <w:p w14:paraId="06D2315C"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24.55</w:t>
            </w:r>
          </w:p>
        </w:tc>
      </w:tr>
      <w:tr w:rsidR="00A76200" w:rsidRPr="00A76200" w14:paraId="63BC1A92" w14:textId="77777777" w:rsidTr="00A76200">
        <w:trPr>
          <w:trHeight w:val="500"/>
          <w:jc w:val="center"/>
        </w:trPr>
        <w:tc>
          <w:tcPr>
            <w:tcW w:w="0" w:type="auto"/>
            <w:gridSpan w:val="2"/>
            <w:tcBorders>
              <w:top w:val="nil"/>
              <w:left w:val="nil"/>
              <w:bottom w:val="nil"/>
              <w:right w:val="nil"/>
            </w:tcBorders>
            <w:shd w:val="clear" w:color="000000" w:fill="FFFFFF"/>
            <w:noWrap/>
            <w:vAlign w:val="center"/>
            <w:hideMark/>
          </w:tcPr>
          <w:p w14:paraId="7C51985E" w14:textId="77777777" w:rsidR="00A76200" w:rsidRPr="00A76200" w:rsidRDefault="00A76200" w:rsidP="00A76200">
            <w:pPr>
              <w:spacing w:line="240" w:lineRule="auto"/>
              <w:rPr>
                <w:i/>
                <w:iCs/>
                <w:color w:val="000000"/>
                <w:sz w:val="22"/>
                <w:szCs w:val="22"/>
                <w:u w:val="single"/>
                <w:lang w:val="en-US" w:eastAsia="en-US"/>
              </w:rPr>
            </w:pPr>
            <w:r w:rsidRPr="00A76200">
              <w:rPr>
                <w:i/>
                <w:iCs/>
                <w:color w:val="000000"/>
                <w:sz w:val="22"/>
                <w:szCs w:val="22"/>
                <w:u w:val="single"/>
                <w:lang w:val="en-US" w:eastAsia="en-US"/>
              </w:rPr>
              <w:t>Supply-side reasons</w:t>
            </w:r>
          </w:p>
        </w:tc>
        <w:tc>
          <w:tcPr>
            <w:tcW w:w="0" w:type="auto"/>
            <w:tcBorders>
              <w:top w:val="nil"/>
              <w:left w:val="nil"/>
              <w:bottom w:val="nil"/>
              <w:right w:val="nil"/>
            </w:tcBorders>
            <w:shd w:val="clear" w:color="000000" w:fill="FFFFFF"/>
            <w:vAlign w:val="center"/>
            <w:hideMark/>
          </w:tcPr>
          <w:p w14:paraId="614F47FB" w14:textId="77777777" w:rsidR="00A76200" w:rsidRPr="00A76200" w:rsidRDefault="00A76200" w:rsidP="00A76200">
            <w:pPr>
              <w:spacing w:line="240" w:lineRule="auto"/>
              <w:jc w:val="center"/>
              <w:rPr>
                <w:b/>
                <w:bCs/>
                <w:color w:val="000000"/>
                <w:sz w:val="22"/>
                <w:szCs w:val="22"/>
                <w:lang w:val="en-US" w:eastAsia="en-US"/>
              </w:rPr>
            </w:pPr>
            <w:r w:rsidRPr="00A76200">
              <w:rPr>
                <w:b/>
                <w:bCs/>
                <w:color w:val="000000"/>
                <w:sz w:val="22"/>
                <w:szCs w:val="22"/>
                <w:lang w:val="en-US" w:eastAsia="en-US"/>
              </w:rPr>
              <w:t> </w:t>
            </w:r>
          </w:p>
        </w:tc>
        <w:tc>
          <w:tcPr>
            <w:tcW w:w="0" w:type="auto"/>
            <w:tcBorders>
              <w:top w:val="nil"/>
              <w:left w:val="nil"/>
              <w:bottom w:val="nil"/>
              <w:right w:val="nil"/>
            </w:tcBorders>
            <w:shd w:val="clear" w:color="000000" w:fill="FFFFFF"/>
            <w:vAlign w:val="center"/>
            <w:hideMark/>
          </w:tcPr>
          <w:p w14:paraId="39894F83" w14:textId="77777777" w:rsidR="00A76200" w:rsidRPr="00A76200" w:rsidRDefault="00A76200" w:rsidP="00A76200">
            <w:pPr>
              <w:spacing w:line="240" w:lineRule="auto"/>
              <w:jc w:val="center"/>
              <w:rPr>
                <w:b/>
                <w:bCs/>
                <w:color w:val="000000"/>
                <w:sz w:val="22"/>
                <w:szCs w:val="22"/>
                <w:lang w:val="en-US" w:eastAsia="en-US"/>
              </w:rPr>
            </w:pPr>
            <w:r w:rsidRPr="00A76200">
              <w:rPr>
                <w:b/>
                <w:bCs/>
                <w:color w:val="000000"/>
                <w:sz w:val="22"/>
                <w:szCs w:val="22"/>
                <w:lang w:val="en-US" w:eastAsia="en-US"/>
              </w:rPr>
              <w:t> </w:t>
            </w:r>
          </w:p>
        </w:tc>
      </w:tr>
      <w:tr w:rsidR="00A76200" w:rsidRPr="00A76200" w14:paraId="6F9476A2" w14:textId="77777777" w:rsidTr="00A76200">
        <w:trPr>
          <w:trHeight w:val="290"/>
          <w:jc w:val="center"/>
        </w:trPr>
        <w:tc>
          <w:tcPr>
            <w:tcW w:w="0" w:type="auto"/>
            <w:tcBorders>
              <w:top w:val="nil"/>
              <w:left w:val="nil"/>
              <w:bottom w:val="nil"/>
              <w:right w:val="nil"/>
            </w:tcBorders>
            <w:shd w:val="clear" w:color="000000" w:fill="FFFFFF"/>
            <w:noWrap/>
            <w:vAlign w:val="center"/>
            <w:hideMark/>
          </w:tcPr>
          <w:p w14:paraId="425445E8" w14:textId="77777777" w:rsidR="00A76200" w:rsidRPr="00A76200" w:rsidRDefault="00A76200" w:rsidP="00A76200">
            <w:pPr>
              <w:spacing w:line="240" w:lineRule="auto"/>
              <w:rPr>
                <w:i/>
                <w:iCs/>
                <w:color w:val="000000"/>
                <w:sz w:val="22"/>
                <w:szCs w:val="22"/>
                <w:u w:val="single"/>
                <w:lang w:val="en-US" w:eastAsia="en-US"/>
              </w:rPr>
            </w:pPr>
            <w:r w:rsidRPr="00A76200">
              <w:rPr>
                <w:i/>
                <w:iCs/>
                <w:color w:val="000000"/>
                <w:sz w:val="22"/>
                <w:szCs w:val="22"/>
                <w:u w:val="single"/>
                <w:lang w:val="en-US" w:eastAsia="en-US"/>
              </w:rPr>
              <w:t> </w:t>
            </w:r>
          </w:p>
        </w:tc>
        <w:tc>
          <w:tcPr>
            <w:tcW w:w="0" w:type="auto"/>
            <w:tcBorders>
              <w:top w:val="nil"/>
              <w:left w:val="nil"/>
              <w:bottom w:val="nil"/>
              <w:right w:val="nil"/>
            </w:tcBorders>
            <w:shd w:val="clear" w:color="000000" w:fill="FFFFFF"/>
            <w:noWrap/>
            <w:vAlign w:val="bottom"/>
            <w:hideMark/>
          </w:tcPr>
          <w:p w14:paraId="360A9A37"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School is far away</w:t>
            </w:r>
          </w:p>
        </w:tc>
        <w:tc>
          <w:tcPr>
            <w:tcW w:w="0" w:type="auto"/>
            <w:tcBorders>
              <w:top w:val="nil"/>
              <w:left w:val="nil"/>
              <w:bottom w:val="nil"/>
              <w:right w:val="nil"/>
            </w:tcBorders>
            <w:shd w:val="clear" w:color="000000" w:fill="FFFFFF"/>
            <w:noWrap/>
            <w:vAlign w:val="bottom"/>
            <w:hideMark/>
          </w:tcPr>
          <w:p w14:paraId="4FCB0E04"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22</w:t>
            </w:r>
          </w:p>
        </w:tc>
        <w:tc>
          <w:tcPr>
            <w:tcW w:w="0" w:type="auto"/>
            <w:tcBorders>
              <w:top w:val="nil"/>
              <w:left w:val="nil"/>
              <w:bottom w:val="nil"/>
              <w:right w:val="nil"/>
            </w:tcBorders>
            <w:shd w:val="clear" w:color="000000" w:fill="FFFFFF"/>
            <w:noWrap/>
            <w:vAlign w:val="bottom"/>
            <w:hideMark/>
          </w:tcPr>
          <w:p w14:paraId="3BE587B8"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4.91</w:t>
            </w:r>
          </w:p>
        </w:tc>
      </w:tr>
      <w:tr w:rsidR="00A76200" w:rsidRPr="00A76200" w14:paraId="4D45A667" w14:textId="77777777" w:rsidTr="00A76200">
        <w:trPr>
          <w:trHeight w:val="500"/>
          <w:jc w:val="center"/>
        </w:trPr>
        <w:tc>
          <w:tcPr>
            <w:tcW w:w="0" w:type="auto"/>
            <w:gridSpan w:val="2"/>
            <w:tcBorders>
              <w:top w:val="nil"/>
              <w:left w:val="nil"/>
              <w:bottom w:val="nil"/>
              <w:right w:val="nil"/>
            </w:tcBorders>
            <w:shd w:val="clear" w:color="000000" w:fill="FFFFFF"/>
            <w:noWrap/>
            <w:vAlign w:val="center"/>
            <w:hideMark/>
          </w:tcPr>
          <w:p w14:paraId="2D98080F" w14:textId="77777777" w:rsidR="00A76200" w:rsidRPr="00A76200" w:rsidRDefault="00A76200" w:rsidP="00A76200">
            <w:pPr>
              <w:spacing w:line="240" w:lineRule="auto"/>
              <w:rPr>
                <w:i/>
                <w:iCs/>
                <w:color w:val="000000"/>
                <w:sz w:val="22"/>
                <w:szCs w:val="22"/>
                <w:u w:val="single"/>
                <w:lang w:val="en-US" w:eastAsia="en-US"/>
              </w:rPr>
            </w:pPr>
            <w:r w:rsidRPr="00A76200">
              <w:rPr>
                <w:i/>
                <w:iCs/>
                <w:color w:val="000000"/>
                <w:sz w:val="22"/>
                <w:szCs w:val="22"/>
                <w:u w:val="single"/>
                <w:lang w:val="en-US" w:eastAsia="en-US"/>
              </w:rPr>
              <w:t>Child and Family Reasons</w:t>
            </w:r>
          </w:p>
        </w:tc>
        <w:tc>
          <w:tcPr>
            <w:tcW w:w="0" w:type="auto"/>
            <w:tcBorders>
              <w:top w:val="nil"/>
              <w:left w:val="nil"/>
              <w:bottom w:val="nil"/>
              <w:right w:val="nil"/>
            </w:tcBorders>
            <w:shd w:val="clear" w:color="000000" w:fill="FFFFFF"/>
            <w:vAlign w:val="center"/>
            <w:hideMark/>
          </w:tcPr>
          <w:p w14:paraId="3C79EDCF" w14:textId="77777777" w:rsidR="00A76200" w:rsidRPr="00A76200" w:rsidRDefault="00A76200" w:rsidP="00A76200">
            <w:pPr>
              <w:spacing w:line="240" w:lineRule="auto"/>
              <w:jc w:val="center"/>
              <w:rPr>
                <w:b/>
                <w:bCs/>
                <w:color w:val="000000"/>
                <w:sz w:val="22"/>
                <w:szCs w:val="22"/>
                <w:lang w:val="en-US" w:eastAsia="en-US"/>
              </w:rPr>
            </w:pPr>
            <w:r w:rsidRPr="00A76200">
              <w:rPr>
                <w:b/>
                <w:bCs/>
                <w:color w:val="000000"/>
                <w:sz w:val="22"/>
                <w:szCs w:val="22"/>
                <w:lang w:val="en-US" w:eastAsia="en-US"/>
              </w:rPr>
              <w:t> </w:t>
            </w:r>
          </w:p>
        </w:tc>
        <w:tc>
          <w:tcPr>
            <w:tcW w:w="0" w:type="auto"/>
            <w:tcBorders>
              <w:top w:val="nil"/>
              <w:left w:val="nil"/>
              <w:bottom w:val="nil"/>
              <w:right w:val="nil"/>
            </w:tcBorders>
            <w:shd w:val="clear" w:color="000000" w:fill="FFFFFF"/>
            <w:vAlign w:val="center"/>
            <w:hideMark/>
          </w:tcPr>
          <w:p w14:paraId="2CA4E72E" w14:textId="77777777" w:rsidR="00A76200" w:rsidRPr="00A76200" w:rsidRDefault="00A76200" w:rsidP="00A76200">
            <w:pPr>
              <w:spacing w:line="240" w:lineRule="auto"/>
              <w:jc w:val="center"/>
              <w:rPr>
                <w:b/>
                <w:bCs/>
                <w:color w:val="000000"/>
                <w:sz w:val="22"/>
                <w:szCs w:val="22"/>
                <w:lang w:val="en-US" w:eastAsia="en-US"/>
              </w:rPr>
            </w:pPr>
            <w:r w:rsidRPr="00A76200">
              <w:rPr>
                <w:b/>
                <w:bCs/>
                <w:color w:val="000000"/>
                <w:sz w:val="22"/>
                <w:szCs w:val="22"/>
                <w:lang w:val="en-US" w:eastAsia="en-US"/>
              </w:rPr>
              <w:t> </w:t>
            </w:r>
          </w:p>
        </w:tc>
      </w:tr>
      <w:tr w:rsidR="00A76200" w:rsidRPr="00A76200" w14:paraId="396C7E78" w14:textId="77777777" w:rsidTr="00A76200">
        <w:trPr>
          <w:trHeight w:val="290"/>
          <w:jc w:val="center"/>
        </w:trPr>
        <w:tc>
          <w:tcPr>
            <w:tcW w:w="0" w:type="auto"/>
            <w:tcBorders>
              <w:top w:val="nil"/>
              <w:left w:val="nil"/>
              <w:bottom w:val="nil"/>
              <w:right w:val="nil"/>
            </w:tcBorders>
            <w:shd w:val="clear" w:color="000000" w:fill="FFFFFF"/>
            <w:noWrap/>
            <w:vAlign w:val="center"/>
            <w:hideMark/>
          </w:tcPr>
          <w:p w14:paraId="040D9D55" w14:textId="77777777" w:rsidR="00A76200" w:rsidRPr="00A76200" w:rsidRDefault="00A76200" w:rsidP="00A76200">
            <w:pPr>
              <w:spacing w:line="240" w:lineRule="auto"/>
              <w:rPr>
                <w:i/>
                <w:iCs/>
                <w:color w:val="000000"/>
                <w:sz w:val="22"/>
                <w:szCs w:val="22"/>
                <w:u w:val="single"/>
                <w:lang w:val="en-US" w:eastAsia="en-US"/>
              </w:rPr>
            </w:pPr>
            <w:r w:rsidRPr="00A76200">
              <w:rPr>
                <w:i/>
                <w:iCs/>
                <w:color w:val="000000"/>
                <w:sz w:val="22"/>
                <w:szCs w:val="22"/>
                <w:u w:val="single"/>
                <w:lang w:val="en-US" w:eastAsia="en-US"/>
              </w:rPr>
              <w:t> </w:t>
            </w:r>
          </w:p>
        </w:tc>
        <w:tc>
          <w:tcPr>
            <w:tcW w:w="0" w:type="auto"/>
            <w:tcBorders>
              <w:top w:val="nil"/>
              <w:left w:val="nil"/>
              <w:bottom w:val="nil"/>
              <w:right w:val="nil"/>
            </w:tcBorders>
            <w:shd w:val="clear" w:color="000000" w:fill="FFFFFF"/>
            <w:noWrap/>
            <w:vAlign w:val="bottom"/>
            <w:hideMark/>
          </w:tcPr>
          <w:p w14:paraId="1959662D"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Child is ill</w:t>
            </w:r>
          </w:p>
        </w:tc>
        <w:tc>
          <w:tcPr>
            <w:tcW w:w="0" w:type="auto"/>
            <w:tcBorders>
              <w:top w:val="nil"/>
              <w:left w:val="nil"/>
              <w:bottom w:val="nil"/>
              <w:right w:val="nil"/>
            </w:tcBorders>
            <w:shd w:val="clear" w:color="000000" w:fill="FFFFFF"/>
            <w:noWrap/>
            <w:vAlign w:val="bottom"/>
            <w:hideMark/>
          </w:tcPr>
          <w:p w14:paraId="15B18AD7"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21</w:t>
            </w:r>
          </w:p>
        </w:tc>
        <w:tc>
          <w:tcPr>
            <w:tcW w:w="0" w:type="auto"/>
            <w:tcBorders>
              <w:top w:val="nil"/>
              <w:left w:val="nil"/>
              <w:bottom w:val="nil"/>
              <w:right w:val="nil"/>
            </w:tcBorders>
            <w:shd w:val="clear" w:color="000000" w:fill="FFFFFF"/>
            <w:noWrap/>
            <w:vAlign w:val="bottom"/>
            <w:hideMark/>
          </w:tcPr>
          <w:p w14:paraId="57282050"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4.69</w:t>
            </w:r>
          </w:p>
        </w:tc>
      </w:tr>
      <w:tr w:rsidR="00A76200" w:rsidRPr="00A76200" w14:paraId="36721269" w14:textId="77777777" w:rsidTr="00A76200">
        <w:trPr>
          <w:trHeight w:val="280"/>
          <w:jc w:val="center"/>
        </w:trPr>
        <w:tc>
          <w:tcPr>
            <w:tcW w:w="0" w:type="auto"/>
            <w:tcBorders>
              <w:top w:val="nil"/>
              <w:left w:val="nil"/>
              <w:bottom w:val="nil"/>
              <w:right w:val="nil"/>
            </w:tcBorders>
            <w:shd w:val="clear" w:color="000000" w:fill="FFFFFF"/>
            <w:noWrap/>
            <w:vAlign w:val="bottom"/>
            <w:hideMark/>
          </w:tcPr>
          <w:p w14:paraId="123CA088"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0" w:type="auto"/>
            <w:tcBorders>
              <w:top w:val="nil"/>
              <w:left w:val="nil"/>
              <w:bottom w:val="nil"/>
              <w:right w:val="nil"/>
            </w:tcBorders>
            <w:shd w:val="clear" w:color="000000" w:fill="FFFFFF"/>
            <w:noWrap/>
            <w:vAlign w:val="bottom"/>
            <w:hideMark/>
          </w:tcPr>
          <w:p w14:paraId="3AE73A34"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Family reasons</w:t>
            </w:r>
          </w:p>
        </w:tc>
        <w:tc>
          <w:tcPr>
            <w:tcW w:w="0" w:type="auto"/>
            <w:tcBorders>
              <w:top w:val="nil"/>
              <w:left w:val="nil"/>
              <w:bottom w:val="nil"/>
              <w:right w:val="nil"/>
            </w:tcBorders>
            <w:shd w:val="clear" w:color="000000" w:fill="FFFFFF"/>
            <w:noWrap/>
            <w:vAlign w:val="bottom"/>
            <w:hideMark/>
          </w:tcPr>
          <w:p w14:paraId="53B0AA97"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61</w:t>
            </w:r>
          </w:p>
        </w:tc>
        <w:tc>
          <w:tcPr>
            <w:tcW w:w="0" w:type="auto"/>
            <w:tcBorders>
              <w:top w:val="nil"/>
              <w:left w:val="nil"/>
              <w:bottom w:val="nil"/>
              <w:right w:val="nil"/>
            </w:tcBorders>
            <w:shd w:val="clear" w:color="000000" w:fill="FFFFFF"/>
            <w:noWrap/>
            <w:vAlign w:val="bottom"/>
            <w:hideMark/>
          </w:tcPr>
          <w:p w14:paraId="3B8D4A8F"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13.62</w:t>
            </w:r>
          </w:p>
        </w:tc>
      </w:tr>
      <w:tr w:rsidR="00A76200" w:rsidRPr="00A76200" w14:paraId="10677248" w14:textId="77777777" w:rsidTr="00A76200">
        <w:trPr>
          <w:trHeight w:val="280"/>
          <w:jc w:val="center"/>
        </w:trPr>
        <w:tc>
          <w:tcPr>
            <w:tcW w:w="0" w:type="auto"/>
            <w:tcBorders>
              <w:top w:val="nil"/>
              <w:left w:val="nil"/>
              <w:bottom w:val="nil"/>
              <w:right w:val="nil"/>
            </w:tcBorders>
            <w:shd w:val="clear" w:color="000000" w:fill="FFFFFF"/>
            <w:noWrap/>
            <w:vAlign w:val="bottom"/>
            <w:hideMark/>
          </w:tcPr>
          <w:p w14:paraId="51392467"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lastRenderedPageBreak/>
              <w:t> </w:t>
            </w:r>
          </w:p>
        </w:tc>
        <w:tc>
          <w:tcPr>
            <w:tcW w:w="0" w:type="auto"/>
            <w:tcBorders>
              <w:top w:val="nil"/>
              <w:left w:val="nil"/>
              <w:bottom w:val="nil"/>
              <w:right w:val="nil"/>
            </w:tcBorders>
            <w:shd w:val="clear" w:color="000000" w:fill="FFFFFF"/>
            <w:noWrap/>
            <w:vAlign w:val="bottom"/>
            <w:hideMark/>
          </w:tcPr>
          <w:p w14:paraId="18367097"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Other</w:t>
            </w:r>
          </w:p>
        </w:tc>
        <w:tc>
          <w:tcPr>
            <w:tcW w:w="0" w:type="auto"/>
            <w:tcBorders>
              <w:top w:val="nil"/>
              <w:left w:val="nil"/>
              <w:bottom w:val="nil"/>
              <w:right w:val="nil"/>
            </w:tcBorders>
            <w:shd w:val="clear" w:color="000000" w:fill="FFFFFF"/>
            <w:noWrap/>
            <w:vAlign w:val="bottom"/>
            <w:hideMark/>
          </w:tcPr>
          <w:p w14:paraId="7B8A1D47"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35</w:t>
            </w:r>
          </w:p>
        </w:tc>
        <w:tc>
          <w:tcPr>
            <w:tcW w:w="0" w:type="auto"/>
            <w:tcBorders>
              <w:top w:val="nil"/>
              <w:left w:val="nil"/>
              <w:bottom w:val="nil"/>
              <w:right w:val="nil"/>
            </w:tcBorders>
            <w:shd w:val="clear" w:color="000000" w:fill="FFFFFF"/>
            <w:noWrap/>
            <w:vAlign w:val="bottom"/>
            <w:hideMark/>
          </w:tcPr>
          <w:p w14:paraId="7C92377B"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7.81</w:t>
            </w:r>
          </w:p>
        </w:tc>
      </w:tr>
      <w:tr w:rsidR="00A76200" w:rsidRPr="00A76200" w14:paraId="2A10A0D5" w14:textId="77777777" w:rsidTr="00A76200">
        <w:trPr>
          <w:trHeight w:val="280"/>
          <w:jc w:val="center"/>
        </w:trPr>
        <w:tc>
          <w:tcPr>
            <w:tcW w:w="0" w:type="auto"/>
            <w:tcBorders>
              <w:top w:val="nil"/>
              <w:left w:val="nil"/>
              <w:bottom w:val="nil"/>
              <w:right w:val="nil"/>
            </w:tcBorders>
            <w:shd w:val="clear" w:color="000000" w:fill="FFFFFF"/>
            <w:noWrap/>
            <w:vAlign w:val="bottom"/>
            <w:hideMark/>
          </w:tcPr>
          <w:p w14:paraId="6B97ECBA"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0" w:type="auto"/>
            <w:tcBorders>
              <w:top w:val="nil"/>
              <w:left w:val="nil"/>
              <w:bottom w:val="nil"/>
              <w:right w:val="nil"/>
            </w:tcBorders>
            <w:shd w:val="clear" w:color="000000" w:fill="FFFFFF"/>
            <w:noWrap/>
            <w:vAlign w:val="bottom"/>
            <w:hideMark/>
          </w:tcPr>
          <w:p w14:paraId="3E617ABB" w14:textId="77777777" w:rsidR="00A76200" w:rsidRPr="00A76200" w:rsidRDefault="00A76200" w:rsidP="00A76200">
            <w:pPr>
              <w:spacing w:line="240" w:lineRule="auto"/>
              <w:rPr>
                <w:color w:val="000000"/>
                <w:sz w:val="22"/>
                <w:szCs w:val="22"/>
                <w:lang w:val="en-US" w:eastAsia="en-US"/>
              </w:rPr>
            </w:pPr>
            <w:r w:rsidRPr="00A76200">
              <w:rPr>
                <w:color w:val="000000"/>
                <w:sz w:val="22"/>
                <w:szCs w:val="22"/>
                <w:lang w:val="en-US" w:eastAsia="en-US"/>
              </w:rPr>
              <w:t> </w:t>
            </w:r>
          </w:p>
        </w:tc>
        <w:tc>
          <w:tcPr>
            <w:tcW w:w="0" w:type="auto"/>
            <w:tcBorders>
              <w:top w:val="nil"/>
              <w:left w:val="nil"/>
              <w:bottom w:val="nil"/>
              <w:right w:val="nil"/>
            </w:tcBorders>
            <w:shd w:val="clear" w:color="000000" w:fill="FFFFFF"/>
            <w:noWrap/>
            <w:vAlign w:val="bottom"/>
            <w:hideMark/>
          </w:tcPr>
          <w:p w14:paraId="3CAE25C9"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 </w:t>
            </w:r>
          </w:p>
        </w:tc>
        <w:tc>
          <w:tcPr>
            <w:tcW w:w="0" w:type="auto"/>
            <w:tcBorders>
              <w:top w:val="nil"/>
              <w:left w:val="nil"/>
              <w:bottom w:val="nil"/>
              <w:right w:val="nil"/>
            </w:tcBorders>
            <w:shd w:val="clear" w:color="000000" w:fill="FFFFFF"/>
            <w:noWrap/>
            <w:vAlign w:val="bottom"/>
            <w:hideMark/>
          </w:tcPr>
          <w:p w14:paraId="7FEC5F4A" w14:textId="77777777" w:rsidR="00A76200" w:rsidRPr="00A76200" w:rsidRDefault="00A76200" w:rsidP="00A76200">
            <w:pPr>
              <w:spacing w:line="240" w:lineRule="auto"/>
              <w:jc w:val="center"/>
              <w:rPr>
                <w:color w:val="000000"/>
                <w:sz w:val="22"/>
                <w:szCs w:val="22"/>
                <w:lang w:val="en-US" w:eastAsia="en-US"/>
              </w:rPr>
            </w:pPr>
            <w:r w:rsidRPr="00A76200">
              <w:rPr>
                <w:color w:val="000000"/>
                <w:sz w:val="22"/>
                <w:szCs w:val="22"/>
                <w:lang w:val="en-US" w:eastAsia="en-US"/>
              </w:rPr>
              <w:t> </w:t>
            </w:r>
          </w:p>
        </w:tc>
      </w:tr>
      <w:tr w:rsidR="00A76200" w:rsidRPr="00A76200" w14:paraId="5B78FC12" w14:textId="77777777" w:rsidTr="00A76200">
        <w:trPr>
          <w:trHeight w:val="290"/>
          <w:jc w:val="center"/>
        </w:trPr>
        <w:tc>
          <w:tcPr>
            <w:tcW w:w="0" w:type="auto"/>
            <w:gridSpan w:val="2"/>
            <w:tcBorders>
              <w:top w:val="single" w:sz="4" w:space="0" w:color="auto"/>
              <w:left w:val="nil"/>
              <w:bottom w:val="single" w:sz="4" w:space="0" w:color="auto"/>
              <w:right w:val="nil"/>
            </w:tcBorders>
            <w:shd w:val="clear" w:color="000000" w:fill="FFFFFF"/>
            <w:noWrap/>
            <w:vAlign w:val="bottom"/>
            <w:hideMark/>
          </w:tcPr>
          <w:p w14:paraId="5AF6C419" w14:textId="77777777" w:rsidR="00A76200" w:rsidRPr="00A76200" w:rsidRDefault="00A76200" w:rsidP="00A76200">
            <w:pPr>
              <w:spacing w:line="240" w:lineRule="auto"/>
              <w:rPr>
                <w:i/>
                <w:iCs/>
                <w:color w:val="000000"/>
                <w:sz w:val="22"/>
                <w:szCs w:val="22"/>
                <w:lang w:val="en-US" w:eastAsia="en-US"/>
              </w:rPr>
            </w:pPr>
            <w:r w:rsidRPr="00A76200">
              <w:rPr>
                <w:i/>
                <w:iCs/>
                <w:color w:val="000000"/>
                <w:sz w:val="22"/>
                <w:szCs w:val="22"/>
                <w:lang w:val="en-US" w:eastAsia="en-US"/>
              </w:rPr>
              <w:t>No. of Observations</w:t>
            </w:r>
          </w:p>
        </w:tc>
        <w:tc>
          <w:tcPr>
            <w:tcW w:w="0" w:type="auto"/>
            <w:tcBorders>
              <w:top w:val="single" w:sz="4" w:space="0" w:color="auto"/>
              <w:left w:val="nil"/>
              <w:bottom w:val="single" w:sz="4" w:space="0" w:color="auto"/>
              <w:right w:val="nil"/>
            </w:tcBorders>
            <w:shd w:val="clear" w:color="000000" w:fill="FFFFFF"/>
            <w:noWrap/>
            <w:vAlign w:val="center"/>
            <w:hideMark/>
          </w:tcPr>
          <w:p w14:paraId="47CDE02D" w14:textId="77777777" w:rsidR="00A76200" w:rsidRPr="00A76200" w:rsidRDefault="00A76200" w:rsidP="00A76200">
            <w:pPr>
              <w:spacing w:line="240" w:lineRule="auto"/>
              <w:jc w:val="center"/>
              <w:rPr>
                <w:i/>
                <w:iCs/>
                <w:color w:val="000000"/>
                <w:sz w:val="22"/>
                <w:szCs w:val="22"/>
                <w:lang w:val="en-US" w:eastAsia="en-US"/>
              </w:rPr>
            </w:pPr>
            <w:r w:rsidRPr="00A76200">
              <w:rPr>
                <w:i/>
                <w:iCs/>
                <w:color w:val="000000"/>
                <w:sz w:val="22"/>
                <w:szCs w:val="22"/>
                <w:lang w:val="en-US" w:eastAsia="en-US"/>
              </w:rPr>
              <w:t>448</w:t>
            </w:r>
          </w:p>
        </w:tc>
        <w:tc>
          <w:tcPr>
            <w:tcW w:w="0" w:type="auto"/>
            <w:tcBorders>
              <w:top w:val="single" w:sz="4" w:space="0" w:color="auto"/>
              <w:left w:val="nil"/>
              <w:bottom w:val="single" w:sz="4" w:space="0" w:color="auto"/>
              <w:right w:val="nil"/>
            </w:tcBorders>
            <w:shd w:val="clear" w:color="000000" w:fill="FFFFFF"/>
            <w:noWrap/>
            <w:vAlign w:val="center"/>
            <w:hideMark/>
          </w:tcPr>
          <w:p w14:paraId="401E0A2B" w14:textId="77777777" w:rsidR="00A76200" w:rsidRPr="00A76200" w:rsidRDefault="00A76200" w:rsidP="00A76200">
            <w:pPr>
              <w:spacing w:line="240" w:lineRule="auto"/>
              <w:jc w:val="center"/>
              <w:rPr>
                <w:i/>
                <w:iCs/>
                <w:color w:val="000000"/>
                <w:sz w:val="22"/>
                <w:szCs w:val="22"/>
                <w:lang w:val="en-US" w:eastAsia="en-US"/>
              </w:rPr>
            </w:pPr>
            <w:r w:rsidRPr="00A76200">
              <w:rPr>
                <w:i/>
                <w:iCs/>
                <w:color w:val="000000"/>
                <w:sz w:val="22"/>
                <w:szCs w:val="22"/>
                <w:lang w:val="en-US" w:eastAsia="en-US"/>
              </w:rPr>
              <w:t>100</w:t>
            </w:r>
          </w:p>
        </w:tc>
      </w:tr>
    </w:tbl>
    <w:p w14:paraId="705C7DE7" w14:textId="5F9246F6" w:rsidR="00A76200" w:rsidRDefault="00A76200" w:rsidP="00A76200">
      <w:pPr>
        <w:pStyle w:val="Newparagraph"/>
      </w:pPr>
    </w:p>
    <w:p w14:paraId="09B943C8" w14:textId="7F2EB5AA" w:rsidR="00A76200" w:rsidRDefault="00A76200" w:rsidP="00A76200">
      <w:pPr>
        <w:pStyle w:val="Newparagraph"/>
        <w:jc w:val="both"/>
        <w:rPr>
          <w:color w:val="000000"/>
        </w:rPr>
      </w:pPr>
      <w:r>
        <w:rPr>
          <w:color w:val="000000"/>
        </w:rPr>
        <w:t xml:space="preserve">Preliminary results from </w:t>
      </w:r>
      <w:r w:rsidRPr="00A76200">
        <w:rPr>
          <w:color w:val="000000"/>
        </w:rPr>
        <w:t>nonparametric</w:t>
      </w:r>
      <w:r>
        <w:rPr>
          <w:color w:val="000000"/>
        </w:rPr>
        <w:t xml:space="preserve"> estimation suggest that </w:t>
      </w:r>
      <w:r w:rsidRPr="00A76200">
        <w:t>Guaraní</w:t>
      </w:r>
      <w:r>
        <w:rPr>
          <w:color w:val="000000"/>
        </w:rPr>
        <w:t xml:space="preserve"> speakers are more likely to drop out than Spanish and bilingual speakers at any given year after the second year of primary school. The estimated survival functions using the </w:t>
      </w:r>
      <w:r w:rsidRPr="00A76200">
        <w:rPr>
          <w:color w:val="000000"/>
        </w:rPr>
        <w:t>Kaplan-</w:t>
      </w:r>
      <w:r>
        <w:rPr>
          <w:color w:val="000000"/>
        </w:rPr>
        <w:t>Meier Survival Estimators are shown in figure 1, for the different language groups. Figure</w:t>
      </w:r>
      <w:r>
        <w:rPr>
          <w:color w:val="000000"/>
          <w:u w:val="single"/>
        </w:rPr>
        <w:t xml:space="preserve"> </w:t>
      </w:r>
      <w:r w:rsidRPr="00A76200">
        <w:rPr>
          <w:color w:val="000000"/>
        </w:rPr>
        <w:t>1a</w:t>
      </w:r>
      <w:r>
        <w:rPr>
          <w:color w:val="000000"/>
        </w:rPr>
        <w:t xml:space="preserve"> compares the survival functions of </w:t>
      </w:r>
      <w:r w:rsidRPr="00A76200">
        <w:t>Guaraní</w:t>
      </w:r>
      <w:r>
        <w:rPr>
          <w:color w:val="000000"/>
        </w:rPr>
        <w:t xml:space="preserve"> and Spanish speakers. As mentioned before, from this graph the differences in the risk of dropping out after a year or grade </w:t>
      </w:r>
      <w:r w:rsidRPr="00A76200">
        <w:rPr>
          <w:i/>
          <w:color w:val="000000"/>
        </w:rPr>
        <w:t>t</w:t>
      </w:r>
      <w:r>
        <w:rPr>
          <w:color w:val="000000"/>
        </w:rPr>
        <w:t xml:space="preserve"> are noticeable. Similarly, figure </w:t>
      </w:r>
      <w:r w:rsidRPr="00A76200">
        <w:rPr>
          <w:color w:val="000000"/>
        </w:rPr>
        <w:t>1b</w:t>
      </w:r>
      <w:r>
        <w:rPr>
          <w:color w:val="000000"/>
        </w:rPr>
        <w:t xml:space="preserve"> compares the survival functions of </w:t>
      </w:r>
      <w:r w:rsidRPr="00A76200">
        <w:rPr>
          <w:color w:val="000000"/>
        </w:rPr>
        <w:t>Guaraní</w:t>
      </w:r>
      <w:r>
        <w:rPr>
          <w:color w:val="000000"/>
        </w:rPr>
        <w:t xml:space="preserve"> and bilingual speakers, denoting a similar pattern. These figures reveal that the gap in the risk of dropping out (or surviving) arises after second grade of primary school and reaches its highest after sixth grade of primary school.</w:t>
      </w:r>
    </w:p>
    <w:p w14:paraId="7D0C77D2" w14:textId="4330F6D2" w:rsidR="00345661" w:rsidRPr="00345661" w:rsidRDefault="00345661" w:rsidP="00345661">
      <w:pPr>
        <w:pStyle w:val="Caption"/>
        <w:keepNext/>
        <w:jc w:val="center"/>
        <w:rPr>
          <w:color w:val="auto"/>
          <w:sz w:val="20"/>
        </w:rPr>
      </w:pPr>
      <w:r w:rsidRPr="00345661">
        <w:rPr>
          <w:color w:val="auto"/>
          <w:sz w:val="20"/>
        </w:rPr>
        <w:t xml:space="preserve">Figure </w:t>
      </w:r>
      <w:r w:rsidRPr="00345661">
        <w:rPr>
          <w:color w:val="auto"/>
          <w:sz w:val="20"/>
        </w:rPr>
        <w:fldChar w:fldCharType="begin"/>
      </w:r>
      <w:r w:rsidRPr="00345661">
        <w:rPr>
          <w:color w:val="auto"/>
          <w:sz w:val="20"/>
        </w:rPr>
        <w:instrText xml:space="preserve"> SEQ Figure \* ARABIC </w:instrText>
      </w:r>
      <w:r w:rsidRPr="00345661">
        <w:rPr>
          <w:color w:val="auto"/>
          <w:sz w:val="20"/>
        </w:rPr>
        <w:fldChar w:fldCharType="separate"/>
      </w:r>
      <w:r w:rsidR="00F72AD8">
        <w:rPr>
          <w:noProof/>
          <w:color w:val="auto"/>
          <w:sz w:val="20"/>
        </w:rPr>
        <w:t>1</w:t>
      </w:r>
      <w:r w:rsidRPr="00345661">
        <w:rPr>
          <w:color w:val="auto"/>
          <w:sz w:val="20"/>
        </w:rPr>
        <w:fldChar w:fldCharType="end"/>
      </w:r>
      <w:r w:rsidRPr="00345661">
        <w:rPr>
          <w:color w:val="auto"/>
          <w:sz w:val="20"/>
        </w:rPr>
        <w:t xml:space="preserve"> – Comparison of Survival Functions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4245"/>
      </w:tblGrid>
      <w:tr w:rsidR="00345661" w14:paraId="19146BBC" w14:textId="77777777" w:rsidTr="00345661">
        <w:trPr>
          <w:jc w:val="center"/>
        </w:trPr>
        <w:tc>
          <w:tcPr>
            <w:tcW w:w="4244" w:type="dxa"/>
            <w:vAlign w:val="center"/>
          </w:tcPr>
          <w:p w14:paraId="236E01DE" w14:textId="2568E552" w:rsidR="00345661" w:rsidRPr="00345661" w:rsidRDefault="00345661" w:rsidP="00345661">
            <w:pPr>
              <w:pStyle w:val="Newparagraph"/>
              <w:ind w:firstLine="0"/>
              <w:jc w:val="center"/>
              <w:rPr>
                <w:color w:val="000000"/>
                <w:sz w:val="20"/>
              </w:rPr>
            </w:pPr>
            <w:r w:rsidRPr="00345661">
              <w:rPr>
                <w:color w:val="000000"/>
                <w:sz w:val="20"/>
              </w:rPr>
              <w:t xml:space="preserve">(a) Guaraní vs. Spanish </w:t>
            </w:r>
            <w:r>
              <w:rPr>
                <w:color w:val="000000"/>
                <w:sz w:val="20"/>
              </w:rPr>
              <w:t>s</w:t>
            </w:r>
            <w:r w:rsidRPr="00345661">
              <w:rPr>
                <w:color w:val="000000"/>
                <w:sz w:val="20"/>
              </w:rPr>
              <w:t>peakers</w:t>
            </w:r>
          </w:p>
        </w:tc>
        <w:tc>
          <w:tcPr>
            <w:tcW w:w="4245" w:type="dxa"/>
            <w:vAlign w:val="center"/>
          </w:tcPr>
          <w:p w14:paraId="4E4A726C" w14:textId="511A54A9" w:rsidR="00345661" w:rsidRPr="00345661" w:rsidRDefault="00345661" w:rsidP="00345661">
            <w:pPr>
              <w:pStyle w:val="Newparagraph"/>
              <w:ind w:firstLine="0"/>
              <w:jc w:val="center"/>
              <w:rPr>
                <w:color w:val="000000"/>
                <w:sz w:val="20"/>
              </w:rPr>
            </w:pPr>
            <w:r w:rsidRPr="00345661">
              <w:rPr>
                <w:color w:val="000000"/>
                <w:sz w:val="20"/>
              </w:rPr>
              <w:t>(b) Guaraní vs. Bilingual speakers</w:t>
            </w:r>
          </w:p>
        </w:tc>
      </w:tr>
      <w:tr w:rsidR="00345661" w14:paraId="46EC9F1A" w14:textId="77777777" w:rsidTr="00345661">
        <w:trPr>
          <w:trHeight w:val="3234"/>
          <w:jc w:val="center"/>
        </w:trPr>
        <w:tc>
          <w:tcPr>
            <w:tcW w:w="4244" w:type="dxa"/>
          </w:tcPr>
          <w:p w14:paraId="3F75BE40" w14:textId="3D8E3B37" w:rsidR="00345661" w:rsidRDefault="00345661" w:rsidP="00345661">
            <w:pPr>
              <w:pStyle w:val="Newparagraph"/>
              <w:ind w:firstLine="0"/>
              <w:jc w:val="center"/>
              <w:rPr>
                <w:color w:val="000000"/>
              </w:rPr>
            </w:pPr>
            <w:r>
              <w:object w:dxaOrig="3960" w:dyaOrig="2880" w14:anchorId="6C135AC5">
                <v:shape id="_x0000_i1046" type="#_x0000_t75" style="width:198pt;height:2in" o:ole="">
                  <v:imagedata r:id="rId51" o:title=""/>
                </v:shape>
                <o:OLEObject Type="Embed" ProgID="AcroExch.Document.DC" ShapeID="_x0000_i1046" DrawAspect="Content" ObjectID="_1604747624" r:id="rId52"/>
              </w:object>
            </w:r>
          </w:p>
        </w:tc>
        <w:tc>
          <w:tcPr>
            <w:tcW w:w="4245" w:type="dxa"/>
          </w:tcPr>
          <w:p w14:paraId="23106482" w14:textId="1468DE50" w:rsidR="00345661" w:rsidRDefault="00345661" w:rsidP="00345661">
            <w:pPr>
              <w:pStyle w:val="Newparagraph"/>
              <w:ind w:firstLine="0"/>
              <w:jc w:val="center"/>
              <w:rPr>
                <w:color w:val="000000"/>
              </w:rPr>
            </w:pPr>
            <w:r>
              <w:rPr>
                <w:color w:val="000000"/>
              </w:rPr>
              <w:object w:dxaOrig="3960" w:dyaOrig="2880" w14:anchorId="16256E71">
                <v:shape id="_x0000_i1047" type="#_x0000_t75" style="width:198pt;height:2in" o:ole="">
                  <v:imagedata r:id="rId53" o:title=""/>
                </v:shape>
                <o:OLEObject Type="Embed" ProgID="AcroExch.Document.DC" ShapeID="_x0000_i1047" DrawAspect="Content" ObjectID="_1604747625" r:id="rId54"/>
              </w:object>
            </w:r>
          </w:p>
        </w:tc>
      </w:tr>
      <w:tr w:rsidR="00345661" w14:paraId="6CB36F23" w14:textId="77777777" w:rsidTr="00345661">
        <w:trPr>
          <w:trHeight w:val="345"/>
          <w:jc w:val="center"/>
        </w:trPr>
        <w:tc>
          <w:tcPr>
            <w:tcW w:w="8489" w:type="dxa"/>
            <w:gridSpan w:val="2"/>
            <w:vAlign w:val="center"/>
          </w:tcPr>
          <w:p w14:paraId="169BA91D" w14:textId="04132C84" w:rsidR="00345661" w:rsidRDefault="00345661" w:rsidP="00345661">
            <w:pPr>
              <w:pStyle w:val="Newparagraph"/>
              <w:ind w:firstLine="0"/>
              <w:jc w:val="center"/>
              <w:rPr>
                <w:color w:val="000000"/>
              </w:rPr>
            </w:pPr>
            <w:r w:rsidRPr="00345661">
              <w:rPr>
                <w:color w:val="000000"/>
                <w:sz w:val="20"/>
              </w:rPr>
              <w:t>(c) Bilingual vs. Spanish speakers</w:t>
            </w:r>
          </w:p>
        </w:tc>
      </w:tr>
      <w:tr w:rsidR="00345661" w14:paraId="4AD39053" w14:textId="77777777" w:rsidTr="00345661">
        <w:trPr>
          <w:jc w:val="center"/>
        </w:trPr>
        <w:tc>
          <w:tcPr>
            <w:tcW w:w="8489" w:type="dxa"/>
            <w:gridSpan w:val="2"/>
          </w:tcPr>
          <w:p w14:paraId="43BD28D0" w14:textId="0CE84611" w:rsidR="00345661" w:rsidRDefault="00345661" w:rsidP="00345661">
            <w:pPr>
              <w:pStyle w:val="Newparagraph"/>
              <w:ind w:firstLine="0"/>
              <w:jc w:val="center"/>
              <w:rPr>
                <w:color w:val="000000"/>
              </w:rPr>
            </w:pPr>
            <w:r>
              <w:rPr>
                <w:color w:val="000000"/>
              </w:rPr>
              <w:object w:dxaOrig="3960" w:dyaOrig="2880" w14:anchorId="45D49FF1">
                <v:shape id="_x0000_i1048" type="#_x0000_t75" style="width:198pt;height:2in" o:ole="">
                  <v:imagedata r:id="rId55" o:title=""/>
                </v:shape>
                <o:OLEObject Type="Embed" ProgID="AcroExch.Document.DC" ShapeID="_x0000_i1048" DrawAspect="Content" ObjectID="_1604747626" r:id="rId56"/>
              </w:object>
            </w:r>
          </w:p>
        </w:tc>
      </w:tr>
    </w:tbl>
    <w:p w14:paraId="3DFC4873" w14:textId="07CCCFDF" w:rsidR="00345661" w:rsidRDefault="00345661" w:rsidP="00A76200">
      <w:pPr>
        <w:pStyle w:val="Newparagraph"/>
        <w:jc w:val="both"/>
        <w:rPr>
          <w:color w:val="000000"/>
        </w:rPr>
      </w:pPr>
      <w:r>
        <w:rPr>
          <w:color w:val="000000"/>
        </w:rPr>
        <w:t xml:space="preserve">Additionally, Figure </w:t>
      </w:r>
      <w:r>
        <w:rPr>
          <w:color w:val="800000"/>
        </w:rPr>
        <w:t>2</w:t>
      </w:r>
      <w:r>
        <w:rPr>
          <w:color w:val="000000"/>
        </w:rPr>
        <w:t xml:space="preserve"> shows the cumulative hazard functions for each language group. Figure 2, panel (a) shows the cumulative hazard function for </w:t>
      </w:r>
      <w:r w:rsidRPr="00345661">
        <w:t>Guaraní</w:t>
      </w:r>
      <w:r>
        <w:rPr>
          <w:color w:val="000000"/>
        </w:rPr>
        <w:t xml:space="preserve"> speakers.</w:t>
      </w:r>
      <w:r w:rsidRPr="00400AB1">
        <w:rPr>
          <w:rStyle w:val="FootnoteReference"/>
        </w:rPr>
        <w:footnoteReference w:id="6"/>
      </w:r>
      <w:r>
        <w:rPr>
          <w:color w:val="000000"/>
        </w:rPr>
        <w:t xml:space="preserve"> From this figure it can be seen that the cumulative hazard appears to be increasing at an increasing rate. This further implies that the hazard itself is increasing, since the hazard is the derivative of the cumulative hazard. While similar patterns can be seen for Spanish and bilingual speakers in </w:t>
      </w:r>
      <w:r w:rsidR="0046158C">
        <w:rPr>
          <w:color w:val="000000"/>
        </w:rPr>
        <w:t>Figure 2, panels (b) and (c)</w:t>
      </w:r>
      <w:r>
        <w:rPr>
          <w:color w:val="000000"/>
        </w:rPr>
        <w:t xml:space="preserve"> respectively, the rates are higher in the case of </w:t>
      </w:r>
      <w:r w:rsidRPr="0046158C">
        <w:t>Guaran</w:t>
      </w:r>
      <w:r w:rsidR="0046158C" w:rsidRPr="0046158C">
        <w:t>í</w:t>
      </w:r>
      <w:r>
        <w:rPr>
          <w:color w:val="000000"/>
        </w:rPr>
        <w:t xml:space="preserve"> speakers.</w:t>
      </w:r>
    </w:p>
    <w:p w14:paraId="35E30ACD" w14:textId="5F45D241" w:rsidR="0046158C" w:rsidRPr="0046158C" w:rsidRDefault="0046158C" w:rsidP="0046158C">
      <w:pPr>
        <w:pStyle w:val="Caption"/>
        <w:keepNext/>
        <w:jc w:val="center"/>
        <w:rPr>
          <w:color w:val="auto"/>
          <w:sz w:val="20"/>
        </w:rPr>
      </w:pPr>
      <w:r w:rsidRPr="0046158C">
        <w:rPr>
          <w:color w:val="auto"/>
          <w:sz w:val="20"/>
        </w:rPr>
        <w:t xml:space="preserve">Figure </w:t>
      </w:r>
      <w:r w:rsidRPr="0046158C">
        <w:rPr>
          <w:color w:val="auto"/>
          <w:sz w:val="20"/>
        </w:rPr>
        <w:fldChar w:fldCharType="begin"/>
      </w:r>
      <w:r w:rsidRPr="0046158C">
        <w:rPr>
          <w:color w:val="auto"/>
          <w:sz w:val="20"/>
        </w:rPr>
        <w:instrText xml:space="preserve"> SEQ Figure \* ARABIC </w:instrText>
      </w:r>
      <w:r w:rsidRPr="0046158C">
        <w:rPr>
          <w:color w:val="auto"/>
          <w:sz w:val="20"/>
        </w:rPr>
        <w:fldChar w:fldCharType="separate"/>
      </w:r>
      <w:r w:rsidR="00F72AD8">
        <w:rPr>
          <w:noProof/>
          <w:color w:val="auto"/>
          <w:sz w:val="20"/>
        </w:rPr>
        <w:t>2</w:t>
      </w:r>
      <w:r w:rsidRPr="0046158C">
        <w:rPr>
          <w:color w:val="auto"/>
          <w:sz w:val="20"/>
        </w:rPr>
        <w:fldChar w:fldCharType="end"/>
      </w:r>
      <w:r w:rsidRPr="0046158C">
        <w:rPr>
          <w:color w:val="auto"/>
          <w:sz w:val="20"/>
        </w:rPr>
        <w:t xml:space="preserve"> - Estimated Baseline Cumulative Hazard by Language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4245"/>
      </w:tblGrid>
      <w:tr w:rsidR="0046158C" w14:paraId="505A2B0E" w14:textId="77777777" w:rsidTr="0046158C">
        <w:trPr>
          <w:jc w:val="center"/>
        </w:trPr>
        <w:tc>
          <w:tcPr>
            <w:tcW w:w="4244" w:type="dxa"/>
            <w:vAlign w:val="center"/>
          </w:tcPr>
          <w:p w14:paraId="7D7C2D1E" w14:textId="74FA4A0A" w:rsidR="0046158C" w:rsidRPr="0046158C" w:rsidRDefault="0046158C" w:rsidP="0046158C">
            <w:pPr>
              <w:pStyle w:val="Newparagraph"/>
              <w:numPr>
                <w:ilvl w:val="0"/>
                <w:numId w:val="31"/>
              </w:numPr>
              <w:jc w:val="center"/>
              <w:rPr>
                <w:sz w:val="20"/>
              </w:rPr>
            </w:pPr>
            <w:r w:rsidRPr="0046158C">
              <w:rPr>
                <w:sz w:val="20"/>
              </w:rPr>
              <w:t>Guaraní Speakers</w:t>
            </w:r>
          </w:p>
        </w:tc>
        <w:tc>
          <w:tcPr>
            <w:tcW w:w="4245" w:type="dxa"/>
            <w:vAlign w:val="center"/>
          </w:tcPr>
          <w:p w14:paraId="1FDBDA80" w14:textId="40F75A7E" w:rsidR="0046158C" w:rsidRPr="0046158C" w:rsidRDefault="0046158C" w:rsidP="0046158C">
            <w:pPr>
              <w:pStyle w:val="Newparagraph"/>
              <w:numPr>
                <w:ilvl w:val="0"/>
                <w:numId w:val="31"/>
              </w:numPr>
              <w:jc w:val="center"/>
              <w:rPr>
                <w:sz w:val="20"/>
              </w:rPr>
            </w:pPr>
            <w:r w:rsidRPr="0046158C">
              <w:rPr>
                <w:sz w:val="20"/>
              </w:rPr>
              <w:t>Spanish Speakers</w:t>
            </w:r>
          </w:p>
        </w:tc>
      </w:tr>
      <w:tr w:rsidR="0046158C" w14:paraId="6E696DEF" w14:textId="77777777" w:rsidTr="0046158C">
        <w:trPr>
          <w:jc w:val="center"/>
        </w:trPr>
        <w:tc>
          <w:tcPr>
            <w:tcW w:w="4244" w:type="dxa"/>
          </w:tcPr>
          <w:p w14:paraId="2E3287A9" w14:textId="799FAA49" w:rsidR="0046158C" w:rsidRDefault="0046158C" w:rsidP="0046158C">
            <w:pPr>
              <w:pStyle w:val="Newparagraph"/>
              <w:ind w:firstLine="0"/>
              <w:jc w:val="center"/>
            </w:pPr>
            <w:r>
              <w:object w:dxaOrig="3960" w:dyaOrig="2880" w14:anchorId="7D54986B">
                <v:shape id="_x0000_i1049" type="#_x0000_t75" style="width:198pt;height:2in" o:ole="">
                  <v:imagedata r:id="rId57" o:title=""/>
                </v:shape>
                <o:OLEObject Type="Embed" ProgID="AcroExch.Document.DC" ShapeID="_x0000_i1049" DrawAspect="Content" ObjectID="_1604747627" r:id="rId58"/>
              </w:object>
            </w:r>
          </w:p>
        </w:tc>
        <w:tc>
          <w:tcPr>
            <w:tcW w:w="4245" w:type="dxa"/>
          </w:tcPr>
          <w:p w14:paraId="638B347C" w14:textId="7B8FF60B" w:rsidR="0046158C" w:rsidRDefault="0046158C" w:rsidP="0046158C">
            <w:pPr>
              <w:pStyle w:val="Newparagraph"/>
              <w:ind w:firstLine="0"/>
              <w:jc w:val="center"/>
            </w:pPr>
            <w:r>
              <w:object w:dxaOrig="3960" w:dyaOrig="2880" w14:anchorId="5CDEFFED">
                <v:shape id="_x0000_i1050" type="#_x0000_t75" style="width:198pt;height:2in" o:ole="">
                  <v:imagedata r:id="rId59" o:title=""/>
                </v:shape>
                <o:OLEObject Type="Embed" ProgID="AcroExch.Document.DC" ShapeID="_x0000_i1050" DrawAspect="Content" ObjectID="_1604747628" r:id="rId60"/>
              </w:object>
            </w:r>
          </w:p>
        </w:tc>
      </w:tr>
      <w:tr w:rsidR="0046158C" w14:paraId="62B62B1A" w14:textId="77777777" w:rsidTr="0046158C">
        <w:trPr>
          <w:trHeight w:val="318"/>
          <w:jc w:val="center"/>
        </w:trPr>
        <w:tc>
          <w:tcPr>
            <w:tcW w:w="8489" w:type="dxa"/>
            <w:gridSpan w:val="2"/>
            <w:vAlign w:val="center"/>
          </w:tcPr>
          <w:p w14:paraId="10608AB6" w14:textId="056F6E95" w:rsidR="0046158C" w:rsidRDefault="0046158C" w:rsidP="0046158C">
            <w:pPr>
              <w:pStyle w:val="Newparagraph"/>
              <w:ind w:firstLine="0"/>
              <w:jc w:val="center"/>
            </w:pPr>
            <w:r w:rsidRPr="0046158C">
              <w:rPr>
                <w:sz w:val="20"/>
              </w:rPr>
              <w:t>(</w:t>
            </w:r>
            <w:r w:rsidR="00E80A77" w:rsidRPr="0046158C">
              <w:rPr>
                <w:sz w:val="20"/>
              </w:rPr>
              <w:t>c)</w:t>
            </w:r>
            <w:r w:rsidRPr="0046158C">
              <w:rPr>
                <w:sz w:val="20"/>
              </w:rPr>
              <w:t xml:space="preserve"> Bilingual speakers</w:t>
            </w:r>
          </w:p>
        </w:tc>
      </w:tr>
      <w:tr w:rsidR="0046158C" w14:paraId="12475F8C" w14:textId="77777777" w:rsidTr="0046158C">
        <w:trPr>
          <w:trHeight w:val="2991"/>
          <w:jc w:val="center"/>
        </w:trPr>
        <w:tc>
          <w:tcPr>
            <w:tcW w:w="8489" w:type="dxa"/>
            <w:gridSpan w:val="2"/>
          </w:tcPr>
          <w:p w14:paraId="02870E97" w14:textId="656FFD0C" w:rsidR="0046158C" w:rsidRDefault="0046158C" w:rsidP="0046158C">
            <w:pPr>
              <w:pStyle w:val="Newparagraph"/>
              <w:ind w:firstLine="0"/>
              <w:jc w:val="center"/>
            </w:pPr>
            <w:r>
              <w:object w:dxaOrig="3960" w:dyaOrig="2880" w14:anchorId="144BB14B">
                <v:shape id="_x0000_i1051" type="#_x0000_t75" style="width:198pt;height:2in" o:ole="">
                  <v:imagedata r:id="rId61" o:title=""/>
                </v:shape>
                <o:OLEObject Type="Embed" ProgID="AcroExch.Document.DC" ShapeID="_x0000_i1051" DrawAspect="Content" ObjectID="_1604747629" r:id="rId62"/>
              </w:object>
            </w:r>
          </w:p>
        </w:tc>
      </w:tr>
    </w:tbl>
    <w:p w14:paraId="3B0BC18F" w14:textId="6F9524BA" w:rsidR="00171AB5" w:rsidRPr="00E222F0" w:rsidRDefault="004B6B79" w:rsidP="00E222F0">
      <w:pPr>
        <w:pStyle w:val="Heading2"/>
        <w:spacing w:before="0" w:after="0" w:line="480" w:lineRule="auto"/>
        <w:ind w:right="0"/>
        <w:contextualSpacing w:val="0"/>
        <w:rPr>
          <w:bCs w:val="0"/>
          <w:i w:val="0"/>
          <w:kern w:val="32"/>
          <w:lang w:val="en-US" w:eastAsia="ru-RU"/>
        </w:rPr>
      </w:pPr>
      <w:r w:rsidRPr="00E222F0">
        <w:rPr>
          <w:bCs w:val="0"/>
          <w:i w:val="0"/>
          <w:kern w:val="32"/>
          <w:lang w:val="en-US" w:eastAsia="ru-RU"/>
        </w:rPr>
        <w:t>Results of Hazard Models</w:t>
      </w:r>
    </w:p>
    <w:p w14:paraId="47AEEE9A" w14:textId="4DA1226A" w:rsidR="004B6B79" w:rsidRDefault="004B6B79" w:rsidP="004B6B79">
      <w:pPr>
        <w:pStyle w:val="Newparagraph"/>
        <w:ind w:firstLine="0"/>
        <w:jc w:val="both"/>
      </w:pPr>
      <w:r w:rsidRPr="004B6B79">
        <w:t xml:space="preserve">The semi-parametric estimation intends to shed more light on the factors associated with dropping out of primary school. Table </w:t>
      </w:r>
      <w:r>
        <w:t>6</w:t>
      </w:r>
      <w:r w:rsidRPr="004B6B79">
        <w:t xml:space="preserve"> displays the results of the Cox-Proportional Hazard Model for four different models. The coefficients reported are the hazard ratios, which if significantly greater than 1 implies that a covariate is associated with an increased risk of dropping out of primary school. On the contrary, a coefficient significantly less than 1 implies a reduction in the risk of dropping out.</w:t>
      </w:r>
    </w:p>
    <w:p w14:paraId="39B22855" w14:textId="781CEB2D" w:rsidR="004B6B79" w:rsidRDefault="004B6B79" w:rsidP="004B6B79">
      <w:pPr>
        <w:pStyle w:val="Newparagraph"/>
        <w:jc w:val="both"/>
      </w:pPr>
      <w:r w:rsidRPr="004B6B79">
        <w:t>When modelling the event of interest, a simple baseline model is presented, which becomes more complex as more factors are included. The initial model, Model 1, contains a vector of child characteristics that includes whether the student is a female, the language spoken by the student: Guaran</w:t>
      </w:r>
      <w:r>
        <w:t>í</w:t>
      </w:r>
      <w:r w:rsidRPr="004B6B79">
        <w:t xml:space="preserve"> or bilingual, where the omitted category is being a Spanish speaker. The model also includes a dummy variable capturing whether the child is the first-born child, interactions of first born with female and rural, and if he/she has health insurance. The results indicate that females are less likely to drop out, which is line with other studies, however, this coefficient is not statistically significant at conventional levels. Furthermore, Guaran</w:t>
      </w:r>
      <w:r>
        <w:t>í</w:t>
      </w:r>
      <w:r w:rsidRPr="004B6B79">
        <w:t xml:space="preserve"> speaking students have a much higher dropout risk in comparison to their Spanish speaker counterparts. This coefficient is statistically significant at any conventional level. Bilingual speakers as well have a higher dropout risk compared to Spanish speakers, however, their risk is much smaller than Guaran</w:t>
      </w:r>
      <w:r>
        <w:t>í</w:t>
      </w:r>
      <w:r w:rsidRPr="004B6B79">
        <w:t xml:space="preserve"> speakers. Being a first-born child in this model is virtually close to one and not </w:t>
      </w:r>
      <w:r w:rsidRPr="004B6B79">
        <w:lastRenderedPageBreak/>
        <w:t>statistically significant, while the interaction of first born with female indicates that being a first born and female increases the risk of dropping out. Furthermore, being a first born residing in a rural area is associated with an increased risk of dropping out. Finally, having health insurance decreases students' dropout risk.</w:t>
      </w:r>
    </w:p>
    <w:p w14:paraId="7FAEE8C7" w14:textId="2538EFB8" w:rsidR="008913B8" w:rsidRPr="008913B8" w:rsidRDefault="008913B8" w:rsidP="008913B8">
      <w:pPr>
        <w:pStyle w:val="Caption"/>
        <w:keepNext/>
        <w:rPr>
          <w:color w:val="auto"/>
          <w:sz w:val="20"/>
        </w:rPr>
      </w:pPr>
      <w:r w:rsidRPr="008913B8">
        <w:rPr>
          <w:color w:val="auto"/>
          <w:sz w:val="20"/>
        </w:rPr>
        <w:t xml:space="preserve">Table </w:t>
      </w:r>
      <w:r w:rsidR="005A56C5">
        <w:rPr>
          <w:color w:val="auto"/>
          <w:sz w:val="20"/>
        </w:rPr>
        <w:t>5</w:t>
      </w:r>
      <w:r w:rsidRPr="008913B8">
        <w:rPr>
          <w:color w:val="auto"/>
          <w:sz w:val="20"/>
        </w:rPr>
        <w:t xml:space="preserve"> - Cox-Hazard Models of Dropping Out Estimation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1698"/>
        <w:gridCol w:w="1730"/>
        <w:gridCol w:w="1710"/>
        <w:gridCol w:w="1530"/>
      </w:tblGrid>
      <w:tr w:rsidR="00C60B76" w:rsidRPr="008913B8" w14:paraId="2497F9DA" w14:textId="77777777" w:rsidTr="00E222F0">
        <w:tc>
          <w:tcPr>
            <w:tcW w:w="1795" w:type="dxa"/>
            <w:tcBorders>
              <w:top w:val="single" w:sz="4" w:space="0" w:color="auto"/>
              <w:bottom w:val="single" w:sz="4" w:space="0" w:color="auto"/>
            </w:tcBorders>
          </w:tcPr>
          <w:p w14:paraId="43F519E6" w14:textId="4D91E500" w:rsidR="004B6B79" w:rsidRPr="008913B8" w:rsidRDefault="004B6B79" w:rsidP="004B6B79">
            <w:pPr>
              <w:pStyle w:val="Newparagraph"/>
              <w:spacing w:line="240" w:lineRule="auto"/>
              <w:ind w:firstLine="0"/>
              <w:rPr>
                <w:b/>
                <w:sz w:val="20"/>
                <w:szCs w:val="20"/>
              </w:rPr>
            </w:pPr>
            <w:r w:rsidRPr="008913B8">
              <w:rPr>
                <w:b/>
                <w:color w:val="000000"/>
                <w:sz w:val="20"/>
                <w:szCs w:val="20"/>
              </w:rPr>
              <w:t>Variable</w:t>
            </w:r>
          </w:p>
        </w:tc>
        <w:tc>
          <w:tcPr>
            <w:tcW w:w="1698" w:type="dxa"/>
            <w:tcBorders>
              <w:top w:val="single" w:sz="4" w:space="0" w:color="auto"/>
              <w:bottom w:val="single" w:sz="4" w:space="0" w:color="auto"/>
            </w:tcBorders>
          </w:tcPr>
          <w:p w14:paraId="2CEF58F9" w14:textId="3DD33F16" w:rsidR="004B6B79" w:rsidRPr="008913B8" w:rsidRDefault="004B6B79" w:rsidP="004B6B79">
            <w:pPr>
              <w:pStyle w:val="Newparagraph"/>
              <w:spacing w:line="240" w:lineRule="auto"/>
              <w:ind w:firstLine="0"/>
              <w:jc w:val="center"/>
              <w:rPr>
                <w:b/>
                <w:sz w:val="20"/>
                <w:szCs w:val="20"/>
              </w:rPr>
            </w:pPr>
            <w:r w:rsidRPr="008913B8">
              <w:rPr>
                <w:b/>
                <w:color w:val="000000"/>
                <w:sz w:val="20"/>
                <w:szCs w:val="20"/>
              </w:rPr>
              <w:t>Model 1</w:t>
            </w:r>
          </w:p>
        </w:tc>
        <w:tc>
          <w:tcPr>
            <w:tcW w:w="1730" w:type="dxa"/>
            <w:tcBorders>
              <w:top w:val="single" w:sz="4" w:space="0" w:color="auto"/>
              <w:bottom w:val="single" w:sz="4" w:space="0" w:color="auto"/>
            </w:tcBorders>
          </w:tcPr>
          <w:p w14:paraId="75351D7F" w14:textId="4E0F58EC" w:rsidR="004B6B79" w:rsidRPr="008913B8" w:rsidRDefault="004B6B79" w:rsidP="004B6B79">
            <w:pPr>
              <w:pStyle w:val="Newparagraph"/>
              <w:spacing w:line="240" w:lineRule="auto"/>
              <w:ind w:firstLine="0"/>
              <w:jc w:val="center"/>
              <w:rPr>
                <w:b/>
                <w:sz w:val="20"/>
                <w:szCs w:val="20"/>
              </w:rPr>
            </w:pPr>
            <w:r w:rsidRPr="008913B8">
              <w:rPr>
                <w:b/>
                <w:color w:val="000000"/>
                <w:sz w:val="20"/>
                <w:szCs w:val="20"/>
              </w:rPr>
              <w:t>Model 2</w:t>
            </w:r>
          </w:p>
        </w:tc>
        <w:tc>
          <w:tcPr>
            <w:tcW w:w="1710" w:type="dxa"/>
            <w:tcBorders>
              <w:top w:val="single" w:sz="4" w:space="0" w:color="auto"/>
              <w:bottom w:val="single" w:sz="4" w:space="0" w:color="auto"/>
            </w:tcBorders>
          </w:tcPr>
          <w:p w14:paraId="11B99790" w14:textId="64690DBA" w:rsidR="004B6B79" w:rsidRPr="008913B8" w:rsidRDefault="004B6B79" w:rsidP="004B6B79">
            <w:pPr>
              <w:pStyle w:val="Newparagraph"/>
              <w:spacing w:line="240" w:lineRule="auto"/>
              <w:ind w:firstLine="0"/>
              <w:jc w:val="center"/>
              <w:rPr>
                <w:b/>
                <w:sz w:val="20"/>
                <w:szCs w:val="20"/>
              </w:rPr>
            </w:pPr>
            <w:r w:rsidRPr="008913B8">
              <w:rPr>
                <w:b/>
                <w:color w:val="000000"/>
                <w:sz w:val="20"/>
                <w:szCs w:val="20"/>
              </w:rPr>
              <w:t>Model 3</w:t>
            </w:r>
          </w:p>
        </w:tc>
        <w:tc>
          <w:tcPr>
            <w:tcW w:w="1530" w:type="dxa"/>
            <w:tcBorders>
              <w:top w:val="single" w:sz="4" w:space="0" w:color="auto"/>
              <w:bottom w:val="single" w:sz="4" w:space="0" w:color="auto"/>
            </w:tcBorders>
          </w:tcPr>
          <w:p w14:paraId="17F81DB2" w14:textId="787EF1E9" w:rsidR="004B6B79" w:rsidRPr="008913B8" w:rsidRDefault="004B6B79" w:rsidP="004B6B79">
            <w:pPr>
              <w:pStyle w:val="Newparagraph"/>
              <w:spacing w:line="240" w:lineRule="auto"/>
              <w:ind w:firstLine="0"/>
              <w:jc w:val="center"/>
              <w:rPr>
                <w:b/>
                <w:sz w:val="20"/>
                <w:szCs w:val="20"/>
              </w:rPr>
            </w:pPr>
            <w:r w:rsidRPr="008913B8">
              <w:rPr>
                <w:b/>
                <w:color w:val="000000"/>
                <w:sz w:val="20"/>
                <w:szCs w:val="20"/>
              </w:rPr>
              <w:t>Model 4</w:t>
            </w:r>
          </w:p>
        </w:tc>
      </w:tr>
      <w:tr w:rsidR="00C60B76" w:rsidRPr="008913B8" w14:paraId="2126B90B" w14:textId="77777777" w:rsidTr="00E222F0">
        <w:tc>
          <w:tcPr>
            <w:tcW w:w="1795" w:type="dxa"/>
            <w:tcBorders>
              <w:top w:val="single" w:sz="4" w:space="0" w:color="auto"/>
            </w:tcBorders>
          </w:tcPr>
          <w:p w14:paraId="7558DEE8" w14:textId="0A78E043" w:rsidR="004B6B79" w:rsidRPr="008913B8" w:rsidRDefault="004B6B79" w:rsidP="004B6B79">
            <w:pPr>
              <w:pStyle w:val="Newparagraph"/>
              <w:spacing w:line="240" w:lineRule="auto"/>
              <w:ind w:firstLine="0"/>
              <w:rPr>
                <w:sz w:val="20"/>
                <w:szCs w:val="20"/>
              </w:rPr>
            </w:pPr>
            <w:r w:rsidRPr="008913B8">
              <w:rPr>
                <w:sz w:val="20"/>
                <w:szCs w:val="20"/>
              </w:rPr>
              <w:t>female</w:t>
            </w:r>
          </w:p>
        </w:tc>
        <w:tc>
          <w:tcPr>
            <w:tcW w:w="1698" w:type="dxa"/>
            <w:tcBorders>
              <w:top w:val="single" w:sz="4" w:space="0" w:color="auto"/>
            </w:tcBorders>
          </w:tcPr>
          <w:p w14:paraId="6D6C6BC1" w14:textId="00E8B30E" w:rsidR="004B6B79" w:rsidRPr="008913B8" w:rsidRDefault="004B6B79" w:rsidP="004B6B79">
            <w:pPr>
              <w:pStyle w:val="Newparagraph"/>
              <w:spacing w:line="240" w:lineRule="auto"/>
              <w:ind w:firstLine="0"/>
              <w:jc w:val="center"/>
              <w:rPr>
                <w:sz w:val="20"/>
                <w:szCs w:val="20"/>
              </w:rPr>
            </w:pPr>
            <w:r w:rsidRPr="008913B8">
              <w:rPr>
                <w:sz w:val="20"/>
                <w:szCs w:val="20"/>
              </w:rPr>
              <w:t>0.860</w:t>
            </w:r>
          </w:p>
        </w:tc>
        <w:tc>
          <w:tcPr>
            <w:tcW w:w="1730" w:type="dxa"/>
            <w:tcBorders>
              <w:top w:val="single" w:sz="4" w:space="0" w:color="auto"/>
            </w:tcBorders>
          </w:tcPr>
          <w:p w14:paraId="736EC684" w14:textId="7A29C4A6" w:rsidR="004B6B79" w:rsidRPr="008913B8" w:rsidRDefault="004B6B79" w:rsidP="004B6B79">
            <w:pPr>
              <w:pStyle w:val="Newparagraph"/>
              <w:spacing w:line="240" w:lineRule="auto"/>
              <w:ind w:firstLine="0"/>
              <w:jc w:val="center"/>
              <w:rPr>
                <w:sz w:val="20"/>
                <w:szCs w:val="20"/>
              </w:rPr>
            </w:pPr>
            <w:r w:rsidRPr="008913B8">
              <w:rPr>
                <w:sz w:val="20"/>
                <w:szCs w:val="20"/>
              </w:rPr>
              <w:t>0.930</w:t>
            </w:r>
          </w:p>
        </w:tc>
        <w:tc>
          <w:tcPr>
            <w:tcW w:w="1710" w:type="dxa"/>
            <w:tcBorders>
              <w:top w:val="single" w:sz="4" w:space="0" w:color="auto"/>
            </w:tcBorders>
          </w:tcPr>
          <w:p w14:paraId="7BC2BC72" w14:textId="1A14E8F5" w:rsidR="004B6B79" w:rsidRPr="008913B8" w:rsidRDefault="004B6B79" w:rsidP="004B6B79">
            <w:pPr>
              <w:pStyle w:val="Newparagraph"/>
              <w:spacing w:line="240" w:lineRule="auto"/>
              <w:ind w:firstLine="0"/>
              <w:jc w:val="center"/>
              <w:rPr>
                <w:sz w:val="20"/>
                <w:szCs w:val="20"/>
              </w:rPr>
            </w:pPr>
            <w:r w:rsidRPr="008913B8">
              <w:rPr>
                <w:sz w:val="20"/>
                <w:szCs w:val="20"/>
              </w:rPr>
              <w:t>0.943</w:t>
            </w:r>
          </w:p>
        </w:tc>
        <w:tc>
          <w:tcPr>
            <w:tcW w:w="1530" w:type="dxa"/>
            <w:tcBorders>
              <w:top w:val="single" w:sz="4" w:space="0" w:color="auto"/>
            </w:tcBorders>
          </w:tcPr>
          <w:p w14:paraId="78C46369" w14:textId="6626BBE6" w:rsidR="004B6B79" w:rsidRPr="008913B8" w:rsidRDefault="004B6B79" w:rsidP="004B6B79">
            <w:pPr>
              <w:pStyle w:val="Newparagraph"/>
              <w:spacing w:line="240" w:lineRule="auto"/>
              <w:ind w:firstLine="0"/>
              <w:jc w:val="center"/>
              <w:rPr>
                <w:sz w:val="20"/>
                <w:szCs w:val="20"/>
              </w:rPr>
            </w:pPr>
            <w:r w:rsidRPr="008913B8">
              <w:rPr>
                <w:sz w:val="20"/>
                <w:szCs w:val="20"/>
              </w:rPr>
              <w:t>0.941</w:t>
            </w:r>
          </w:p>
        </w:tc>
      </w:tr>
      <w:tr w:rsidR="00C60B76" w:rsidRPr="008913B8" w14:paraId="461F2A95" w14:textId="77777777" w:rsidTr="00E222F0">
        <w:tc>
          <w:tcPr>
            <w:tcW w:w="1795" w:type="dxa"/>
          </w:tcPr>
          <w:p w14:paraId="6595A540" w14:textId="200EAEDF" w:rsidR="004B6B79" w:rsidRPr="008913B8" w:rsidRDefault="004B6B79" w:rsidP="004B6B79">
            <w:pPr>
              <w:pStyle w:val="Newparagraph"/>
              <w:spacing w:line="240" w:lineRule="auto"/>
              <w:ind w:firstLine="0"/>
              <w:rPr>
                <w:sz w:val="20"/>
                <w:szCs w:val="20"/>
              </w:rPr>
            </w:pPr>
          </w:p>
        </w:tc>
        <w:tc>
          <w:tcPr>
            <w:tcW w:w="1698" w:type="dxa"/>
          </w:tcPr>
          <w:p w14:paraId="38F16251" w14:textId="287E6468" w:rsidR="004B6B79" w:rsidRPr="008913B8" w:rsidRDefault="004B6B79" w:rsidP="004B6B79">
            <w:pPr>
              <w:pStyle w:val="Newparagraph"/>
              <w:spacing w:line="240" w:lineRule="auto"/>
              <w:ind w:firstLine="0"/>
              <w:jc w:val="center"/>
              <w:rPr>
                <w:sz w:val="20"/>
                <w:szCs w:val="20"/>
              </w:rPr>
            </w:pPr>
            <w:r w:rsidRPr="008913B8">
              <w:rPr>
                <w:sz w:val="20"/>
                <w:szCs w:val="20"/>
              </w:rPr>
              <w:t>(0.16)</w:t>
            </w:r>
          </w:p>
        </w:tc>
        <w:tc>
          <w:tcPr>
            <w:tcW w:w="1730" w:type="dxa"/>
          </w:tcPr>
          <w:p w14:paraId="1F557DA4" w14:textId="22897633" w:rsidR="004B6B79" w:rsidRPr="008913B8" w:rsidRDefault="004B6B79" w:rsidP="004B6B79">
            <w:pPr>
              <w:pStyle w:val="Newparagraph"/>
              <w:spacing w:line="240" w:lineRule="auto"/>
              <w:ind w:firstLine="0"/>
              <w:jc w:val="center"/>
              <w:rPr>
                <w:sz w:val="20"/>
                <w:szCs w:val="20"/>
              </w:rPr>
            </w:pPr>
            <w:r w:rsidRPr="008913B8">
              <w:rPr>
                <w:sz w:val="20"/>
                <w:szCs w:val="20"/>
              </w:rPr>
              <w:t>(0.17)</w:t>
            </w:r>
          </w:p>
        </w:tc>
        <w:tc>
          <w:tcPr>
            <w:tcW w:w="1710" w:type="dxa"/>
          </w:tcPr>
          <w:p w14:paraId="2DC1C99B" w14:textId="089CB10B" w:rsidR="004B6B79" w:rsidRPr="008913B8" w:rsidRDefault="004B6B79" w:rsidP="004B6B79">
            <w:pPr>
              <w:pStyle w:val="Newparagraph"/>
              <w:spacing w:line="240" w:lineRule="auto"/>
              <w:ind w:firstLine="0"/>
              <w:jc w:val="center"/>
              <w:rPr>
                <w:sz w:val="20"/>
                <w:szCs w:val="20"/>
              </w:rPr>
            </w:pPr>
            <w:r w:rsidRPr="008913B8">
              <w:rPr>
                <w:sz w:val="20"/>
                <w:szCs w:val="20"/>
              </w:rPr>
              <w:t>(0.18)</w:t>
            </w:r>
          </w:p>
        </w:tc>
        <w:tc>
          <w:tcPr>
            <w:tcW w:w="1530" w:type="dxa"/>
          </w:tcPr>
          <w:p w14:paraId="7E600EA7" w14:textId="7E409CE1" w:rsidR="004B6B79" w:rsidRPr="008913B8" w:rsidRDefault="004B6B79" w:rsidP="004B6B79">
            <w:pPr>
              <w:pStyle w:val="Newparagraph"/>
              <w:spacing w:line="240" w:lineRule="auto"/>
              <w:ind w:firstLine="0"/>
              <w:jc w:val="center"/>
              <w:rPr>
                <w:sz w:val="20"/>
                <w:szCs w:val="20"/>
              </w:rPr>
            </w:pPr>
            <w:r w:rsidRPr="008913B8">
              <w:rPr>
                <w:sz w:val="20"/>
                <w:szCs w:val="20"/>
              </w:rPr>
              <w:t>(0.18)</w:t>
            </w:r>
          </w:p>
        </w:tc>
      </w:tr>
      <w:tr w:rsidR="00C60B76" w:rsidRPr="008913B8" w14:paraId="0CCEEC1B" w14:textId="77777777" w:rsidTr="00E222F0">
        <w:tc>
          <w:tcPr>
            <w:tcW w:w="1795" w:type="dxa"/>
          </w:tcPr>
          <w:p w14:paraId="34B1712B" w14:textId="6933B40C" w:rsidR="004B6B79" w:rsidRPr="008913B8" w:rsidRDefault="004B6B79" w:rsidP="004B6B79">
            <w:pPr>
              <w:pStyle w:val="Newparagraph"/>
              <w:spacing w:line="240" w:lineRule="auto"/>
              <w:ind w:firstLine="0"/>
              <w:rPr>
                <w:sz w:val="20"/>
                <w:szCs w:val="20"/>
              </w:rPr>
            </w:pPr>
            <w:r w:rsidRPr="008913B8">
              <w:rPr>
                <w:sz w:val="20"/>
                <w:szCs w:val="20"/>
              </w:rPr>
              <w:t>Guaraní</w:t>
            </w:r>
          </w:p>
        </w:tc>
        <w:tc>
          <w:tcPr>
            <w:tcW w:w="1698" w:type="dxa"/>
          </w:tcPr>
          <w:p w14:paraId="164F4CB3" w14:textId="7FCBC5EB" w:rsidR="004B6B79" w:rsidRPr="008913B8" w:rsidRDefault="004B6B79" w:rsidP="004B6B79">
            <w:pPr>
              <w:pStyle w:val="Newparagraph"/>
              <w:spacing w:line="240" w:lineRule="auto"/>
              <w:ind w:firstLine="0"/>
              <w:jc w:val="center"/>
              <w:rPr>
                <w:sz w:val="20"/>
                <w:szCs w:val="20"/>
              </w:rPr>
            </w:pPr>
            <w:r w:rsidRPr="008913B8">
              <w:rPr>
                <w:sz w:val="20"/>
                <w:szCs w:val="20"/>
              </w:rPr>
              <w:t>6.029***</w:t>
            </w:r>
          </w:p>
        </w:tc>
        <w:tc>
          <w:tcPr>
            <w:tcW w:w="1730" w:type="dxa"/>
          </w:tcPr>
          <w:p w14:paraId="7B3E2CD7" w14:textId="7D60EE59" w:rsidR="004B6B79" w:rsidRPr="008913B8" w:rsidRDefault="004B6B79" w:rsidP="004B6B79">
            <w:pPr>
              <w:pStyle w:val="Newparagraph"/>
              <w:spacing w:line="240" w:lineRule="auto"/>
              <w:ind w:firstLine="0"/>
              <w:jc w:val="center"/>
              <w:rPr>
                <w:sz w:val="20"/>
                <w:szCs w:val="20"/>
              </w:rPr>
            </w:pPr>
            <w:r w:rsidRPr="008913B8">
              <w:rPr>
                <w:sz w:val="20"/>
                <w:szCs w:val="20"/>
              </w:rPr>
              <w:t>2.941***</w:t>
            </w:r>
          </w:p>
        </w:tc>
        <w:tc>
          <w:tcPr>
            <w:tcW w:w="1710" w:type="dxa"/>
          </w:tcPr>
          <w:p w14:paraId="1B4B2EB1" w14:textId="3F8EA418" w:rsidR="004B6B79" w:rsidRPr="008913B8" w:rsidRDefault="004B6B79" w:rsidP="004B6B79">
            <w:pPr>
              <w:pStyle w:val="Newparagraph"/>
              <w:spacing w:line="240" w:lineRule="auto"/>
              <w:ind w:firstLine="0"/>
              <w:jc w:val="center"/>
              <w:rPr>
                <w:sz w:val="20"/>
                <w:szCs w:val="20"/>
              </w:rPr>
            </w:pPr>
            <w:r w:rsidRPr="008913B8">
              <w:rPr>
                <w:sz w:val="20"/>
                <w:szCs w:val="20"/>
              </w:rPr>
              <w:t>2.728***</w:t>
            </w:r>
          </w:p>
        </w:tc>
        <w:tc>
          <w:tcPr>
            <w:tcW w:w="1530" w:type="dxa"/>
          </w:tcPr>
          <w:p w14:paraId="2E4AF612" w14:textId="61AE0100" w:rsidR="004B6B79" w:rsidRPr="008913B8" w:rsidRDefault="004B6B79" w:rsidP="004B6B79">
            <w:pPr>
              <w:pStyle w:val="Newparagraph"/>
              <w:spacing w:line="240" w:lineRule="auto"/>
              <w:ind w:firstLine="0"/>
              <w:jc w:val="center"/>
              <w:rPr>
                <w:sz w:val="20"/>
                <w:szCs w:val="20"/>
              </w:rPr>
            </w:pPr>
            <w:r w:rsidRPr="008913B8">
              <w:rPr>
                <w:sz w:val="20"/>
                <w:szCs w:val="20"/>
              </w:rPr>
              <w:t>2.729***</w:t>
            </w:r>
          </w:p>
        </w:tc>
      </w:tr>
      <w:tr w:rsidR="00C60B76" w:rsidRPr="008913B8" w14:paraId="29B8FF46" w14:textId="77777777" w:rsidTr="00E222F0">
        <w:tc>
          <w:tcPr>
            <w:tcW w:w="1795" w:type="dxa"/>
          </w:tcPr>
          <w:p w14:paraId="794479EF" w14:textId="77777777" w:rsidR="004B6B79" w:rsidRPr="008913B8" w:rsidRDefault="004B6B79" w:rsidP="004B6B79">
            <w:pPr>
              <w:pStyle w:val="Newparagraph"/>
              <w:spacing w:line="240" w:lineRule="auto"/>
              <w:ind w:firstLine="0"/>
              <w:rPr>
                <w:sz w:val="20"/>
                <w:szCs w:val="20"/>
              </w:rPr>
            </w:pPr>
          </w:p>
        </w:tc>
        <w:tc>
          <w:tcPr>
            <w:tcW w:w="1698" w:type="dxa"/>
          </w:tcPr>
          <w:p w14:paraId="5306B385" w14:textId="3B8E690C" w:rsidR="004B6B79" w:rsidRPr="008913B8" w:rsidRDefault="004B6B79" w:rsidP="004B6B79">
            <w:pPr>
              <w:pStyle w:val="Newparagraph"/>
              <w:spacing w:line="240" w:lineRule="auto"/>
              <w:ind w:firstLine="0"/>
              <w:jc w:val="center"/>
              <w:rPr>
                <w:sz w:val="20"/>
                <w:szCs w:val="20"/>
              </w:rPr>
            </w:pPr>
            <w:r w:rsidRPr="008913B8">
              <w:rPr>
                <w:sz w:val="20"/>
                <w:szCs w:val="20"/>
              </w:rPr>
              <w:t>(1.38)</w:t>
            </w:r>
          </w:p>
        </w:tc>
        <w:tc>
          <w:tcPr>
            <w:tcW w:w="1730" w:type="dxa"/>
          </w:tcPr>
          <w:p w14:paraId="4321CC29" w14:textId="6160C919" w:rsidR="004B6B79" w:rsidRPr="008913B8" w:rsidRDefault="004B6B79" w:rsidP="004B6B79">
            <w:pPr>
              <w:pStyle w:val="Newparagraph"/>
              <w:spacing w:line="240" w:lineRule="auto"/>
              <w:ind w:firstLine="0"/>
              <w:jc w:val="center"/>
              <w:rPr>
                <w:sz w:val="20"/>
                <w:szCs w:val="20"/>
              </w:rPr>
            </w:pPr>
            <w:r w:rsidRPr="008913B8">
              <w:rPr>
                <w:sz w:val="20"/>
                <w:szCs w:val="20"/>
              </w:rPr>
              <w:t>(0.71)</w:t>
            </w:r>
          </w:p>
        </w:tc>
        <w:tc>
          <w:tcPr>
            <w:tcW w:w="1710" w:type="dxa"/>
          </w:tcPr>
          <w:p w14:paraId="02A20861" w14:textId="590FB8D2" w:rsidR="004B6B79" w:rsidRPr="008913B8" w:rsidRDefault="004B6B79" w:rsidP="004B6B79">
            <w:pPr>
              <w:pStyle w:val="Newparagraph"/>
              <w:spacing w:line="240" w:lineRule="auto"/>
              <w:ind w:firstLine="0"/>
              <w:jc w:val="center"/>
              <w:rPr>
                <w:sz w:val="20"/>
                <w:szCs w:val="20"/>
              </w:rPr>
            </w:pPr>
            <w:r w:rsidRPr="008913B8">
              <w:rPr>
                <w:sz w:val="20"/>
                <w:szCs w:val="20"/>
              </w:rPr>
              <w:t>(0.65)</w:t>
            </w:r>
          </w:p>
        </w:tc>
        <w:tc>
          <w:tcPr>
            <w:tcW w:w="1530" w:type="dxa"/>
          </w:tcPr>
          <w:p w14:paraId="1D282FA8" w14:textId="4B3229FA" w:rsidR="004B6B79" w:rsidRPr="008913B8" w:rsidRDefault="004B6B79" w:rsidP="004B6B79">
            <w:pPr>
              <w:pStyle w:val="Newparagraph"/>
              <w:spacing w:line="240" w:lineRule="auto"/>
              <w:ind w:firstLine="0"/>
              <w:jc w:val="center"/>
              <w:rPr>
                <w:sz w:val="20"/>
                <w:szCs w:val="20"/>
              </w:rPr>
            </w:pPr>
            <w:r w:rsidRPr="008913B8">
              <w:rPr>
                <w:sz w:val="20"/>
                <w:szCs w:val="20"/>
              </w:rPr>
              <w:t>(0.65)</w:t>
            </w:r>
          </w:p>
        </w:tc>
      </w:tr>
      <w:tr w:rsidR="00C60B76" w:rsidRPr="008913B8" w14:paraId="6F5A50AE" w14:textId="77777777" w:rsidTr="00E222F0">
        <w:tc>
          <w:tcPr>
            <w:tcW w:w="1795" w:type="dxa"/>
          </w:tcPr>
          <w:p w14:paraId="3925F699" w14:textId="08EA9003" w:rsidR="004B6B79" w:rsidRPr="008913B8" w:rsidRDefault="004B6B79" w:rsidP="004B6B79">
            <w:pPr>
              <w:pStyle w:val="Newparagraph"/>
              <w:spacing w:line="240" w:lineRule="auto"/>
              <w:ind w:firstLine="0"/>
              <w:rPr>
                <w:sz w:val="20"/>
                <w:szCs w:val="20"/>
              </w:rPr>
            </w:pPr>
            <w:r w:rsidRPr="008913B8">
              <w:rPr>
                <w:sz w:val="20"/>
                <w:szCs w:val="20"/>
              </w:rPr>
              <w:t>bilingual</w:t>
            </w:r>
          </w:p>
        </w:tc>
        <w:tc>
          <w:tcPr>
            <w:tcW w:w="1698" w:type="dxa"/>
          </w:tcPr>
          <w:p w14:paraId="00722114" w14:textId="3CE5441E" w:rsidR="004B6B79" w:rsidRPr="008913B8" w:rsidRDefault="004B6B79" w:rsidP="004B6B79">
            <w:pPr>
              <w:pStyle w:val="Newparagraph"/>
              <w:spacing w:line="240" w:lineRule="auto"/>
              <w:ind w:firstLine="0"/>
              <w:jc w:val="center"/>
              <w:rPr>
                <w:sz w:val="20"/>
                <w:szCs w:val="20"/>
              </w:rPr>
            </w:pPr>
            <w:r w:rsidRPr="008913B8">
              <w:rPr>
                <w:sz w:val="20"/>
                <w:szCs w:val="20"/>
              </w:rPr>
              <w:t>2.300***</w:t>
            </w:r>
          </w:p>
        </w:tc>
        <w:tc>
          <w:tcPr>
            <w:tcW w:w="1730" w:type="dxa"/>
          </w:tcPr>
          <w:p w14:paraId="356BB968" w14:textId="2DE70534" w:rsidR="004B6B79" w:rsidRPr="008913B8" w:rsidRDefault="004B6B79" w:rsidP="004B6B79">
            <w:pPr>
              <w:pStyle w:val="Newparagraph"/>
              <w:spacing w:line="240" w:lineRule="auto"/>
              <w:ind w:firstLine="0"/>
              <w:jc w:val="center"/>
              <w:rPr>
                <w:sz w:val="20"/>
                <w:szCs w:val="20"/>
              </w:rPr>
            </w:pPr>
            <w:r w:rsidRPr="008913B8">
              <w:rPr>
                <w:sz w:val="20"/>
                <w:szCs w:val="20"/>
              </w:rPr>
              <w:t>1.519*</w:t>
            </w:r>
          </w:p>
        </w:tc>
        <w:tc>
          <w:tcPr>
            <w:tcW w:w="1710" w:type="dxa"/>
          </w:tcPr>
          <w:p w14:paraId="00B4AD05" w14:textId="700BE61C" w:rsidR="004B6B79" w:rsidRPr="008913B8" w:rsidRDefault="004B6B79" w:rsidP="004B6B79">
            <w:pPr>
              <w:pStyle w:val="Newparagraph"/>
              <w:spacing w:line="240" w:lineRule="auto"/>
              <w:ind w:firstLine="0"/>
              <w:jc w:val="center"/>
              <w:rPr>
                <w:sz w:val="20"/>
                <w:szCs w:val="20"/>
              </w:rPr>
            </w:pPr>
            <w:r w:rsidRPr="008913B8">
              <w:rPr>
                <w:sz w:val="20"/>
                <w:szCs w:val="20"/>
              </w:rPr>
              <w:t>1.412</w:t>
            </w:r>
          </w:p>
        </w:tc>
        <w:tc>
          <w:tcPr>
            <w:tcW w:w="1530" w:type="dxa"/>
          </w:tcPr>
          <w:p w14:paraId="2E5E366A" w14:textId="1387BA28" w:rsidR="004B6B79" w:rsidRPr="008913B8" w:rsidRDefault="004B6B79" w:rsidP="004B6B79">
            <w:pPr>
              <w:pStyle w:val="Newparagraph"/>
              <w:spacing w:line="240" w:lineRule="auto"/>
              <w:ind w:firstLine="0"/>
              <w:jc w:val="center"/>
              <w:rPr>
                <w:sz w:val="20"/>
                <w:szCs w:val="20"/>
              </w:rPr>
            </w:pPr>
            <w:r w:rsidRPr="008913B8">
              <w:rPr>
                <w:sz w:val="20"/>
                <w:szCs w:val="20"/>
              </w:rPr>
              <w:t>1.418</w:t>
            </w:r>
          </w:p>
        </w:tc>
      </w:tr>
      <w:tr w:rsidR="00C60B76" w:rsidRPr="008913B8" w14:paraId="42650868" w14:textId="77777777" w:rsidTr="00E222F0">
        <w:tc>
          <w:tcPr>
            <w:tcW w:w="1795" w:type="dxa"/>
          </w:tcPr>
          <w:p w14:paraId="76D6162F" w14:textId="77777777" w:rsidR="004B6B79" w:rsidRPr="008913B8" w:rsidRDefault="004B6B79" w:rsidP="004B6B79">
            <w:pPr>
              <w:pStyle w:val="Newparagraph"/>
              <w:spacing w:line="240" w:lineRule="auto"/>
              <w:ind w:firstLine="0"/>
              <w:rPr>
                <w:sz w:val="20"/>
                <w:szCs w:val="20"/>
              </w:rPr>
            </w:pPr>
          </w:p>
        </w:tc>
        <w:tc>
          <w:tcPr>
            <w:tcW w:w="1698" w:type="dxa"/>
          </w:tcPr>
          <w:p w14:paraId="0E1E121F" w14:textId="7CC4DD0D" w:rsidR="004B6B79" w:rsidRPr="008913B8" w:rsidRDefault="004B6B79" w:rsidP="004B6B79">
            <w:pPr>
              <w:pStyle w:val="Newparagraph"/>
              <w:spacing w:line="240" w:lineRule="auto"/>
              <w:ind w:firstLine="0"/>
              <w:jc w:val="center"/>
              <w:rPr>
                <w:sz w:val="20"/>
                <w:szCs w:val="20"/>
              </w:rPr>
            </w:pPr>
            <w:r w:rsidRPr="008913B8">
              <w:rPr>
                <w:sz w:val="20"/>
                <w:szCs w:val="20"/>
              </w:rPr>
              <w:t>(0.54)</w:t>
            </w:r>
          </w:p>
        </w:tc>
        <w:tc>
          <w:tcPr>
            <w:tcW w:w="1730" w:type="dxa"/>
          </w:tcPr>
          <w:p w14:paraId="32A9EB48" w14:textId="2761412C" w:rsidR="004B6B79" w:rsidRPr="008913B8" w:rsidRDefault="004B6B79" w:rsidP="004B6B79">
            <w:pPr>
              <w:pStyle w:val="Newparagraph"/>
              <w:spacing w:line="240" w:lineRule="auto"/>
              <w:ind w:firstLine="0"/>
              <w:jc w:val="center"/>
              <w:rPr>
                <w:sz w:val="20"/>
                <w:szCs w:val="20"/>
              </w:rPr>
            </w:pPr>
            <w:r w:rsidRPr="008913B8">
              <w:rPr>
                <w:sz w:val="20"/>
                <w:szCs w:val="20"/>
              </w:rPr>
              <w:t>(0.35)</w:t>
            </w:r>
          </w:p>
        </w:tc>
        <w:tc>
          <w:tcPr>
            <w:tcW w:w="1710" w:type="dxa"/>
          </w:tcPr>
          <w:p w14:paraId="3BB3EF97" w14:textId="590DFBCA" w:rsidR="004B6B79" w:rsidRPr="008913B8" w:rsidRDefault="004B6B79" w:rsidP="004B6B79">
            <w:pPr>
              <w:pStyle w:val="Newparagraph"/>
              <w:spacing w:line="240" w:lineRule="auto"/>
              <w:ind w:firstLine="0"/>
              <w:jc w:val="center"/>
              <w:rPr>
                <w:sz w:val="20"/>
                <w:szCs w:val="20"/>
              </w:rPr>
            </w:pPr>
            <w:r w:rsidRPr="008913B8">
              <w:rPr>
                <w:sz w:val="20"/>
                <w:szCs w:val="20"/>
              </w:rPr>
              <w:t>(0.33)</w:t>
            </w:r>
          </w:p>
        </w:tc>
        <w:tc>
          <w:tcPr>
            <w:tcW w:w="1530" w:type="dxa"/>
          </w:tcPr>
          <w:p w14:paraId="00FB43CF" w14:textId="0881672D" w:rsidR="004B6B79" w:rsidRPr="008913B8" w:rsidRDefault="004B6B79" w:rsidP="004B6B79">
            <w:pPr>
              <w:pStyle w:val="Newparagraph"/>
              <w:spacing w:line="240" w:lineRule="auto"/>
              <w:ind w:firstLine="0"/>
              <w:jc w:val="center"/>
              <w:rPr>
                <w:sz w:val="20"/>
                <w:szCs w:val="20"/>
              </w:rPr>
            </w:pPr>
            <w:r w:rsidRPr="008913B8">
              <w:rPr>
                <w:sz w:val="20"/>
                <w:szCs w:val="20"/>
              </w:rPr>
              <w:t>(0.33)</w:t>
            </w:r>
          </w:p>
        </w:tc>
      </w:tr>
      <w:tr w:rsidR="00C60B76" w:rsidRPr="008913B8" w14:paraId="1893089E" w14:textId="77777777" w:rsidTr="00E222F0">
        <w:tc>
          <w:tcPr>
            <w:tcW w:w="1795" w:type="dxa"/>
          </w:tcPr>
          <w:p w14:paraId="39005E11" w14:textId="6F6E4B59" w:rsidR="004B6B79" w:rsidRPr="008913B8" w:rsidRDefault="004B6B79" w:rsidP="004B6B79">
            <w:pPr>
              <w:pStyle w:val="Newparagraph"/>
              <w:spacing w:line="240" w:lineRule="auto"/>
              <w:ind w:firstLine="0"/>
              <w:rPr>
                <w:sz w:val="20"/>
                <w:szCs w:val="20"/>
              </w:rPr>
            </w:pPr>
            <w:r w:rsidRPr="008913B8">
              <w:rPr>
                <w:sz w:val="20"/>
                <w:szCs w:val="20"/>
              </w:rPr>
              <w:t>First-born</w:t>
            </w:r>
          </w:p>
        </w:tc>
        <w:tc>
          <w:tcPr>
            <w:tcW w:w="1698" w:type="dxa"/>
          </w:tcPr>
          <w:p w14:paraId="5E2580C6" w14:textId="328908A3" w:rsidR="004B6B79" w:rsidRPr="008913B8" w:rsidRDefault="004B6B79" w:rsidP="004B6B79">
            <w:pPr>
              <w:pStyle w:val="Newparagraph"/>
              <w:spacing w:line="240" w:lineRule="auto"/>
              <w:ind w:firstLine="0"/>
              <w:jc w:val="center"/>
              <w:rPr>
                <w:sz w:val="20"/>
                <w:szCs w:val="20"/>
              </w:rPr>
            </w:pPr>
            <w:r w:rsidRPr="008913B8">
              <w:rPr>
                <w:sz w:val="20"/>
                <w:szCs w:val="20"/>
              </w:rPr>
              <w:t>0.987</w:t>
            </w:r>
          </w:p>
        </w:tc>
        <w:tc>
          <w:tcPr>
            <w:tcW w:w="1730" w:type="dxa"/>
          </w:tcPr>
          <w:p w14:paraId="5FCA1A86" w14:textId="4E1D2071" w:rsidR="004B6B79" w:rsidRPr="008913B8" w:rsidRDefault="004B6B79" w:rsidP="004B6B79">
            <w:pPr>
              <w:pStyle w:val="Newparagraph"/>
              <w:spacing w:line="240" w:lineRule="auto"/>
              <w:ind w:firstLine="0"/>
              <w:jc w:val="center"/>
              <w:rPr>
                <w:sz w:val="20"/>
                <w:szCs w:val="20"/>
              </w:rPr>
            </w:pPr>
            <w:r w:rsidRPr="008913B8">
              <w:rPr>
                <w:sz w:val="20"/>
                <w:szCs w:val="20"/>
              </w:rPr>
              <w:t>1.451**</w:t>
            </w:r>
          </w:p>
        </w:tc>
        <w:tc>
          <w:tcPr>
            <w:tcW w:w="1710" w:type="dxa"/>
          </w:tcPr>
          <w:p w14:paraId="6768646A" w14:textId="4E7276FA" w:rsidR="004B6B79" w:rsidRPr="008913B8" w:rsidRDefault="004B6B79" w:rsidP="004B6B79">
            <w:pPr>
              <w:pStyle w:val="Newparagraph"/>
              <w:spacing w:line="240" w:lineRule="auto"/>
              <w:ind w:firstLine="0"/>
              <w:jc w:val="center"/>
              <w:rPr>
                <w:sz w:val="20"/>
                <w:szCs w:val="20"/>
              </w:rPr>
            </w:pPr>
            <w:r w:rsidRPr="008913B8">
              <w:rPr>
                <w:sz w:val="20"/>
                <w:szCs w:val="20"/>
              </w:rPr>
              <w:t>1.248</w:t>
            </w:r>
          </w:p>
        </w:tc>
        <w:tc>
          <w:tcPr>
            <w:tcW w:w="1530" w:type="dxa"/>
          </w:tcPr>
          <w:p w14:paraId="2AE11944" w14:textId="184B2C30" w:rsidR="004B6B79" w:rsidRPr="008913B8" w:rsidRDefault="004B6B79" w:rsidP="004B6B79">
            <w:pPr>
              <w:pStyle w:val="Newparagraph"/>
              <w:spacing w:line="240" w:lineRule="auto"/>
              <w:ind w:firstLine="0"/>
              <w:jc w:val="center"/>
              <w:rPr>
                <w:sz w:val="20"/>
                <w:szCs w:val="20"/>
              </w:rPr>
            </w:pPr>
            <w:r w:rsidRPr="008913B8">
              <w:rPr>
                <w:sz w:val="20"/>
                <w:szCs w:val="20"/>
              </w:rPr>
              <w:t>1.258</w:t>
            </w:r>
          </w:p>
        </w:tc>
      </w:tr>
      <w:tr w:rsidR="00C60B76" w:rsidRPr="008913B8" w14:paraId="77F4CDFD" w14:textId="77777777" w:rsidTr="00E222F0">
        <w:tc>
          <w:tcPr>
            <w:tcW w:w="1795" w:type="dxa"/>
          </w:tcPr>
          <w:p w14:paraId="2D342D1E" w14:textId="77777777" w:rsidR="004B6B79" w:rsidRPr="008913B8" w:rsidRDefault="004B6B79" w:rsidP="004B6B79">
            <w:pPr>
              <w:pStyle w:val="Newparagraph"/>
              <w:spacing w:line="240" w:lineRule="auto"/>
              <w:ind w:firstLine="0"/>
              <w:rPr>
                <w:sz w:val="20"/>
                <w:szCs w:val="20"/>
              </w:rPr>
            </w:pPr>
          </w:p>
        </w:tc>
        <w:tc>
          <w:tcPr>
            <w:tcW w:w="1698" w:type="dxa"/>
          </w:tcPr>
          <w:p w14:paraId="45B3AA05" w14:textId="1948F001" w:rsidR="004B6B79" w:rsidRPr="008913B8" w:rsidRDefault="004B6B79" w:rsidP="004B6B79">
            <w:pPr>
              <w:pStyle w:val="Newparagraph"/>
              <w:spacing w:line="240" w:lineRule="auto"/>
              <w:ind w:firstLine="0"/>
              <w:jc w:val="center"/>
              <w:rPr>
                <w:sz w:val="20"/>
                <w:szCs w:val="20"/>
              </w:rPr>
            </w:pPr>
            <w:r w:rsidRPr="008913B8">
              <w:rPr>
                <w:sz w:val="20"/>
                <w:szCs w:val="20"/>
              </w:rPr>
              <w:t>(0.17)</w:t>
            </w:r>
          </w:p>
        </w:tc>
        <w:tc>
          <w:tcPr>
            <w:tcW w:w="1730" w:type="dxa"/>
          </w:tcPr>
          <w:p w14:paraId="188E5EA8" w14:textId="1E2C0559" w:rsidR="004B6B79" w:rsidRPr="008913B8" w:rsidRDefault="004B6B79" w:rsidP="004B6B79">
            <w:pPr>
              <w:pStyle w:val="Newparagraph"/>
              <w:spacing w:line="240" w:lineRule="auto"/>
              <w:ind w:firstLine="0"/>
              <w:jc w:val="center"/>
              <w:rPr>
                <w:sz w:val="20"/>
                <w:szCs w:val="20"/>
              </w:rPr>
            </w:pPr>
            <w:r w:rsidRPr="008913B8">
              <w:rPr>
                <w:sz w:val="20"/>
                <w:szCs w:val="20"/>
              </w:rPr>
              <w:t>(0.26)</w:t>
            </w:r>
          </w:p>
        </w:tc>
        <w:tc>
          <w:tcPr>
            <w:tcW w:w="1710" w:type="dxa"/>
          </w:tcPr>
          <w:p w14:paraId="28D20888" w14:textId="19D5D68A" w:rsidR="004B6B79" w:rsidRPr="008913B8" w:rsidRDefault="004B6B79" w:rsidP="004B6B79">
            <w:pPr>
              <w:pStyle w:val="Newparagraph"/>
              <w:spacing w:line="240" w:lineRule="auto"/>
              <w:ind w:firstLine="0"/>
              <w:jc w:val="center"/>
              <w:rPr>
                <w:sz w:val="20"/>
                <w:szCs w:val="20"/>
              </w:rPr>
            </w:pPr>
            <w:r w:rsidRPr="008913B8">
              <w:rPr>
                <w:sz w:val="20"/>
                <w:szCs w:val="20"/>
              </w:rPr>
              <w:t>(0.23)</w:t>
            </w:r>
          </w:p>
        </w:tc>
        <w:tc>
          <w:tcPr>
            <w:tcW w:w="1530" w:type="dxa"/>
          </w:tcPr>
          <w:p w14:paraId="1C9E1769" w14:textId="3B94303E" w:rsidR="004B6B79" w:rsidRPr="008913B8" w:rsidRDefault="004B6B79" w:rsidP="004B6B79">
            <w:pPr>
              <w:pStyle w:val="Newparagraph"/>
              <w:spacing w:line="240" w:lineRule="auto"/>
              <w:ind w:firstLine="0"/>
              <w:jc w:val="center"/>
              <w:rPr>
                <w:sz w:val="20"/>
                <w:szCs w:val="20"/>
              </w:rPr>
            </w:pPr>
            <w:r w:rsidRPr="008913B8">
              <w:rPr>
                <w:sz w:val="20"/>
                <w:szCs w:val="20"/>
              </w:rPr>
              <w:t>(0.23)</w:t>
            </w:r>
          </w:p>
        </w:tc>
      </w:tr>
      <w:tr w:rsidR="00C60B76" w:rsidRPr="008913B8" w14:paraId="69407FF6" w14:textId="77777777" w:rsidTr="00E222F0">
        <w:tc>
          <w:tcPr>
            <w:tcW w:w="1795" w:type="dxa"/>
          </w:tcPr>
          <w:p w14:paraId="058F619E" w14:textId="07805320" w:rsidR="004B6B79" w:rsidRPr="008913B8" w:rsidRDefault="00567E1F" w:rsidP="004B6B79">
            <w:pPr>
              <w:pStyle w:val="Newparagraph"/>
              <w:spacing w:line="240" w:lineRule="auto"/>
              <w:ind w:firstLine="0"/>
              <w:rPr>
                <w:sz w:val="20"/>
                <w:szCs w:val="20"/>
              </w:rPr>
            </w:pPr>
            <w:r w:rsidRPr="008913B8">
              <w:rPr>
                <w:sz w:val="20"/>
                <w:szCs w:val="20"/>
              </w:rPr>
              <w:t>fbfem</w:t>
            </w:r>
          </w:p>
        </w:tc>
        <w:tc>
          <w:tcPr>
            <w:tcW w:w="1698" w:type="dxa"/>
          </w:tcPr>
          <w:p w14:paraId="68A0A3DE" w14:textId="3FA2283A" w:rsidR="004B6B79" w:rsidRPr="008913B8" w:rsidRDefault="00567E1F" w:rsidP="004B6B79">
            <w:pPr>
              <w:pStyle w:val="Newparagraph"/>
              <w:spacing w:line="240" w:lineRule="auto"/>
              <w:ind w:firstLine="0"/>
              <w:jc w:val="center"/>
              <w:rPr>
                <w:sz w:val="20"/>
                <w:szCs w:val="20"/>
              </w:rPr>
            </w:pPr>
            <w:r w:rsidRPr="008913B8">
              <w:rPr>
                <w:sz w:val="20"/>
                <w:szCs w:val="20"/>
              </w:rPr>
              <w:t xml:space="preserve">1.099    </w:t>
            </w:r>
          </w:p>
        </w:tc>
        <w:tc>
          <w:tcPr>
            <w:tcW w:w="1730" w:type="dxa"/>
          </w:tcPr>
          <w:p w14:paraId="75BB61B3" w14:textId="63D1F418" w:rsidR="004B6B79" w:rsidRPr="008913B8" w:rsidRDefault="00567E1F" w:rsidP="004B6B79">
            <w:pPr>
              <w:pStyle w:val="Newparagraph"/>
              <w:spacing w:line="240" w:lineRule="auto"/>
              <w:ind w:firstLine="0"/>
              <w:jc w:val="center"/>
              <w:rPr>
                <w:sz w:val="20"/>
                <w:szCs w:val="20"/>
              </w:rPr>
            </w:pPr>
            <w:r w:rsidRPr="008913B8">
              <w:rPr>
                <w:sz w:val="20"/>
                <w:szCs w:val="20"/>
              </w:rPr>
              <w:t xml:space="preserve">1.011    </w:t>
            </w:r>
          </w:p>
        </w:tc>
        <w:tc>
          <w:tcPr>
            <w:tcW w:w="1710" w:type="dxa"/>
          </w:tcPr>
          <w:p w14:paraId="309FF901" w14:textId="088E2373" w:rsidR="004B6B79" w:rsidRPr="008913B8" w:rsidRDefault="00567E1F" w:rsidP="004B6B79">
            <w:pPr>
              <w:pStyle w:val="Newparagraph"/>
              <w:spacing w:line="240" w:lineRule="auto"/>
              <w:ind w:firstLine="0"/>
              <w:jc w:val="center"/>
              <w:rPr>
                <w:sz w:val="20"/>
                <w:szCs w:val="20"/>
              </w:rPr>
            </w:pPr>
            <w:r w:rsidRPr="008913B8">
              <w:rPr>
                <w:sz w:val="20"/>
                <w:szCs w:val="20"/>
              </w:rPr>
              <w:t xml:space="preserve">0.962    </w:t>
            </w:r>
          </w:p>
        </w:tc>
        <w:tc>
          <w:tcPr>
            <w:tcW w:w="1530" w:type="dxa"/>
          </w:tcPr>
          <w:p w14:paraId="04206146" w14:textId="4FF2A760" w:rsidR="004B6B79" w:rsidRPr="008913B8" w:rsidRDefault="00567E1F" w:rsidP="004B6B79">
            <w:pPr>
              <w:pStyle w:val="Newparagraph"/>
              <w:spacing w:line="240" w:lineRule="auto"/>
              <w:ind w:firstLine="0"/>
              <w:jc w:val="center"/>
              <w:rPr>
                <w:sz w:val="20"/>
                <w:szCs w:val="20"/>
              </w:rPr>
            </w:pPr>
            <w:r w:rsidRPr="008913B8">
              <w:rPr>
                <w:sz w:val="20"/>
                <w:szCs w:val="20"/>
              </w:rPr>
              <w:t>0.963</w:t>
            </w:r>
          </w:p>
        </w:tc>
      </w:tr>
      <w:tr w:rsidR="00C60B76" w:rsidRPr="008913B8" w14:paraId="247B2921" w14:textId="77777777" w:rsidTr="00E222F0">
        <w:tc>
          <w:tcPr>
            <w:tcW w:w="1795" w:type="dxa"/>
          </w:tcPr>
          <w:p w14:paraId="6A79EFC9" w14:textId="77777777" w:rsidR="004B6B79" w:rsidRPr="008913B8" w:rsidRDefault="004B6B79" w:rsidP="004B6B79">
            <w:pPr>
              <w:pStyle w:val="Newparagraph"/>
              <w:spacing w:line="240" w:lineRule="auto"/>
              <w:ind w:firstLine="0"/>
              <w:rPr>
                <w:sz w:val="20"/>
                <w:szCs w:val="20"/>
              </w:rPr>
            </w:pPr>
          </w:p>
        </w:tc>
        <w:tc>
          <w:tcPr>
            <w:tcW w:w="1698" w:type="dxa"/>
          </w:tcPr>
          <w:p w14:paraId="62F0CFAE" w14:textId="0410D875" w:rsidR="004B6B79" w:rsidRPr="008913B8" w:rsidRDefault="00C60B76" w:rsidP="004B6B79">
            <w:pPr>
              <w:pStyle w:val="Newparagraph"/>
              <w:spacing w:line="240" w:lineRule="auto"/>
              <w:ind w:firstLine="0"/>
              <w:jc w:val="center"/>
              <w:rPr>
                <w:sz w:val="20"/>
                <w:szCs w:val="20"/>
              </w:rPr>
            </w:pPr>
            <w:r w:rsidRPr="008913B8">
              <w:rPr>
                <w:sz w:val="20"/>
                <w:szCs w:val="20"/>
              </w:rPr>
              <w:t xml:space="preserve">(0.23)   </w:t>
            </w:r>
          </w:p>
        </w:tc>
        <w:tc>
          <w:tcPr>
            <w:tcW w:w="1730" w:type="dxa"/>
          </w:tcPr>
          <w:p w14:paraId="4B5C21FF" w14:textId="154CB914" w:rsidR="004B6B79" w:rsidRPr="008913B8" w:rsidRDefault="00C60B76" w:rsidP="004B6B79">
            <w:pPr>
              <w:pStyle w:val="Newparagraph"/>
              <w:spacing w:line="240" w:lineRule="auto"/>
              <w:ind w:firstLine="0"/>
              <w:jc w:val="center"/>
              <w:rPr>
                <w:sz w:val="20"/>
                <w:szCs w:val="20"/>
              </w:rPr>
            </w:pPr>
            <w:r w:rsidRPr="008913B8">
              <w:rPr>
                <w:sz w:val="20"/>
                <w:szCs w:val="20"/>
              </w:rPr>
              <w:t xml:space="preserve">(0.21)   </w:t>
            </w:r>
          </w:p>
        </w:tc>
        <w:tc>
          <w:tcPr>
            <w:tcW w:w="1710" w:type="dxa"/>
          </w:tcPr>
          <w:p w14:paraId="28912109" w14:textId="3B64ED10" w:rsidR="004B6B79" w:rsidRPr="008913B8" w:rsidRDefault="00C60B76" w:rsidP="004B6B79">
            <w:pPr>
              <w:pStyle w:val="Newparagraph"/>
              <w:spacing w:line="240" w:lineRule="auto"/>
              <w:ind w:firstLine="0"/>
              <w:jc w:val="center"/>
              <w:rPr>
                <w:sz w:val="20"/>
                <w:szCs w:val="20"/>
              </w:rPr>
            </w:pPr>
            <w:r w:rsidRPr="008913B8">
              <w:rPr>
                <w:sz w:val="20"/>
                <w:szCs w:val="20"/>
              </w:rPr>
              <w:t xml:space="preserve">(0.20)   </w:t>
            </w:r>
          </w:p>
        </w:tc>
        <w:tc>
          <w:tcPr>
            <w:tcW w:w="1530" w:type="dxa"/>
          </w:tcPr>
          <w:p w14:paraId="62AD113C" w14:textId="29E74C84" w:rsidR="004B6B79" w:rsidRPr="008913B8" w:rsidRDefault="00C60B76" w:rsidP="004B6B79">
            <w:pPr>
              <w:pStyle w:val="Newparagraph"/>
              <w:spacing w:line="240" w:lineRule="auto"/>
              <w:ind w:firstLine="0"/>
              <w:jc w:val="center"/>
              <w:rPr>
                <w:sz w:val="20"/>
                <w:szCs w:val="20"/>
              </w:rPr>
            </w:pPr>
            <w:r w:rsidRPr="008913B8">
              <w:rPr>
                <w:sz w:val="20"/>
                <w:szCs w:val="20"/>
              </w:rPr>
              <w:t>(0.20)</w:t>
            </w:r>
          </w:p>
        </w:tc>
      </w:tr>
      <w:tr w:rsidR="00C60B76" w:rsidRPr="008913B8" w14:paraId="20C37763" w14:textId="77777777" w:rsidTr="00E222F0">
        <w:tc>
          <w:tcPr>
            <w:tcW w:w="1795" w:type="dxa"/>
          </w:tcPr>
          <w:p w14:paraId="23E593E8" w14:textId="3FA39373" w:rsidR="004B6B79" w:rsidRPr="008913B8" w:rsidRDefault="00C60B76" w:rsidP="004B6B79">
            <w:pPr>
              <w:pStyle w:val="Newparagraph"/>
              <w:spacing w:line="240" w:lineRule="auto"/>
              <w:ind w:firstLine="0"/>
              <w:rPr>
                <w:sz w:val="20"/>
                <w:szCs w:val="20"/>
              </w:rPr>
            </w:pPr>
            <w:r w:rsidRPr="008913B8">
              <w:rPr>
                <w:sz w:val="20"/>
                <w:szCs w:val="20"/>
              </w:rPr>
              <w:t>fbru</w:t>
            </w:r>
          </w:p>
        </w:tc>
        <w:tc>
          <w:tcPr>
            <w:tcW w:w="1698" w:type="dxa"/>
          </w:tcPr>
          <w:p w14:paraId="3967F89C" w14:textId="0B6DFC4C" w:rsidR="004B6B79" w:rsidRPr="008913B8" w:rsidRDefault="00C60B76" w:rsidP="004B6B79">
            <w:pPr>
              <w:pStyle w:val="Newparagraph"/>
              <w:spacing w:line="240" w:lineRule="auto"/>
              <w:ind w:firstLine="0"/>
              <w:jc w:val="center"/>
              <w:rPr>
                <w:sz w:val="20"/>
                <w:szCs w:val="20"/>
              </w:rPr>
            </w:pPr>
            <w:r w:rsidRPr="008913B8">
              <w:rPr>
                <w:sz w:val="20"/>
                <w:szCs w:val="20"/>
              </w:rPr>
              <w:t xml:space="preserve">1.689*** </w:t>
            </w:r>
          </w:p>
        </w:tc>
        <w:tc>
          <w:tcPr>
            <w:tcW w:w="1730" w:type="dxa"/>
          </w:tcPr>
          <w:p w14:paraId="64B93D87" w14:textId="015C6671" w:rsidR="004B6B79" w:rsidRPr="008913B8" w:rsidRDefault="00C60B76" w:rsidP="004B6B79">
            <w:pPr>
              <w:pStyle w:val="Newparagraph"/>
              <w:spacing w:line="240" w:lineRule="auto"/>
              <w:ind w:firstLine="0"/>
              <w:jc w:val="center"/>
              <w:rPr>
                <w:sz w:val="20"/>
                <w:szCs w:val="20"/>
              </w:rPr>
            </w:pPr>
            <w:r w:rsidRPr="008913B8">
              <w:rPr>
                <w:sz w:val="20"/>
                <w:szCs w:val="20"/>
              </w:rPr>
              <w:t xml:space="preserve">1.254*   </w:t>
            </w:r>
          </w:p>
        </w:tc>
        <w:tc>
          <w:tcPr>
            <w:tcW w:w="1710" w:type="dxa"/>
          </w:tcPr>
          <w:p w14:paraId="317A6179" w14:textId="50D2B15A" w:rsidR="004B6B79" w:rsidRPr="008913B8" w:rsidRDefault="00C60B76" w:rsidP="004B6B79">
            <w:pPr>
              <w:pStyle w:val="Newparagraph"/>
              <w:spacing w:line="240" w:lineRule="auto"/>
              <w:ind w:firstLine="0"/>
              <w:jc w:val="center"/>
              <w:rPr>
                <w:sz w:val="20"/>
                <w:szCs w:val="20"/>
              </w:rPr>
            </w:pPr>
            <w:r w:rsidRPr="008913B8">
              <w:rPr>
                <w:sz w:val="20"/>
                <w:szCs w:val="20"/>
              </w:rPr>
              <w:t>1.604***</w:t>
            </w:r>
          </w:p>
        </w:tc>
        <w:tc>
          <w:tcPr>
            <w:tcW w:w="1530" w:type="dxa"/>
          </w:tcPr>
          <w:p w14:paraId="3EFA3B58" w14:textId="6C546A21" w:rsidR="004B6B79" w:rsidRPr="008913B8" w:rsidRDefault="00C60B76" w:rsidP="004B6B79">
            <w:pPr>
              <w:pStyle w:val="Newparagraph"/>
              <w:spacing w:line="240" w:lineRule="auto"/>
              <w:ind w:firstLine="0"/>
              <w:jc w:val="center"/>
              <w:rPr>
                <w:sz w:val="20"/>
                <w:szCs w:val="20"/>
              </w:rPr>
            </w:pPr>
            <w:r w:rsidRPr="008913B8">
              <w:rPr>
                <w:sz w:val="20"/>
                <w:szCs w:val="20"/>
              </w:rPr>
              <w:t>1.602***</w:t>
            </w:r>
          </w:p>
        </w:tc>
      </w:tr>
      <w:tr w:rsidR="00C60B76" w:rsidRPr="008913B8" w14:paraId="4612C19A" w14:textId="77777777" w:rsidTr="00E222F0">
        <w:tc>
          <w:tcPr>
            <w:tcW w:w="1795" w:type="dxa"/>
          </w:tcPr>
          <w:p w14:paraId="05C7D155" w14:textId="77777777" w:rsidR="004B6B79" w:rsidRPr="008913B8" w:rsidRDefault="004B6B79" w:rsidP="004B6B79">
            <w:pPr>
              <w:pStyle w:val="Newparagraph"/>
              <w:spacing w:line="240" w:lineRule="auto"/>
              <w:ind w:firstLine="0"/>
              <w:rPr>
                <w:sz w:val="20"/>
                <w:szCs w:val="20"/>
              </w:rPr>
            </w:pPr>
          </w:p>
        </w:tc>
        <w:tc>
          <w:tcPr>
            <w:tcW w:w="1698" w:type="dxa"/>
          </w:tcPr>
          <w:p w14:paraId="5DB65E7A" w14:textId="30CCCE56" w:rsidR="004B6B79" w:rsidRPr="008913B8" w:rsidRDefault="00C60B76" w:rsidP="004B6B79">
            <w:pPr>
              <w:pStyle w:val="Newparagraph"/>
              <w:spacing w:line="240" w:lineRule="auto"/>
              <w:ind w:firstLine="0"/>
              <w:jc w:val="center"/>
              <w:rPr>
                <w:sz w:val="20"/>
                <w:szCs w:val="20"/>
              </w:rPr>
            </w:pPr>
            <w:r w:rsidRPr="008913B8">
              <w:rPr>
                <w:sz w:val="20"/>
                <w:szCs w:val="20"/>
              </w:rPr>
              <w:t xml:space="preserve">(0.21)   </w:t>
            </w:r>
          </w:p>
        </w:tc>
        <w:tc>
          <w:tcPr>
            <w:tcW w:w="1730" w:type="dxa"/>
          </w:tcPr>
          <w:p w14:paraId="38535BCB" w14:textId="2C674234" w:rsidR="004B6B79" w:rsidRPr="008913B8" w:rsidRDefault="00C60B76" w:rsidP="004B6B79">
            <w:pPr>
              <w:pStyle w:val="Newparagraph"/>
              <w:spacing w:line="240" w:lineRule="auto"/>
              <w:ind w:firstLine="0"/>
              <w:jc w:val="center"/>
              <w:rPr>
                <w:sz w:val="20"/>
                <w:szCs w:val="20"/>
              </w:rPr>
            </w:pPr>
            <w:r w:rsidRPr="008913B8">
              <w:rPr>
                <w:sz w:val="20"/>
                <w:szCs w:val="20"/>
              </w:rPr>
              <w:t xml:space="preserve">(0.17)   </w:t>
            </w:r>
          </w:p>
        </w:tc>
        <w:tc>
          <w:tcPr>
            <w:tcW w:w="1710" w:type="dxa"/>
          </w:tcPr>
          <w:p w14:paraId="70F53CAE" w14:textId="00392C5B" w:rsidR="004B6B79" w:rsidRPr="008913B8" w:rsidRDefault="00C60B76" w:rsidP="004B6B79">
            <w:pPr>
              <w:pStyle w:val="Newparagraph"/>
              <w:spacing w:line="240" w:lineRule="auto"/>
              <w:ind w:firstLine="0"/>
              <w:jc w:val="center"/>
              <w:rPr>
                <w:sz w:val="20"/>
                <w:szCs w:val="20"/>
              </w:rPr>
            </w:pPr>
            <w:r w:rsidRPr="008913B8">
              <w:rPr>
                <w:sz w:val="20"/>
                <w:szCs w:val="20"/>
              </w:rPr>
              <w:t xml:space="preserve">(0.23)   </w:t>
            </w:r>
          </w:p>
        </w:tc>
        <w:tc>
          <w:tcPr>
            <w:tcW w:w="1530" w:type="dxa"/>
          </w:tcPr>
          <w:p w14:paraId="0B25D96C" w14:textId="78C387AF" w:rsidR="004B6B79" w:rsidRPr="008913B8" w:rsidRDefault="00C60B76" w:rsidP="004B6B79">
            <w:pPr>
              <w:pStyle w:val="Newparagraph"/>
              <w:spacing w:line="240" w:lineRule="auto"/>
              <w:ind w:firstLine="0"/>
              <w:jc w:val="center"/>
              <w:rPr>
                <w:sz w:val="20"/>
                <w:szCs w:val="20"/>
              </w:rPr>
            </w:pPr>
            <w:r w:rsidRPr="008913B8">
              <w:rPr>
                <w:sz w:val="20"/>
                <w:szCs w:val="20"/>
              </w:rPr>
              <w:t>(0.23)</w:t>
            </w:r>
          </w:p>
        </w:tc>
      </w:tr>
      <w:tr w:rsidR="00E222F0" w:rsidRPr="008913B8" w14:paraId="58156228" w14:textId="77777777" w:rsidTr="00E222F0">
        <w:tc>
          <w:tcPr>
            <w:tcW w:w="1795" w:type="dxa"/>
          </w:tcPr>
          <w:p w14:paraId="2B1C4CCD" w14:textId="109BBDC3" w:rsidR="00C60B76" w:rsidRPr="008913B8" w:rsidRDefault="00C60B76" w:rsidP="004B6B79">
            <w:pPr>
              <w:pStyle w:val="Newparagraph"/>
              <w:spacing w:line="240" w:lineRule="auto"/>
              <w:ind w:firstLine="0"/>
              <w:rPr>
                <w:sz w:val="20"/>
                <w:szCs w:val="20"/>
              </w:rPr>
            </w:pPr>
            <w:r w:rsidRPr="008913B8">
              <w:rPr>
                <w:sz w:val="20"/>
                <w:szCs w:val="20"/>
              </w:rPr>
              <w:t>health-ins</w:t>
            </w:r>
          </w:p>
        </w:tc>
        <w:tc>
          <w:tcPr>
            <w:tcW w:w="1698" w:type="dxa"/>
          </w:tcPr>
          <w:p w14:paraId="77BB2671" w14:textId="4F1E0D49" w:rsidR="00C60B76" w:rsidRPr="008913B8" w:rsidRDefault="00C60B76" w:rsidP="004B6B79">
            <w:pPr>
              <w:pStyle w:val="Newparagraph"/>
              <w:spacing w:line="240" w:lineRule="auto"/>
              <w:ind w:firstLine="0"/>
              <w:jc w:val="center"/>
              <w:rPr>
                <w:sz w:val="20"/>
                <w:szCs w:val="20"/>
              </w:rPr>
            </w:pPr>
            <w:r w:rsidRPr="008913B8">
              <w:rPr>
                <w:sz w:val="20"/>
                <w:szCs w:val="20"/>
              </w:rPr>
              <w:t>0.164***</w:t>
            </w:r>
          </w:p>
        </w:tc>
        <w:tc>
          <w:tcPr>
            <w:tcW w:w="1730" w:type="dxa"/>
          </w:tcPr>
          <w:p w14:paraId="61BEB250" w14:textId="159D4410" w:rsidR="00C60B76" w:rsidRPr="008913B8" w:rsidRDefault="00C60B76" w:rsidP="004B6B79">
            <w:pPr>
              <w:pStyle w:val="Newparagraph"/>
              <w:spacing w:line="240" w:lineRule="auto"/>
              <w:ind w:firstLine="0"/>
              <w:jc w:val="center"/>
              <w:rPr>
                <w:sz w:val="20"/>
                <w:szCs w:val="20"/>
              </w:rPr>
            </w:pPr>
            <w:r w:rsidRPr="008913B8">
              <w:rPr>
                <w:sz w:val="20"/>
                <w:szCs w:val="20"/>
              </w:rPr>
              <w:t>0.311***</w:t>
            </w:r>
          </w:p>
        </w:tc>
        <w:tc>
          <w:tcPr>
            <w:tcW w:w="1710" w:type="dxa"/>
          </w:tcPr>
          <w:p w14:paraId="6BCB8B3D" w14:textId="4D48C532" w:rsidR="00C60B76" w:rsidRPr="008913B8" w:rsidRDefault="00C60B76" w:rsidP="004B6B79">
            <w:pPr>
              <w:pStyle w:val="Newparagraph"/>
              <w:spacing w:line="240" w:lineRule="auto"/>
              <w:ind w:firstLine="0"/>
              <w:jc w:val="center"/>
              <w:rPr>
                <w:sz w:val="20"/>
                <w:szCs w:val="20"/>
              </w:rPr>
            </w:pPr>
            <w:r w:rsidRPr="008913B8">
              <w:rPr>
                <w:sz w:val="20"/>
                <w:szCs w:val="20"/>
              </w:rPr>
              <w:t>0.327***</w:t>
            </w:r>
          </w:p>
        </w:tc>
        <w:tc>
          <w:tcPr>
            <w:tcW w:w="1530" w:type="dxa"/>
          </w:tcPr>
          <w:p w14:paraId="7AA99DBD" w14:textId="7BC1EF85" w:rsidR="00C60B76" w:rsidRPr="008913B8" w:rsidRDefault="00C60B76" w:rsidP="004B6B79">
            <w:pPr>
              <w:pStyle w:val="Newparagraph"/>
              <w:spacing w:line="240" w:lineRule="auto"/>
              <w:ind w:firstLine="0"/>
              <w:jc w:val="center"/>
              <w:rPr>
                <w:sz w:val="20"/>
                <w:szCs w:val="20"/>
              </w:rPr>
            </w:pPr>
            <w:r w:rsidRPr="008913B8">
              <w:rPr>
                <w:sz w:val="20"/>
                <w:szCs w:val="20"/>
              </w:rPr>
              <w:t>0.334***</w:t>
            </w:r>
          </w:p>
        </w:tc>
      </w:tr>
      <w:tr w:rsidR="00E222F0" w:rsidRPr="008913B8" w14:paraId="2192E0C9" w14:textId="77777777" w:rsidTr="00E222F0">
        <w:tc>
          <w:tcPr>
            <w:tcW w:w="1795" w:type="dxa"/>
          </w:tcPr>
          <w:p w14:paraId="4763742B" w14:textId="77777777" w:rsidR="00C60B76" w:rsidRPr="008913B8" w:rsidRDefault="00C60B76" w:rsidP="004B6B79">
            <w:pPr>
              <w:pStyle w:val="Newparagraph"/>
              <w:spacing w:line="240" w:lineRule="auto"/>
              <w:ind w:firstLine="0"/>
              <w:rPr>
                <w:sz w:val="20"/>
                <w:szCs w:val="20"/>
              </w:rPr>
            </w:pPr>
          </w:p>
        </w:tc>
        <w:tc>
          <w:tcPr>
            <w:tcW w:w="1698" w:type="dxa"/>
          </w:tcPr>
          <w:p w14:paraId="4D6C7514" w14:textId="0DD387A8" w:rsidR="00C60B76" w:rsidRPr="008913B8" w:rsidRDefault="00C60B76" w:rsidP="004B6B79">
            <w:pPr>
              <w:pStyle w:val="Newparagraph"/>
              <w:spacing w:line="240" w:lineRule="auto"/>
              <w:ind w:firstLine="0"/>
              <w:jc w:val="center"/>
              <w:rPr>
                <w:sz w:val="20"/>
                <w:szCs w:val="20"/>
              </w:rPr>
            </w:pPr>
            <w:r w:rsidRPr="008913B8">
              <w:rPr>
                <w:sz w:val="20"/>
                <w:szCs w:val="20"/>
              </w:rPr>
              <w:t>(0.05)</w:t>
            </w:r>
          </w:p>
        </w:tc>
        <w:tc>
          <w:tcPr>
            <w:tcW w:w="1730" w:type="dxa"/>
          </w:tcPr>
          <w:p w14:paraId="54D469D7" w14:textId="0707ECEF" w:rsidR="00C60B76" w:rsidRPr="008913B8" w:rsidRDefault="00C60B76" w:rsidP="004B6B79">
            <w:pPr>
              <w:pStyle w:val="Newparagraph"/>
              <w:spacing w:line="240" w:lineRule="auto"/>
              <w:ind w:firstLine="0"/>
              <w:jc w:val="center"/>
              <w:rPr>
                <w:sz w:val="20"/>
                <w:szCs w:val="20"/>
              </w:rPr>
            </w:pPr>
            <w:r w:rsidRPr="008913B8">
              <w:rPr>
                <w:sz w:val="20"/>
                <w:szCs w:val="20"/>
              </w:rPr>
              <w:t>(0.10)</w:t>
            </w:r>
          </w:p>
        </w:tc>
        <w:tc>
          <w:tcPr>
            <w:tcW w:w="1710" w:type="dxa"/>
          </w:tcPr>
          <w:p w14:paraId="73ED3452" w14:textId="56194971" w:rsidR="00C60B76" w:rsidRPr="008913B8" w:rsidRDefault="00C60B76" w:rsidP="004B6B79">
            <w:pPr>
              <w:pStyle w:val="Newparagraph"/>
              <w:spacing w:line="240" w:lineRule="auto"/>
              <w:ind w:firstLine="0"/>
              <w:jc w:val="center"/>
              <w:rPr>
                <w:sz w:val="20"/>
                <w:szCs w:val="20"/>
              </w:rPr>
            </w:pPr>
            <w:r w:rsidRPr="008913B8">
              <w:rPr>
                <w:sz w:val="20"/>
                <w:szCs w:val="20"/>
              </w:rPr>
              <w:t>(0.11)</w:t>
            </w:r>
          </w:p>
        </w:tc>
        <w:tc>
          <w:tcPr>
            <w:tcW w:w="1530" w:type="dxa"/>
          </w:tcPr>
          <w:p w14:paraId="6DFD181C" w14:textId="23234BDE" w:rsidR="00C60B76" w:rsidRPr="008913B8" w:rsidRDefault="00C60B76" w:rsidP="004B6B79">
            <w:pPr>
              <w:pStyle w:val="Newparagraph"/>
              <w:spacing w:line="240" w:lineRule="auto"/>
              <w:ind w:firstLine="0"/>
              <w:jc w:val="center"/>
              <w:rPr>
                <w:sz w:val="20"/>
                <w:szCs w:val="20"/>
              </w:rPr>
            </w:pPr>
            <w:r w:rsidRPr="008913B8">
              <w:rPr>
                <w:sz w:val="20"/>
                <w:szCs w:val="20"/>
              </w:rPr>
              <w:t>(0.11)</w:t>
            </w:r>
          </w:p>
        </w:tc>
      </w:tr>
      <w:tr w:rsidR="00E222F0" w:rsidRPr="008913B8" w14:paraId="53801AC1" w14:textId="77777777" w:rsidTr="00E222F0">
        <w:tc>
          <w:tcPr>
            <w:tcW w:w="1795" w:type="dxa"/>
          </w:tcPr>
          <w:p w14:paraId="1AC6472E" w14:textId="52117579" w:rsidR="00C60B76" w:rsidRPr="008913B8" w:rsidRDefault="00C60B76" w:rsidP="004B6B79">
            <w:pPr>
              <w:pStyle w:val="Newparagraph"/>
              <w:spacing w:line="240" w:lineRule="auto"/>
              <w:ind w:firstLine="0"/>
              <w:rPr>
                <w:sz w:val="20"/>
                <w:szCs w:val="20"/>
              </w:rPr>
            </w:pPr>
            <w:r w:rsidRPr="008913B8">
              <w:rPr>
                <w:sz w:val="20"/>
                <w:szCs w:val="20"/>
              </w:rPr>
              <w:t>fem-scho</w:t>
            </w:r>
          </w:p>
        </w:tc>
        <w:tc>
          <w:tcPr>
            <w:tcW w:w="1698" w:type="dxa"/>
          </w:tcPr>
          <w:p w14:paraId="43A5601D" w14:textId="186B74BE" w:rsidR="00C60B76" w:rsidRPr="008913B8" w:rsidRDefault="00C60B76" w:rsidP="004B6B79">
            <w:pPr>
              <w:pStyle w:val="Newparagraph"/>
              <w:spacing w:line="240" w:lineRule="auto"/>
              <w:ind w:firstLine="0"/>
              <w:jc w:val="center"/>
              <w:rPr>
                <w:sz w:val="20"/>
                <w:szCs w:val="20"/>
              </w:rPr>
            </w:pPr>
            <w:r w:rsidRPr="008913B8">
              <w:rPr>
                <w:sz w:val="20"/>
                <w:szCs w:val="20"/>
              </w:rPr>
              <w:t>---</w:t>
            </w:r>
          </w:p>
        </w:tc>
        <w:tc>
          <w:tcPr>
            <w:tcW w:w="1730" w:type="dxa"/>
          </w:tcPr>
          <w:p w14:paraId="3A651F6A" w14:textId="22DE4D54" w:rsidR="00C60B76" w:rsidRPr="008913B8" w:rsidRDefault="00C60B76" w:rsidP="004B6B79">
            <w:pPr>
              <w:pStyle w:val="Newparagraph"/>
              <w:spacing w:line="240" w:lineRule="auto"/>
              <w:ind w:firstLine="0"/>
              <w:jc w:val="center"/>
              <w:rPr>
                <w:sz w:val="20"/>
                <w:szCs w:val="20"/>
              </w:rPr>
            </w:pPr>
            <w:r w:rsidRPr="008913B8">
              <w:rPr>
                <w:sz w:val="20"/>
                <w:szCs w:val="20"/>
              </w:rPr>
              <w:t>0.920***</w:t>
            </w:r>
          </w:p>
        </w:tc>
        <w:tc>
          <w:tcPr>
            <w:tcW w:w="1710" w:type="dxa"/>
          </w:tcPr>
          <w:p w14:paraId="5472E80B" w14:textId="45495AF8" w:rsidR="00C60B76" w:rsidRPr="008913B8" w:rsidRDefault="00C60B76" w:rsidP="004B6B79">
            <w:pPr>
              <w:pStyle w:val="Newparagraph"/>
              <w:spacing w:line="240" w:lineRule="auto"/>
              <w:ind w:firstLine="0"/>
              <w:jc w:val="center"/>
              <w:rPr>
                <w:sz w:val="20"/>
                <w:szCs w:val="20"/>
              </w:rPr>
            </w:pPr>
            <w:r w:rsidRPr="008913B8">
              <w:rPr>
                <w:sz w:val="20"/>
                <w:szCs w:val="20"/>
              </w:rPr>
              <w:t>0.921***</w:t>
            </w:r>
          </w:p>
        </w:tc>
        <w:tc>
          <w:tcPr>
            <w:tcW w:w="1530" w:type="dxa"/>
          </w:tcPr>
          <w:p w14:paraId="573CD339" w14:textId="2A33B290" w:rsidR="00C60B76" w:rsidRPr="008913B8" w:rsidRDefault="00C60B76" w:rsidP="004B6B79">
            <w:pPr>
              <w:pStyle w:val="Newparagraph"/>
              <w:spacing w:line="240" w:lineRule="auto"/>
              <w:ind w:firstLine="0"/>
              <w:jc w:val="center"/>
              <w:rPr>
                <w:sz w:val="20"/>
                <w:szCs w:val="20"/>
              </w:rPr>
            </w:pPr>
            <w:r w:rsidRPr="008913B8">
              <w:rPr>
                <w:sz w:val="20"/>
                <w:szCs w:val="20"/>
              </w:rPr>
              <w:t>0.921***</w:t>
            </w:r>
          </w:p>
        </w:tc>
      </w:tr>
      <w:tr w:rsidR="00E222F0" w:rsidRPr="008913B8" w14:paraId="05E64847" w14:textId="77777777" w:rsidTr="00E222F0">
        <w:tc>
          <w:tcPr>
            <w:tcW w:w="1795" w:type="dxa"/>
          </w:tcPr>
          <w:p w14:paraId="748F5146" w14:textId="77777777" w:rsidR="00C60B76" w:rsidRPr="008913B8" w:rsidRDefault="00C60B76" w:rsidP="004B6B79">
            <w:pPr>
              <w:pStyle w:val="Newparagraph"/>
              <w:spacing w:line="240" w:lineRule="auto"/>
              <w:ind w:firstLine="0"/>
              <w:rPr>
                <w:sz w:val="20"/>
                <w:szCs w:val="20"/>
              </w:rPr>
            </w:pPr>
          </w:p>
        </w:tc>
        <w:tc>
          <w:tcPr>
            <w:tcW w:w="1698" w:type="dxa"/>
          </w:tcPr>
          <w:p w14:paraId="392DF19A" w14:textId="77777777" w:rsidR="00C60B76" w:rsidRPr="008913B8" w:rsidRDefault="00C60B76" w:rsidP="004B6B79">
            <w:pPr>
              <w:pStyle w:val="Newparagraph"/>
              <w:spacing w:line="240" w:lineRule="auto"/>
              <w:ind w:firstLine="0"/>
              <w:jc w:val="center"/>
              <w:rPr>
                <w:sz w:val="20"/>
                <w:szCs w:val="20"/>
              </w:rPr>
            </w:pPr>
          </w:p>
        </w:tc>
        <w:tc>
          <w:tcPr>
            <w:tcW w:w="1730" w:type="dxa"/>
          </w:tcPr>
          <w:p w14:paraId="329A6E7F" w14:textId="25F309A7" w:rsidR="00C60B76" w:rsidRPr="008913B8" w:rsidRDefault="00C60B76" w:rsidP="004B6B79">
            <w:pPr>
              <w:pStyle w:val="Newparagraph"/>
              <w:spacing w:line="240" w:lineRule="auto"/>
              <w:ind w:firstLine="0"/>
              <w:jc w:val="center"/>
              <w:rPr>
                <w:sz w:val="20"/>
                <w:szCs w:val="20"/>
              </w:rPr>
            </w:pPr>
            <w:r w:rsidRPr="008913B8">
              <w:rPr>
                <w:sz w:val="20"/>
                <w:szCs w:val="20"/>
              </w:rPr>
              <w:t>(0.02)</w:t>
            </w:r>
          </w:p>
        </w:tc>
        <w:tc>
          <w:tcPr>
            <w:tcW w:w="1710" w:type="dxa"/>
          </w:tcPr>
          <w:p w14:paraId="698DD7E6" w14:textId="77C60044" w:rsidR="00C60B76" w:rsidRPr="008913B8" w:rsidRDefault="00C60B76" w:rsidP="004B6B79">
            <w:pPr>
              <w:pStyle w:val="Newparagraph"/>
              <w:spacing w:line="240" w:lineRule="auto"/>
              <w:ind w:firstLine="0"/>
              <w:jc w:val="center"/>
              <w:rPr>
                <w:sz w:val="20"/>
                <w:szCs w:val="20"/>
              </w:rPr>
            </w:pPr>
            <w:r w:rsidRPr="008913B8">
              <w:rPr>
                <w:sz w:val="20"/>
                <w:szCs w:val="20"/>
              </w:rPr>
              <w:t>(0.02)</w:t>
            </w:r>
          </w:p>
        </w:tc>
        <w:tc>
          <w:tcPr>
            <w:tcW w:w="1530" w:type="dxa"/>
          </w:tcPr>
          <w:p w14:paraId="01A083A0" w14:textId="02051E2D" w:rsidR="00C60B76" w:rsidRPr="008913B8" w:rsidRDefault="00C60B76" w:rsidP="004B6B79">
            <w:pPr>
              <w:pStyle w:val="Newparagraph"/>
              <w:spacing w:line="240" w:lineRule="auto"/>
              <w:ind w:firstLine="0"/>
              <w:jc w:val="center"/>
              <w:rPr>
                <w:sz w:val="20"/>
                <w:szCs w:val="20"/>
              </w:rPr>
            </w:pPr>
            <w:r w:rsidRPr="008913B8">
              <w:rPr>
                <w:sz w:val="20"/>
                <w:szCs w:val="20"/>
              </w:rPr>
              <w:t>(0.02)</w:t>
            </w:r>
          </w:p>
        </w:tc>
      </w:tr>
      <w:tr w:rsidR="00E222F0" w:rsidRPr="008913B8" w14:paraId="1416919A" w14:textId="77777777" w:rsidTr="00E222F0">
        <w:tc>
          <w:tcPr>
            <w:tcW w:w="1795" w:type="dxa"/>
          </w:tcPr>
          <w:p w14:paraId="6E6F7347" w14:textId="5B1CF019" w:rsidR="00C60B76" w:rsidRPr="008913B8" w:rsidRDefault="00C60B76" w:rsidP="004B6B79">
            <w:pPr>
              <w:pStyle w:val="Newparagraph"/>
              <w:spacing w:line="240" w:lineRule="auto"/>
              <w:ind w:firstLine="0"/>
              <w:rPr>
                <w:sz w:val="20"/>
                <w:szCs w:val="20"/>
              </w:rPr>
            </w:pPr>
            <w:r w:rsidRPr="008913B8">
              <w:rPr>
                <w:sz w:val="20"/>
                <w:szCs w:val="20"/>
              </w:rPr>
              <w:t>scholagechild</w:t>
            </w:r>
          </w:p>
        </w:tc>
        <w:tc>
          <w:tcPr>
            <w:tcW w:w="1698" w:type="dxa"/>
          </w:tcPr>
          <w:p w14:paraId="44A66BED" w14:textId="760BC9D5" w:rsidR="00C60B76" w:rsidRPr="008913B8" w:rsidRDefault="00C60B76" w:rsidP="004B6B79">
            <w:pPr>
              <w:pStyle w:val="Newparagraph"/>
              <w:spacing w:line="240" w:lineRule="auto"/>
              <w:ind w:firstLine="0"/>
              <w:jc w:val="center"/>
              <w:rPr>
                <w:sz w:val="20"/>
                <w:szCs w:val="20"/>
              </w:rPr>
            </w:pPr>
            <w:r w:rsidRPr="008913B8">
              <w:rPr>
                <w:sz w:val="20"/>
                <w:szCs w:val="20"/>
              </w:rPr>
              <w:t>---</w:t>
            </w:r>
          </w:p>
        </w:tc>
        <w:tc>
          <w:tcPr>
            <w:tcW w:w="1730" w:type="dxa"/>
          </w:tcPr>
          <w:p w14:paraId="3F874AB9" w14:textId="28CBEE40" w:rsidR="00C60B76" w:rsidRPr="008913B8" w:rsidRDefault="00C60B76" w:rsidP="004B6B79">
            <w:pPr>
              <w:pStyle w:val="Newparagraph"/>
              <w:spacing w:line="240" w:lineRule="auto"/>
              <w:ind w:firstLine="0"/>
              <w:jc w:val="center"/>
              <w:rPr>
                <w:sz w:val="20"/>
                <w:szCs w:val="20"/>
              </w:rPr>
            </w:pPr>
            <w:r w:rsidRPr="008913B8">
              <w:rPr>
                <w:sz w:val="20"/>
                <w:szCs w:val="20"/>
              </w:rPr>
              <w:t>1.096**</w:t>
            </w:r>
          </w:p>
        </w:tc>
        <w:tc>
          <w:tcPr>
            <w:tcW w:w="1710" w:type="dxa"/>
          </w:tcPr>
          <w:p w14:paraId="444A7D10" w14:textId="0DF9F8B1" w:rsidR="00C60B76" w:rsidRPr="008913B8" w:rsidRDefault="00C60B76" w:rsidP="004B6B79">
            <w:pPr>
              <w:pStyle w:val="Newparagraph"/>
              <w:spacing w:line="240" w:lineRule="auto"/>
              <w:ind w:firstLine="0"/>
              <w:jc w:val="center"/>
              <w:rPr>
                <w:sz w:val="20"/>
                <w:szCs w:val="20"/>
              </w:rPr>
            </w:pPr>
            <w:r w:rsidRPr="008913B8">
              <w:rPr>
                <w:sz w:val="20"/>
                <w:szCs w:val="20"/>
              </w:rPr>
              <w:t>1.109**</w:t>
            </w:r>
          </w:p>
        </w:tc>
        <w:tc>
          <w:tcPr>
            <w:tcW w:w="1530" w:type="dxa"/>
          </w:tcPr>
          <w:p w14:paraId="78ACB131" w14:textId="327FE810" w:rsidR="00C60B76" w:rsidRPr="008913B8" w:rsidRDefault="00C60B76" w:rsidP="004B6B79">
            <w:pPr>
              <w:pStyle w:val="Newparagraph"/>
              <w:spacing w:line="240" w:lineRule="auto"/>
              <w:ind w:firstLine="0"/>
              <w:jc w:val="center"/>
              <w:rPr>
                <w:sz w:val="20"/>
                <w:szCs w:val="20"/>
              </w:rPr>
            </w:pPr>
            <w:r w:rsidRPr="008913B8">
              <w:rPr>
                <w:sz w:val="20"/>
                <w:szCs w:val="20"/>
              </w:rPr>
              <w:t>1.108**</w:t>
            </w:r>
          </w:p>
        </w:tc>
      </w:tr>
      <w:tr w:rsidR="00E222F0" w:rsidRPr="008913B8" w14:paraId="07A08D58" w14:textId="77777777" w:rsidTr="00E222F0">
        <w:tc>
          <w:tcPr>
            <w:tcW w:w="1795" w:type="dxa"/>
          </w:tcPr>
          <w:p w14:paraId="40DC6A88" w14:textId="77777777" w:rsidR="00C60B76" w:rsidRPr="008913B8" w:rsidRDefault="00C60B76" w:rsidP="00C60B76">
            <w:pPr>
              <w:pStyle w:val="Newparagraph"/>
              <w:spacing w:line="240" w:lineRule="auto"/>
              <w:ind w:firstLine="0"/>
              <w:rPr>
                <w:sz w:val="20"/>
                <w:szCs w:val="20"/>
              </w:rPr>
            </w:pPr>
          </w:p>
        </w:tc>
        <w:tc>
          <w:tcPr>
            <w:tcW w:w="1698" w:type="dxa"/>
          </w:tcPr>
          <w:p w14:paraId="62EFB5FA" w14:textId="77777777" w:rsidR="00C60B76" w:rsidRPr="008913B8" w:rsidRDefault="00C60B76" w:rsidP="00C60B76">
            <w:pPr>
              <w:pStyle w:val="Newparagraph"/>
              <w:spacing w:line="240" w:lineRule="auto"/>
              <w:ind w:firstLine="0"/>
              <w:jc w:val="center"/>
              <w:rPr>
                <w:sz w:val="20"/>
                <w:szCs w:val="20"/>
              </w:rPr>
            </w:pPr>
          </w:p>
        </w:tc>
        <w:tc>
          <w:tcPr>
            <w:tcW w:w="1730" w:type="dxa"/>
          </w:tcPr>
          <w:p w14:paraId="2125181B" w14:textId="7F603169" w:rsidR="00C60B76" w:rsidRPr="008913B8" w:rsidRDefault="00C60B76" w:rsidP="00C60B76">
            <w:pPr>
              <w:pStyle w:val="Newparagraph"/>
              <w:spacing w:line="240" w:lineRule="auto"/>
              <w:ind w:firstLine="0"/>
              <w:jc w:val="center"/>
              <w:rPr>
                <w:sz w:val="20"/>
                <w:szCs w:val="20"/>
              </w:rPr>
            </w:pPr>
            <w:r w:rsidRPr="008913B8">
              <w:rPr>
                <w:sz w:val="20"/>
                <w:szCs w:val="20"/>
              </w:rPr>
              <w:t>(0.05)</w:t>
            </w:r>
          </w:p>
        </w:tc>
        <w:tc>
          <w:tcPr>
            <w:tcW w:w="1710" w:type="dxa"/>
          </w:tcPr>
          <w:p w14:paraId="271A86F2" w14:textId="285479B0" w:rsidR="00C60B76" w:rsidRPr="008913B8" w:rsidRDefault="00C60B76" w:rsidP="00C60B76">
            <w:pPr>
              <w:pStyle w:val="Newparagraph"/>
              <w:spacing w:line="240" w:lineRule="auto"/>
              <w:ind w:firstLine="0"/>
              <w:jc w:val="center"/>
              <w:rPr>
                <w:sz w:val="20"/>
                <w:szCs w:val="20"/>
              </w:rPr>
            </w:pPr>
            <w:r w:rsidRPr="008913B8">
              <w:rPr>
                <w:sz w:val="20"/>
                <w:szCs w:val="20"/>
              </w:rPr>
              <w:t>(0.05)</w:t>
            </w:r>
          </w:p>
        </w:tc>
        <w:tc>
          <w:tcPr>
            <w:tcW w:w="1530" w:type="dxa"/>
          </w:tcPr>
          <w:p w14:paraId="3FB7C22A" w14:textId="4BCD282F" w:rsidR="00C60B76" w:rsidRPr="008913B8" w:rsidRDefault="00C60B76" w:rsidP="00C60B76">
            <w:pPr>
              <w:pStyle w:val="Newparagraph"/>
              <w:spacing w:line="240" w:lineRule="auto"/>
              <w:ind w:firstLine="0"/>
              <w:jc w:val="center"/>
              <w:rPr>
                <w:sz w:val="20"/>
                <w:szCs w:val="20"/>
              </w:rPr>
            </w:pPr>
            <w:r w:rsidRPr="008913B8">
              <w:rPr>
                <w:sz w:val="20"/>
                <w:szCs w:val="20"/>
              </w:rPr>
              <w:t>(0.05)</w:t>
            </w:r>
          </w:p>
        </w:tc>
      </w:tr>
      <w:tr w:rsidR="00C60B76" w:rsidRPr="008913B8" w14:paraId="3FE2F731" w14:textId="77777777" w:rsidTr="00E222F0">
        <w:tc>
          <w:tcPr>
            <w:tcW w:w="1795" w:type="dxa"/>
          </w:tcPr>
          <w:p w14:paraId="5B1F3C16" w14:textId="29A98213" w:rsidR="00C60B76" w:rsidRPr="008913B8" w:rsidRDefault="00C60B76" w:rsidP="00C60B76">
            <w:pPr>
              <w:pStyle w:val="Newparagraph"/>
              <w:spacing w:line="240" w:lineRule="auto"/>
              <w:ind w:firstLine="0"/>
              <w:rPr>
                <w:sz w:val="20"/>
                <w:szCs w:val="20"/>
              </w:rPr>
            </w:pPr>
            <w:r w:rsidRPr="008913B8">
              <w:rPr>
                <w:sz w:val="20"/>
                <w:szCs w:val="20"/>
              </w:rPr>
              <w:t>hh-cct</w:t>
            </w:r>
          </w:p>
        </w:tc>
        <w:tc>
          <w:tcPr>
            <w:tcW w:w="1698" w:type="dxa"/>
          </w:tcPr>
          <w:p w14:paraId="5850FB7F" w14:textId="0D2EAD46" w:rsidR="00C60B76" w:rsidRPr="008913B8" w:rsidRDefault="00C60B76" w:rsidP="00C60B76">
            <w:pPr>
              <w:pStyle w:val="Newparagraph"/>
              <w:spacing w:line="240" w:lineRule="auto"/>
              <w:ind w:firstLine="0"/>
              <w:jc w:val="center"/>
              <w:rPr>
                <w:sz w:val="20"/>
                <w:szCs w:val="20"/>
              </w:rPr>
            </w:pPr>
            <w:r w:rsidRPr="008913B8">
              <w:rPr>
                <w:sz w:val="20"/>
                <w:szCs w:val="20"/>
              </w:rPr>
              <w:t>---</w:t>
            </w:r>
          </w:p>
        </w:tc>
        <w:tc>
          <w:tcPr>
            <w:tcW w:w="1730" w:type="dxa"/>
          </w:tcPr>
          <w:p w14:paraId="35CD195E" w14:textId="5B718DA1" w:rsidR="00C60B76" w:rsidRPr="008913B8" w:rsidRDefault="00C60B76" w:rsidP="00C60B76">
            <w:pPr>
              <w:pStyle w:val="Newparagraph"/>
              <w:spacing w:line="240" w:lineRule="auto"/>
              <w:ind w:firstLine="0"/>
              <w:jc w:val="center"/>
              <w:rPr>
                <w:sz w:val="20"/>
                <w:szCs w:val="20"/>
              </w:rPr>
            </w:pPr>
            <w:r w:rsidRPr="008913B8">
              <w:rPr>
                <w:sz w:val="20"/>
                <w:szCs w:val="20"/>
              </w:rPr>
              <w:t>0.980</w:t>
            </w:r>
          </w:p>
        </w:tc>
        <w:tc>
          <w:tcPr>
            <w:tcW w:w="1710" w:type="dxa"/>
          </w:tcPr>
          <w:p w14:paraId="18530A03" w14:textId="2E53399F" w:rsidR="00C60B76" w:rsidRPr="008913B8" w:rsidRDefault="00C60B76" w:rsidP="00C60B76">
            <w:pPr>
              <w:pStyle w:val="Newparagraph"/>
              <w:spacing w:line="240" w:lineRule="auto"/>
              <w:ind w:firstLine="0"/>
              <w:jc w:val="center"/>
              <w:rPr>
                <w:sz w:val="20"/>
                <w:szCs w:val="20"/>
              </w:rPr>
            </w:pPr>
            <w:r w:rsidRPr="008913B8">
              <w:rPr>
                <w:sz w:val="20"/>
                <w:szCs w:val="20"/>
              </w:rPr>
              <w:t>0.969</w:t>
            </w:r>
          </w:p>
        </w:tc>
        <w:tc>
          <w:tcPr>
            <w:tcW w:w="1530" w:type="dxa"/>
          </w:tcPr>
          <w:p w14:paraId="44B3C6EB" w14:textId="49D66453" w:rsidR="00C60B76" w:rsidRPr="008913B8" w:rsidRDefault="00C60B76" w:rsidP="00C60B76">
            <w:pPr>
              <w:pStyle w:val="Newparagraph"/>
              <w:spacing w:line="240" w:lineRule="auto"/>
              <w:ind w:firstLine="0"/>
              <w:jc w:val="center"/>
              <w:rPr>
                <w:sz w:val="20"/>
                <w:szCs w:val="20"/>
              </w:rPr>
            </w:pPr>
            <w:r w:rsidRPr="008913B8">
              <w:rPr>
                <w:sz w:val="20"/>
                <w:szCs w:val="20"/>
              </w:rPr>
              <w:t>0.952</w:t>
            </w:r>
          </w:p>
        </w:tc>
      </w:tr>
      <w:tr w:rsidR="00C60B76" w:rsidRPr="008913B8" w14:paraId="4A6080EA" w14:textId="77777777" w:rsidTr="00E222F0">
        <w:tc>
          <w:tcPr>
            <w:tcW w:w="1795" w:type="dxa"/>
          </w:tcPr>
          <w:p w14:paraId="0131FA22" w14:textId="77777777" w:rsidR="00C60B76" w:rsidRPr="008913B8" w:rsidRDefault="00C60B76" w:rsidP="00C60B76">
            <w:pPr>
              <w:pStyle w:val="Newparagraph"/>
              <w:spacing w:line="240" w:lineRule="auto"/>
              <w:ind w:firstLine="0"/>
              <w:rPr>
                <w:sz w:val="20"/>
                <w:szCs w:val="20"/>
              </w:rPr>
            </w:pPr>
          </w:p>
        </w:tc>
        <w:tc>
          <w:tcPr>
            <w:tcW w:w="1698" w:type="dxa"/>
          </w:tcPr>
          <w:p w14:paraId="755589F8" w14:textId="77777777" w:rsidR="00C60B76" w:rsidRPr="008913B8" w:rsidRDefault="00C60B76" w:rsidP="00C60B76">
            <w:pPr>
              <w:pStyle w:val="Newparagraph"/>
              <w:spacing w:line="240" w:lineRule="auto"/>
              <w:ind w:firstLine="0"/>
              <w:jc w:val="center"/>
              <w:rPr>
                <w:sz w:val="20"/>
                <w:szCs w:val="20"/>
              </w:rPr>
            </w:pPr>
          </w:p>
        </w:tc>
        <w:tc>
          <w:tcPr>
            <w:tcW w:w="1730" w:type="dxa"/>
          </w:tcPr>
          <w:p w14:paraId="6D9AE1F5" w14:textId="3A562209" w:rsidR="00C60B76" w:rsidRPr="008913B8" w:rsidRDefault="00C60B76" w:rsidP="00C60B76">
            <w:pPr>
              <w:pStyle w:val="Newparagraph"/>
              <w:spacing w:line="240" w:lineRule="auto"/>
              <w:ind w:firstLine="0"/>
              <w:jc w:val="center"/>
              <w:rPr>
                <w:sz w:val="20"/>
                <w:szCs w:val="20"/>
              </w:rPr>
            </w:pPr>
            <w:r w:rsidRPr="008913B8">
              <w:rPr>
                <w:sz w:val="20"/>
                <w:szCs w:val="20"/>
              </w:rPr>
              <w:t>(0.12)</w:t>
            </w:r>
          </w:p>
        </w:tc>
        <w:tc>
          <w:tcPr>
            <w:tcW w:w="1710" w:type="dxa"/>
          </w:tcPr>
          <w:p w14:paraId="69DB6AEA" w14:textId="1564773B" w:rsidR="00C60B76" w:rsidRPr="008913B8" w:rsidRDefault="00C60B76" w:rsidP="00C60B76">
            <w:pPr>
              <w:pStyle w:val="Newparagraph"/>
              <w:spacing w:line="240" w:lineRule="auto"/>
              <w:ind w:firstLine="0"/>
              <w:jc w:val="center"/>
              <w:rPr>
                <w:sz w:val="20"/>
                <w:szCs w:val="20"/>
              </w:rPr>
            </w:pPr>
            <w:r w:rsidRPr="008913B8">
              <w:rPr>
                <w:sz w:val="20"/>
                <w:szCs w:val="20"/>
              </w:rPr>
              <w:t>(0.13)</w:t>
            </w:r>
          </w:p>
        </w:tc>
        <w:tc>
          <w:tcPr>
            <w:tcW w:w="1530" w:type="dxa"/>
          </w:tcPr>
          <w:p w14:paraId="21A1770A" w14:textId="4A3EE29B" w:rsidR="00C60B76" w:rsidRPr="008913B8" w:rsidRDefault="00C60B76" w:rsidP="00C60B76">
            <w:pPr>
              <w:pStyle w:val="Newparagraph"/>
              <w:spacing w:line="240" w:lineRule="auto"/>
              <w:ind w:firstLine="0"/>
              <w:jc w:val="center"/>
              <w:rPr>
                <w:sz w:val="20"/>
                <w:szCs w:val="20"/>
              </w:rPr>
            </w:pPr>
            <w:r w:rsidRPr="008913B8">
              <w:rPr>
                <w:sz w:val="20"/>
                <w:szCs w:val="20"/>
              </w:rPr>
              <w:t>(0.12)</w:t>
            </w:r>
          </w:p>
        </w:tc>
      </w:tr>
      <w:tr w:rsidR="00C60B76" w:rsidRPr="008913B8" w14:paraId="7A9EAF7D" w14:textId="77777777" w:rsidTr="00E222F0">
        <w:tc>
          <w:tcPr>
            <w:tcW w:w="1795" w:type="dxa"/>
          </w:tcPr>
          <w:p w14:paraId="733E7961" w14:textId="695790D0" w:rsidR="00C60B76" w:rsidRPr="008913B8" w:rsidRDefault="00C60B76" w:rsidP="00C60B76">
            <w:pPr>
              <w:pStyle w:val="Newparagraph"/>
              <w:spacing w:line="240" w:lineRule="auto"/>
              <w:ind w:firstLine="0"/>
              <w:rPr>
                <w:sz w:val="20"/>
                <w:szCs w:val="20"/>
              </w:rPr>
            </w:pPr>
            <w:r w:rsidRPr="008913B8">
              <w:rPr>
                <w:sz w:val="20"/>
                <w:szCs w:val="20"/>
              </w:rPr>
              <w:t>wealth-index</w:t>
            </w:r>
          </w:p>
        </w:tc>
        <w:tc>
          <w:tcPr>
            <w:tcW w:w="1698" w:type="dxa"/>
          </w:tcPr>
          <w:p w14:paraId="3EC37F6A" w14:textId="5BDCC5AC" w:rsidR="00C60B76" w:rsidRPr="008913B8" w:rsidRDefault="00C60B76" w:rsidP="00C60B76">
            <w:pPr>
              <w:pStyle w:val="Newparagraph"/>
              <w:spacing w:line="240" w:lineRule="auto"/>
              <w:ind w:firstLine="0"/>
              <w:jc w:val="center"/>
              <w:rPr>
                <w:sz w:val="20"/>
                <w:szCs w:val="20"/>
              </w:rPr>
            </w:pPr>
            <w:r w:rsidRPr="008913B8">
              <w:rPr>
                <w:sz w:val="20"/>
                <w:szCs w:val="20"/>
              </w:rPr>
              <w:t>---</w:t>
            </w:r>
          </w:p>
        </w:tc>
        <w:tc>
          <w:tcPr>
            <w:tcW w:w="1730" w:type="dxa"/>
          </w:tcPr>
          <w:p w14:paraId="6CFBE50A" w14:textId="734634A4" w:rsidR="00C60B76" w:rsidRPr="008913B8" w:rsidRDefault="00C60B76" w:rsidP="00C60B76">
            <w:pPr>
              <w:pStyle w:val="Newparagraph"/>
              <w:spacing w:line="240" w:lineRule="auto"/>
              <w:ind w:firstLine="0"/>
              <w:jc w:val="center"/>
              <w:rPr>
                <w:sz w:val="20"/>
                <w:szCs w:val="20"/>
              </w:rPr>
            </w:pPr>
            <w:r w:rsidRPr="008913B8">
              <w:rPr>
                <w:sz w:val="20"/>
                <w:szCs w:val="20"/>
              </w:rPr>
              <w:t xml:space="preserve">0.772*** </w:t>
            </w:r>
          </w:p>
        </w:tc>
        <w:tc>
          <w:tcPr>
            <w:tcW w:w="1710" w:type="dxa"/>
          </w:tcPr>
          <w:p w14:paraId="168EA12E" w14:textId="675E6A24" w:rsidR="00C60B76" w:rsidRPr="008913B8" w:rsidRDefault="00C60B76" w:rsidP="00C60B76">
            <w:pPr>
              <w:pStyle w:val="Newparagraph"/>
              <w:spacing w:line="240" w:lineRule="auto"/>
              <w:ind w:firstLine="0"/>
              <w:jc w:val="center"/>
              <w:rPr>
                <w:sz w:val="20"/>
                <w:szCs w:val="20"/>
              </w:rPr>
            </w:pPr>
            <w:r w:rsidRPr="008913B8">
              <w:rPr>
                <w:sz w:val="20"/>
                <w:szCs w:val="20"/>
              </w:rPr>
              <w:t>0.774***</w:t>
            </w:r>
          </w:p>
        </w:tc>
        <w:tc>
          <w:tcPr>
            <w:tcW w:w="1530" w:type="dxa"/>
          </w:tcPr>
          <w:p w14:paraId="78CA0E97" w14:textId="2C1ADCF1" w:rsidR="00C60B76" w:rsidRPr="008913B8" w:rsidRDefault="00C60B76" w:rsidP="00C60B76">
            <w:pPr>
              <w:pStyle w:val="Newparagraph"/>
              <w:spacing w:line="240" w:lineRule="auto"/>
              <w:ind w:firstLine="0"/>
              <w:jc w:val="center"/>
              <w:rPr>
                <w:sz w:val="20"/>
                <w:szCs w:val="20"/>
              </w:rPr>
            </w:pPr>
            <w:r w:rsidRPr="008913B8">
              <w:rPr>
                <w:sz w:val="20"/>
                <w:szCs w:val="20"/>
              </w:rPr>
              <w:t>0.769***</w:t>
            </w:r>
          </w:p>
        </w:tc>
      </w:tr>
      <w:tr w:rsidR="00C60B76" w:rsidRPr="008913B8" w14:paraId="3117A64B" w14:textId="77777777" w:rsidTr="00E222F0">
        <w:tc>
          <w:tcPr>
            <w:tcW w:w="1795" w:type="dxa"/>
          </w:tcPr>
          <w:p w14:paraId="34BF3955" w14:textId="77777777" w:rsidR="00C60B76" w:rsidRPr="008913B8" w:rsidRDefault="00C60B76" w:rsidP="00C60B76">
            <w:pPr>
              <w:pStyle w:val="Newparagraph"/>
              <w:spacing w:line="240" w:lineRule="auto"/>
              <w:ind w:firstLine="0"/>
              <w:rPr>
                <w:sz w:val="20"/>
                <w:szCs w:val="20"/>
              </w:rPr>
            </w:pPr>
          </w:p>
        </w:tc>
        <w:tc>
          <w:tcPr>
            <w:tcW w:w="1698" w:type="dxa"/>
          </w:tcPr>
          <w:p w14:paraId="27075383" w14:textId="77777777" w:rsidR="00C60B76" w:rsidRPr="008913B8" w:rsidRDefault="00C60B76" w:rsidP="00C60B76">
            <w:pPr>
              <w:pStyle w:val="Newparagraph"/>
              <w:spacing w:line="240" w:lineRule="auto"/>
              <w:ind w:firstLine="0"/>
              <w:jc w:val="center"/>
              <w:rPr>
                <w:sz w:val="20"/>
                <w:szCs w:val="20"/>
              </w:rPr>
            </w:pPr>
          </w:p>
        </w:tc>
        <w:tc>
          <w:tcPr>
            <w:tcW w:w="1730" w:type="dxa"/>
          </w:tcPr>
          <w:p w14:paraId="5F1B9610" w14:textId="514CEB77" w:rsidR="00C60B76" w:rsidRPr="008913B8" w:rsidRDefault="00C60B76" w:rsidP="00C60B76">
            <w:pPr>
              <w:pStyle w:val="Newparagraph"/>
              <w:spacing w:line="240" w:lineRule="auto"/>
              <w:ind w:firstLine="0"/>
              <w:jc w:val="center"/>
              <w:rPr>
                <w:sz w:val="20"/>
                <w:szCs w:val="20"/>
              </w:rPr>
            </w:pPr>
            <w:r w:rsidRPr="008913B8">
              <w:rPr>
                <w:sz w:val="20"/>
                <w:szCs w:val="20"/>
              </w:rPr>
              <w:t>(0.03)</w:t>
            </w:r>
          </w:p>
        </w:tc>
        <w:tc>
          <w:tcPr>
            <w:tcW w:w="1710" w:type="dxa"/>
          </w:tcPr>
          <w:p w14:paraId="4058DCF9" w14:textId="0EF227D9" w:rsidR="00C60B76" w:rsidRPr="008913B8" w:rsidRDefault="00C60B76" w:rsidP="00C60B76">
            <w:pPr>
              <w:pStyle w:val="Newparagraph"/>
              <w:spacing w:line="240" w:lineRule="auto"/>
              <w:ind w:firstLine="0"/>
              <w:jc w:val="center"/>
              <w:rPr>
                <w:sz w:val="20"/>
                <w:szCs w:val="20"/>
              </w:rPr>
            </w:pPr>
            <w:r w:rsidRPr="008913B8">
              <w:rPr>
                <w:sz w:val="20"/>
                <w:szCs w:val="20"/>
              </w:rPr>
              <w:t>(0.03)</w:t>
            </w:r>
          </w:p>
        </w:tc>
        <w:tc>
          <w:tcPr>
            <w:tcW w:w="1530" w:type="dxa"/>
          </w:tcPr>
          <w:p w14:paraId="2C220B48" w14:textId="7AEF6DB8" w:rsidR="00C60B76" w:rsidRPr="008913B8" w:rsidRDefault="00C60B76" w:rsidP="00C60B76">
            <w:pPr>
              <w:pStyle w:val="Newparagraph"/>
              <w:spacing w:line="240" w:lineRule="auto"/>
              <w:ind w:firstLine="0"/>
              <w:jc w:val="center"/>
              <w:rPr>
                <w:sz w:val="20"/>
                <w:szCs w:val="20"/>
              </w:rPr>
            </w:pPr>
            <w:r w:rsidRPr="008913B8">
              <w:rPr>
                <w:sz w:val="20"/>
                <w:szCs w:val="20"/>
              </w:rPr>
              <w:t>(0.03)</w:t>
            </w:r>
          </w:p>
        </w:tc>
      </w:tr>
      <w:tr w:rsidR="00C60B76" w:rsidRPr="008913B8" w14:paraId="38E97A26" w14:textId="77777777" w:rsidTr="00E222F0">
        <w:tc>
          <w:tcPr>
            <w:tcW w:w="1795" w:type="dxa"/>
          </w:tcPr>
          <w:p w14:paraId="73535C9E" w14:textId="27A1DB1B" w:rsidR="00C60B76" w:rsidRPr="008913B8" w:rsidRDefault="00C60B76" w:rsidP="00C60B76">
            <w:pPr>
              <w:pStyle w:val="Newparagraph"/>
              <w:spacing w:line="240" w:lineRule="auto"/>
              <w:ind w:firstLine="0"/>
              <w:rPr>
                <w:sz w:val="20"/>
                <w:szCs w:val="20"/>
              </w:rPr>
            </w:pPr>
            <w:r w:rsidRPr="008913B8">
              <w:rPr>
                <w:sz w:val="20"/>
                <w:szCs w:val="20"/>
              </w:rPr>
              <w:t>income-shocks</w:t>
            </w:r>
          </w:p>
        </w:tc>
        <w:tc>
          <w:tcPr>
            <w:tcW w:w="1698" w:type="dxa"/>
          </w:tcPr>
          <w:p w14:paraId="6014FD47" w14:textId="3F98396A" w:rsidR="00C60B76" w:rsidRPr="008913B8" w:rsidRDefault="00C60B76" w:rsidP="00C60B76">
            <w:pPr>
              <w:pStyle w:val="Newparagraph"/>
              <w:spacing w:line="240" w:lineRule="auto"/>
              <w:ind w:firstLine="0"/>
              <w:jc w:val="center"/>
              <w:rPr>
                <w:sz w:val="20"/>
                <w:szCs w:val="20"/>
              </w:rPr>
            </w:pPr>
            <w:r w:rsidRPr="008913B8">
              <w:rPr>
                <w:sz w:val="20"/>
                <w:szCs w:val="20"/>
              </w:rPr>
              <w:t>---</w:t>
            </w:r>
          </w:p>
        </w:tc>
        <w:tc>
          <w:tcPr>
            <w:tcW w:w="1730" w:type="dxa"/>
          </w:tcPr>
          <w:p w14:paraId="20456B94" w14:textId="4DDF80DB" w:rsidR="00C60B76" w:rsidRPr="008913B8" w:rsidRDefault="00C60B76" w:rsidP="00C60B76">
            <w:pPr>
              <w:pStyle w:val="Newparagraph"/>
              <w:spacing w:line="240" w:lineRule="auto"/>
              <w:ind w:firstLine="0"/>
              <w:jc w:val="center"/>
              <w:rPr>
                <w:sz w:val="20"/>
                <w:szCs w:val="20"/>
              </w:rPr>
            </w:pPr>
            <w:r w:rsidRPr="008913B8">
              <w:rPr>
                <w:sz w:val="20"/>
                <w:szCs w:val="20"/>
              </w:rPr>
              <w:t>---</w:t>
            </w:r>
          </w:p>
        </w:tc>
        <w:tc>
          <w:tcPr>
            <w:tcW w:w="1710" w:type="dxa"/>
          </w:tcPr>
          <w:p w14:paraId="223CDDFD" w14:textId="125F3A3D" w:rsidR="00C60B76" w:rsidRPr="008913B8" w:rsidRDefault="00C60B76" w:rsidP="00C60B76">
            <w:pPr>
              <w:pStyle w:val="Newparagraph"/>
              <w:spacing w:line="240" w:lineRule="auto"/>
              <w:ind w:firstLine="0"/>
              <w:jc w:val="center"/>
              <w:rPr>
                <w:sz w:val="20"/>
                <w:szCs w:val="20"/>
              </w:rPr>
            </w:pPr>
            <w:r w:rsidRPr="008913B8">
              <w:rPr>
                <w:sz w:val="20"/>
                <w:szCs w:val="20"/>
              </w:rPr>
              <w:t>---</w:t>
            </w:r>
          </w:p>
        </w:tc>
        <w:tc>
          <w:tcPr>
            <w:tcW w:w="1530" w:type="dxa"/>
          </w:tcPr>
          <w:p w14:paraId="141D08DB" w14:textId="5142F58C" w:rsidR="00C60B76" w:rsidRPr="008913B8" w:rsidRDefault="00C60B76" w:rsidP="00C60B76">
            <w:pPr>
              <w:pStyle w:val="Newparagraph"/>
              <w:spacing w:line="240" w:lineRule="auto"/>
              <w:ind w:firstLine="0"/>
              <w:jc w:val="center"/>
              <w:rPr>
                <w:sz w:val="20"/>
                <w:szCs w:val="20"/>
              </w:rPr>
            </w:pPr>
            <w:r w:rsidRPr="008913B8">
              <w:rPr>
                <w:sz w:val="20"/>
                <w:szCs w:val="20"/>
              </w:rPr>
              <w:t>1.384</w:t>
            </w:r>
          </w:p>
        </w:tc>
      </w:tr>
      <w:tr w:rsidR="00C60B76" w:rsidRPr="008913B8" w14:paraId="58125927" w14:textId="77777777" w:rsidTr="00E222F0">
        <w:tc>
          <w:tcPr>
            <w:tcW w:w="1795" w:type="dxa"/>
          </w:tcPr>
          <w:p w14:paraId="6FFFCD4F" w14:textId="77777777" w:rsidR="00C60B76" w:rsidRPr="008913B8" w:rsidRDefault="00C60B76" w:rsidP="00C60B76">
            <w:pPr>
              <w:pStyle w:val="Newparagraph"/>
              <w:spacing w:line="240" w:lineRule="auto"/>
              <w:ind w:firstLine="0"/>
              <w:rPr>
                <w:sz w:val="20"/>
                <w:szCs w:val="20"/>
              </w:rPr>
            </w:pPr>
          </w:p>
        </w:tc>
        <w:tc>
          <w:tcPr>
            <w:tcW w:w="1698" w:type="dxa"/>
          </w:tcPr>
          <w:p w14:paraId="437430CE" w14:textId="77777777" w:rsidR="00C60B76" w:rsidRPr="008913B8" w:rsidRDefault="00C60B76" w:rsidP="00C60B76">
            <w:pPr>
              <w:pStyle w:val="Newparagraph"/>
              <w:spacing w:line="240" w:lineRule="auto"/>
              <w:ind w:firstLine="0"/>
              <w:jc w:val="center"/>
              <w:rPr>
                <w:sz w:val="20"/>
                <w:szCs w:val="20"/>
              </w:rPr>
            </w:pPr>
          </w:p>
        </w:tc>
        <w:tc>
          <w:tcPr>
            <w:tcW w:w="1730" w:type="dxa"/>
          </w:tcPr>
          <w:p w14:paraId="5B813842" w14:textId="77777777" w:rsidR="00C60B76" w:rsidRPr="008913B8" w:rsidRDefault="00C60B76" w:rsidP="00C60B76">
            <w:pPr>
              <w:pStyle w:val="Newparagraph"/>
              <w:spacing w:line="240" w:lineRule="auto"/>
              <w:ind w:firstLine="0"/>
              <w:jc w:val="center"/>
              <w:rPr>
                <w:sz w:val="20"/>
                <w:szCs w:val="20"/>
              </w:rPr>
            </w:pPr>
          </w:p>
        </w:tc>
        <w:tc>
          <w:tcPr>
            <w:tcW w:w="1710" w:type="dxa"/>
          </w:tcPr>
          <w:p w14:paraId="07582BA0" w14:textId="77777777" w:rsidR="00C60B76" w:rsidRPr="008913B8" w:rsidRDefault="00C60B76" w:rsidP="00C60B76">
            <w:pPr>
              <w:pStyle w:val="Newparagraph"/>
              <w:spacing w:line="240" w:lineRule="auto"/>
              <w:ind w:firstLine="0"/>
              <w:jc w:val="center"/>
              <w:rPr>
                <w:sz w:val="20"/>
                <w:szCs w:val="20"/>
              </w:rPr>
            </w:pPr>
          </w:p>
        </w:tc>
        <w:tc>
          <w:tcPr>
            <w:tcW w:w="1530" w:type="dxa"/>
          </w:tcPr>
          <w:p w14:paraId="5C8E3EF6" w14:textId="4B7B363B" w:rsidR="00C60B76" w:rsidRPr="008913B8" w:rsidRDefault="00C60B76" w:rsidP="00C60B76">
            <w:pPr>
              <w:pStyle w:val="Newparagraph"/>
              <w:spacing w:line="240" w:lineRule="auto"/>
              <w:ind w:firstLine="0"/>
              <w:jc w:val="center"/>
              <w:rPr>
                <w:sz w:val="20"/>
                <w:szCs w:val="20"/>
              </w:rPr>
            </w:pPr>
            <w:r w:rsidRPr="008913B8">
              <w:rPr>
                <w:sz w:val="20"/>
                <w:szCs w:val="20"/>
              </w:rPr>
              <w:t>(0.29)</w:t>
            </w:r>
          </w:p>
        </w:tc>
      </w:tr>
      <w:tr w:rsidR="008913B8" w:rsidRPr="008913B8" w14:paraId="309215C5" w14:textId="77777777" w:rsidTr="00E222F0">
        <w:tc>
          <w:tcPr>
            <w:tcW w:w="1795" w:type="dxa"/>
          </w:tcPr>
          <w:p w14:paraId="01C2129C" w14:textId="71E41654" w:rsidR="00C60B76" w:rsidRPr="008913B8" w:rsidRDefault="00C60B76" w:rsidP="00C60B76">
            <w:pPr>
              <w:pStyle w:val="Newparagraph"/>
              <w:spacing w:line="240" w:lineRule="auto"/>
              <w:ind w:firstLine="0"/>
              <w:rPr>
                <w:sz w:val="20"/>
                <w:szCs w:val="20"/>
              </w:rPr>
            </w:pPr>
            <w:r w:rsidRPr="008913B8">
              <w:rPr>
                <w:sz w:val="20"/>
                <w:szCs w:val="20"/>
              </w:rPr>
              <w:t>health-shocks</w:t>
            </w:r>
            <w:r w:rsidRPr="008913B8">
              <w:rPr>
                <w:sz w:val="20"/>
                <w:szCs w:val="20"/>
              </w:rPr>
              <w:tab/>
            </w:r>
          </w:p>
        </w:tc>
        <w:tc>
          <w:tcPr>
            <w:tcW w:w="1698" w:type="dxa"/>
          </w:tcPr>
          <w:p w14:paraId="0D5098D5" w14:textId="50DFA8FB" w:rsidR="00C60B76" w:rsidRPr="008913B8" w:rsidRDefault="00C60B76" w:rsidP="00C60B76">
            <w:pPr>
              <w:pStyle w:val="Newparagraph"/>
              <w:spacing w:line="240" w:lineRule="auto"/>
              <w:ind w:firstLine="0"/>
              <w:jc w:val="center"/>
              <w:rPr>
                <w:sz w:val="20"/>
                <w:szCs w:val="20"/>
              </w:rPr>
            </w:pPr>
            <w:r w:rsidRPr="008913B8">
              <w:rPr>
                <w:sz w:val="20"/>
                <w:szCs w:val="20"/>
              </w:rPr>
              <w:t>---</w:t>
            </w:r>
          </w:p>
        </w:tc>
        <w:tc>
          <w:tcPr>
            <w:tcW w:w="1730" w:type="dxa"/>
          </w:tcPr>
          <w:p w14:paraId="6803D2A9" w14:textId="2F627F8C" w:rsidR="00C60B76" w:rsidRPr="008913B8" w:rsidRDefault="00C60B76" w:rsidP="00C60B76">
            <w:pPr>
              <w:pStyle w:val="Newparagraph"/>
              <w:spacing w:line="240" w:lineRule="auto"/>
              <w:ind w:firstLine="0"/>
              <w:jc w:val="center"/>
              <w:rPr>
                <w:sz w:val="20"/>
                <w:szCs w:val="20"/>
              </w:rPr>
            </w:pPr>
            <w:r w:rsidRPr="008913B8">
              <w:rPr>
                <w:sz w:val="20"/>
                <w:szCs w:val="20"/>
              </w:rPr>
              <w:t>---</w:t>
            </w:r>
          </w:p>
        </w:tc>
        <w:tc>
          <w:tcPr>
            <w:tcW w:w="1710" w:type="dxa"/>
          </w:tcPr>
          <w:p w14:paraId="75B57F77" w14:textId="70C3F9F2" w:rsidR="00C60B76" w:rsidRPr="008913B8" w:rsidRDefault="00C60B76" w:rsidP="00C60B76">
            <w:pPr>
              <w:pStyle w:val="Newparagraph"/>
              <w:spacing w:line="240" w:lineRule="auto"/>
              <w:ind w:firstLine="0"/>
              <w:jc w:val="center"/>
              <w:rPr>
                <w:sz w:val="20"/>
                <w:szCs w:val="20"/>
              </w:rPr>
            </w:pPr>
            <w:r w:rsidRPr="008913B8">
              <w:rPr>
                <w:sz w:val="20"/>
                <w:szCs w:val="20"/>
              </w:rPr>
              <w:t>---</w:t>
            </w:r>
          </w:p>
        </w:tc>
        <w:tc>
          <w:tcPr>
            <w:tcW w:w="1530" w:type="dxa"/>
          </w:tcPr>
          <w:p w14:paraId="4EE7E03B" w14:textId="564419FE" w:rsidR="00C60B76" w:rsidRPr="008913B8" w:rsidRDefault="00C60B76" w:rsidP="00C60B76">
            <w:pPr>
              <w:pStyle w:val="Newparagraph"/>
              <w:spacing w:line="240" w:lineRule="auto"/>
              <w:ind w:firstLine="0"/>
              <w:jc w:val="center"/>
              <w:rPr>
                <w:sz w:val="20"/>
                <w:szCs w:val="20"/>
              </w:rPr>
            </w:pPr>
            <w:r w:rsidRPr="008913B8">
              <w:rPr>
                <w:sz w:val="20"/>
                <w:szCs w:val="20"/>
              </w:rPr>
              <w:t>1.256</w:t>
            </w:r>
          </w:p>
        </w:tc>
      </w:tr>
      <w:tr w:rsidR="008913B8" w:rsidRPr="008913B8" w14:paraId="35A6F1A1" w14:textId="77777777" w:rsidTr="00E222F0">
        <w:tc>
          <w:tcPr>
            <w:tcW w:w="1795" w:type="dxa"/>
          </w:tcPr>
          <w:p w14:paraId="6F59F457" w14:textId="77777777" w:rsidR="00C60B76" w:rsidRPr="008913B8" w:rsidRDefault="00C60B76" w:rsidP="00C60B76">
            <w:pPr>
              <w:pStyle w:val="Newparagraph"/>
              <w:spacing w:line="240" w:lineRule="auto"/>
              <w:ind w:firstLine="0"/>
              <w:rPr>
                <w:sz w:val="20"/>
                <w:szCs w:val="20"/>
              </w:rPr>
            </w:pPr>
          </w:p>
        </w:tc>
        <w:tc>
          <w:tcPr>
            <w:tcW w:w="1698" w:type="dxa"/>
          </w:tcPr>
          <w:p w14:paraId="68FF9C46" w14:textId="77777777" w:rsidR="00C60B76" w:rsidRPr="008913B8" w:rsidRDefault="00C60B76" w:rsidP="00C60B76">
            <w:pPr>
              <w:pStyle w:val="Newparagraph"/>
              <w:spacing w:line="240" w:lineRule="auto"/>
              <w:ind w:firstLine="0"/>
              <w:jc w:val="center"/>
              <w:rPr>
                <w:sz w:val="20"/>
                <w:szCs w:val="20"/>
              </w:rPr>
            </w:pPr>
          </w:p>
        </w:tc>
        <w:tc>
          <w:tcPr>
            <w:tcW w:w="1730" w:type="dxa"/>
          </w:tcPr>
          <w:p w14:paraId="311B0E36" w14:textId="77777777" w:rsidR="00C60B76" w:rsidRPr="008913B8" w:rsidRDefault="00C60B76" w:rsidP="00C60B76">
            <w:pPr>
              <w:pStyle w:val="Newparagraph"/>
              <w:spacing w:line="240" w:lineRule="auto"/>
              <w:ind w:firstLine="0"/>
              <w:jc w:val="center"/>
              <w:rPr>
                <w:sz w:val="20"/>
                <w:szCs w:val="20"/>
              </w:rPr>
            </w:pPr>
          </w:p>
        </w:tc>
        <w:tc>
          <w:tcPr>
            <w:tcW w:w="1710" w:type="dxa"/>
          </w:tcPr>
          <w:p w14:paraId="75FCECDB" w14:textId="77777777" w:rsidR="00C60B76" w:rsidRPr="008913B8" w:rsidRDefault="00C60B76" w:rsidP="00C60B76">
            <w:pPr>
              <w:pStyle w:val="Newparagraph"/>
              <w:spacing w:line="240" w:lineRule="auto"/>
              <w:ind w:firstLine="0"/>
              <w:jc w:val="center"/>
              <w:rPr>
                <w:sz w:val="20"/>
                <w:szCs w:val="20"/>
              </w:rPr>
            </w:pPr>
          </w:p>
        </w:tc>
        <w:tc>
          <w:tcPr>
            <w:tcW w:w="1530" w:type="dxa"/>
          </w:tcPr>
          <w:p w14:paraId="03177317" w14:textId="3ED5B84A" w:rsidR="00C60B76" w:rsidRPr="008913B8" w:rsidRDefault="00C60B76" w:rsidP="00C60B76">
            <w:pPr>
              <w:pStyle w:val="Newparagraph"/>
              <w:spacing w:line="240" w:lineRule="auto"/>
              <w:ind w:firstLine="0"/>
              <w:jc w:val="center"/>
              <w:rPr>
                <w:sz w:val="20"/>
                <w:szCs w:val="20"/>
              </w:rPr>
            </w:pPr>
            <w:r w:rsidRPr="008913B8">
              <w:rPr>
                <w:sz w:val="20"/>
                <w:szCs w:val="20"/>
              </w:rPr>
              <w:t>(0.22)</w:t>
            </w:r>
          </w:p>
        </w:tc>
      </w:tr>
      <w:tr w:rsidR="008913B8" w:rsidRPr="008913B8" w14:paraId="0848894B" w14:textId="77777777" w:rsidTr="00E222F0">
        <w:tc>
          <w:tcPr>
            <w:tcW w:w="1795" w:type="dxa"/>
          </w:tcPr>
          <w:p w14:paraId="609070C6" w14:textId="3DCBA25B" w:rsidR="00C60B76" w:rsidRPr="008913B8" w:rsidRDefault="00C60B76" w:rsidP="00C60B76">
            <w:pPr>
              <w:pStyle w:val="Newparagraph"/>
              <w:spacing w:line="240" w:lineRule="auto"/>
              <w:ind w:firstLine="0"/>
              <w:rPr>
                <w:sz w:val="20"/>
                <w:szCs w:val="20"/>
              </w:rPr>
            </w:pPr>
            <w:r w:rsidRPr="008913B8">
              <w:rPr>
                <w:sz w:val="20"/>
                <w:szCs w:val="20"/>
              </w:rPr>
              <w:t>ruur</w:t>
            </w:r>
          </w:p>
        </w:tc>
        <w:tc>
          <w:tcPr>
            <w:tcW w:w="1698" w:type="dxa"/>
          </w:tcPr>
          <w:p w14:paraId="2043511F" w14:textId="775590E9" w:rsidR="00C60B76" w:rsidRPr="008913B8" w:rsidRDefault="00C60B76" w:rsidP="00C60B76">
            <w:pPr>
              <w:pStyle w:val="Newparagraph"/>
              <w:spacing w:line="240" w:lineRule="auto"/>
              <w:ind w:firstLine="0"/>
              <w:jc w:val="center"/>
              <w:rPr>
                <w:sz w:val="20"/>
                <w:szCs w:val="20"/>
              </w:rPr>
            </w:pPr>
            <w:r w:rsidRPr="008913B8">
              <w:rPr>
                <w:sz w:val="20"/>
                <w:szCs w:val="20"/>
              </w:rPr>
              <w:t>---</w:t>
            </w:r>
          </w:p>
        </w:tc>
        <w:tc>
          <w:tcPr>
            <w:tcW w:w="1730" w:type="dxa"/>
          </w:tcPr>
          <w:p w14:paraId="518BC909" w14:textId="28A52D5D" w:rsidR="00C60B76" w:rsidRPr="008913B8" w:rsidRDefault="00C60B76" w:rsidP="00C60B76">
            <w:pPr>
              <w:pStyle w:val="Newparagraph"/>
              <w:spacing w:line="240" w:lineRule="auto"/>
              <w:ind w:firstLine="0"/>
              <w:jc w:val="center"/>
              <w:rPr>
                <w:sz w:val="20"/>
                <w:szCs w:val="20"/>
              </w:rPr>
            </w:pPr>
            <w:r w:rsidRPr="008913B8">
              <w:rPr>
                <w:sz w:val="20"/>
                <w:szCs w:val="20"/>
              </w:rPr>
              <w:t>---</w:t>
            </w:r>
          </w:p>
        </w:tc>
        <w:tc>
          <w:tcPr>
            <w:tcW w:w="1710" w:type="dxa"/>
          </w:tcPr>
          <w:p w14:paraId="7AAC2FA3" w14:textId="435C0243" w:rsidR="00C60B76" w:rsidRPr="008913B8" w:rsidRDefault="00C60B76" w:rsidP="00C60B76">
            <w:pPr>
              <w:pStyle w:val="Newparagraph"/>
              <w:spacing w:line="240" w:lineRule="auto"/>
              <w:ind w:firstLine="0"/>
              <w:jc w:val="center"/>
              <w:rPr>
                <w:sz w:val="20"/>
                <w:szCs w:val="20"/>
              </w:rPr>
            </w:pPr>
            <w:r w:rsidRPr="008913B8">
              <w:rPr>
                <w:sz w:val="20"/>
                <w:szCs w:val="20"/>
              </w:rPr>
              <w:t xml:space="preserve">2.384*** </w:t>
            </w:r>
          </w:p>
        </w:tc>
        <w:tc>
          <w:tcPr>
            <w:tcW w:w="1530" w:type="dxa"/>
          </w:tcPr>
          <w:p w14:paraId="3AAC8A75" w14:textId="26A95FBF" w:rsidR="00C60B76" w:rsidRPr="008913B8" w:rsidRDefault="00C60B76" w:rsidP="00C60B76">
            <w:pPr>
              <w:pStyle w:val="Newparagraph"/>
              <w:spacing w:line="240" w:lineRule="auto"/>
              <w:ind w:firstLine="0"/>
              <w:jc w:val="center"/>
              <w:rPr>
                <w:sz w:val="20"/>
                <w:szCs w:val="20"/>
              </w:rPr>
            </w:pPr>
            <w:r w:rsidRPr="008913B8">
              <w:rPr>
                <w:sz w:val="20"/>
                <w:szCs w:val="20"/>
              </w:rPr>
              <w:t>2.321***</w:t>
            </w:r>
          </w:p>
        </w:tc>
      </w:tr>
      <w:tr w:rsidR="008913B8" w:rsidRPr="008913B8" w14:paraId="0380FF0A" w14:textId="77777777" w:rsidTr="00E222F0">
        <w:tc>
          <w:tcPr>
            <w:tcW w:w="1795" w:type="dxa"/>
          </w:tcPr>
          <w:p w14:paraId="61C7AD1A" w14:textId="77777777" w:rsidR="00C60B76" w:rsidRPr="008913B8" w:rsidRDefault="00C60B76" w:rsidP="00C60B76">
            <w:pPr>
              <w:pStyle w:val="Newparagraph"/>
              <w:spacing w:line="240" w:lineRule="auto"/>
              <w:ind w:firstLine="0"/>
              <w:rPr>
                <w:sz w:val="20"/>
                <w:szCs w:val="20"/>
              </w:rPr>
            </w:pPr>
          </w:p>
        </w:tc>
        <w:tc>
          <w:tcPr>
            <w:tcW w:w="1698" w:type="dxa"/>
          </w:tcPr>
          <w:p w14:paraId="4448BAC0" w14:textId="77777777" w:rsidR="00C60B76" w:rsidRPr="008913B8" w:rsidRDefault="00C60B76" w:rsidP="00C60B76">
            <w:pPr>
              <w:pStyle w:val="Newparagraph"/>
              <w:spacing w:line="240" w:lineRule="auto"/>
              <w:ind w:firstLine="0"/>
              <w:jc w:val="center"/>
              <w:rPr>
                <w:sz w:val="20"/>
                <w:szCs w:val="20"/>
              </w:rPr>
            </w:pPr>
          </w:p>
        </w:tc>
        <w:tc>
          <w:tcPr>
            <w:tcW w:w="1730" w:type="dxa"/>
          </w:tcPr>
          <w:p w14:paraId="35313EB4" w14:textId="77777777" w:rsidR="00C60B76" w:rsidRPr="008913B8" w:rsidRDefault="00C60B76" w:rsidP="00C60B76">
            <w:pPr>
              <w:pStyle w:val="Newparagraph"/>
              <w:spacing w:line="240" w:lineRule="auto"/>
              <w:ind w:firstLine="0"/>
              <w:jc w:val="center"/>
              <w:rPr>
                <w:sz w:val="20"/>
                <w:szCs w:val="20"/>
              </w:rPr>
            </w:pPr>
          </w:p>
        </w:tc>
        <w:tc>
          <w:tcPr>
            <w:tcW w:w="1710" w:type="dxa"/>
          </w:tcPr>
          <w:p w14:paraId="3D3F48E5" w14:textId="5A4B4F03" w:rsidR="00C60B76" w:rsidRPr="008913B8" w:rsidRDefault="00C60B76" w:rsidP="00C60B76">
            <w:pPr>
              <w:pStyle w:val="Newparagraph"/>
              <w:spacing w:line="240" w:lineRule="auto"/>
              <w:ind w:firstLine="0"/>
              <w:jc w:val="center"/>
              <w:rPr>
                <w:sz w:val="20"/>
                <w:szCs w:val="20"/>
              </w:rPr>
            </w:pPr>
            <w:r w:rsidRPr="008913B8">
              <w:rPr>
                <w:sz w:val="20"/>
                <w:szCs w:val="20"/>
              </w:rPr>
              <w:t>(0.44)</w:t>
            </w:r>
          </w:p>
        </w:tc>
        <w:tc>
          <w:tcPr>
            <w:tcW w:w="1530" w:type="dxa"/>
          </w:tcPr>
          <w:p w14:paraId="3FDC5A4C" w14:textId="162313DD" w:rsidR="00C60B76" w:rsidRPr="008913B8" w:rsidRDefault="00C60B76" w:rsidP="00C60B76">
            <w:pPr>
              <w:pStyle w:val="Newparagraph"/>
              <w:spacing w:line="240" w:lineRule="auto"/>
              <w:ind w:firstLine="0"/>
              <w:jc w:val="center"/>
              <w:rPr>
                <w:sz w:val="20"/>
                <w:szCs w:val="20"/>
              </w:rPr>
            </w:pPr>
            <w:r w:rsidRPr="008913B8">
              <w:rPr>
                <w:sz w:val="20"/>
                <w:szCs w:val="20"/>
              </w:rPr>
              <w:t>(0.44)</w:t>
            </w:r>
          </w:p>
        </w:tc>
      </w:tr>
      <w:tr w:rsidR="008913B8" w:rsidRPr="008913B8" w14:paraId="5192FA9A" w14:textId="77777777" w:rsidTr="00E222F0">
        <w:tc>
          <w:tcPr>
            <w:tcW w:w="1795" w:type="dxa"/>
          </w:tcPr>
          <w:p w14:paraId="06C4C58E" w14:textId="555992F2" w:rsidR="00C60B76" w:rsidRPr="008913B8" w:rsidRDefault="00C60B76" w:rsidP="00C60B76">
            <w:pPr>
              <w:pStyle w:val="Newparagraph"/>
              <w:spacing w:line="240" w:lineRule="auto"/>
              <w:ind w:firstLine="0"/>
              <w:rPr>
                <w:sz w:val="20"/>
                <w:szCs w:val="20"/>
              </w:rPr>
            </w:pPr>
            <w:r w:rsidRPr="008913B8">
              <w:rPr>
                <w:sz w:val="20"/>
                <w:szCs w:val="20"/>
              </w:rPr>
              <w:t>urru</w:t>
            </w:r>
          </w:p>
        </w:tc>
        <w:tc>
          <w:tcPr>
            <w:tcW w:w="1698" w:type="dxa"/>
          </w:tcPr>
          <w:p w14:paraId="45DB7E6D" w14:textId="19F65C69" w:rsidR="00C60B76" w:rsidRPr="008913B8" w:rsidRDefault="00C60B76" w:rsidP="00C60B76">
            <w:pPr>
              <w:pStyle w:val="Newparagraph"/>
              <w:spacing w:line="240" w:lineRule="auto"/>
              <w:ind w:firstLine="0"/>
              <w:jc w:val="center"/>
              <w:rPr>
                <w:sz w:val="20"/>
                <w:szCs w:val="20"/>
              </w:rPr>
            </w:pPr>
            <w:r w:rsidRPr="008913B8">
              <w:rPr>
                <w:sz w:val="20"/>
                <w:szCs w:val="20"/>
              </w:rPr>
              <w:t>---</w:t>
            </w:r>
          </w:p>
        </w:tc>
        <w:tc>
          <w:tcPr>
            <w:tcW w:w="1730" w:type="dxa"/>
          </w:tcPr>
          <w:p w14:paraId="108DEB06" w14:textId="1B43D7E0" w:rsidR="00C60B76" w:rsidRPr="008913B8" w:rsidRDefault="00C60B76" w:rsidP="00C60B76">
            <w:pPr>
              <w:pStyle w:val="Newparagraph"/>
              <w:spacing w:line="240" w:lineRule="auto"/>
              <w:ind w:firstLine="0"/>
              <w:jc w:val="center"/>
              <w:rPr>
                <w:sz w:val="20"/>
                <w:szCs w:val="20"/>
              </w:rPr>
            </w:pPr>
            <w:r w:rsidRPr="008913B8">
              <w:rPr>
                <w:sz w:val="20"/>
                <w:szCs w:val="20"/>
              </w:rPr>
              <w:t>---</w:t>
            </w:r>
          </w:p>
        </w:tc>
        <w:tc>
          <w:tcPr>
            <w:tcW w:w="1710" w:type="dxa"/>
          </w:tcPr>
          <w:p w14:paraId="2F7E0D56" w14:textId="174FED9B" w:rsidR="00C60B76" w:rsidRPr="008913B8" w:rsidRDefault="00C60B76" w:rsidP="00C60B76">
            <w:pPr>
              <w:pStyle w:val="Newparagraph"/>
              <w:spacing w:line="240" w:lineRule="auto"/>
              <w:ind w:firstLine="0"/>
              <w:jc w:val="center"/>
              <w:rPr>
                <w:sz w:val="20"/>
                <w:szCs w:val="20"/>
              </w:rPr>
            </w:pPr>
            <w:r w:rsidRPr="008913B8">
              <w:rPr>
                <w:sz w:val="20"/>
                <w:szCs w:val="20"/>
              </w:rPr>
              <w:t>0.933</w:t>
            </w:r>
          </w:p>
        </w:tc>
        <w:tc>
          <w:tcPr>
            <w:tcW w:w="1530" w:type="dxa"/>
          </w:tcPr>
          <w:p w14:paraId="11D27303" w14:textId="69EDEA94" w:rsidR="00C60B76" w:rsidRPr="008913B8" w:rsidRDefault="00C60B76" w:rsidP="00C60B76">
            <w:pPr>
              <w:pStyle w:val="Newparagraph"/>
              <w:spacing w:line="240" w:lineRule="auto"/>
              <w:ind w:firstLine="0"/>
              <w:jc w:val="center"/>
              <w:rPr>
                <w:sz w:val="20"/>
                <w:szCs w:val="20"/>
              </w:rPr>
            </w:pPr>
            <w:r w:rsidRPr="008913B8">
              <w:rPr>
                <w:sz w:val="20"/>
                <w:szCs w:val="20"/>
              </w:rPr>
              <w:t>0.917</w:t>
            </w:r>
          </w:p>
        </w:tc>
      </w:tr>
      <w:tr w:rsidR="008913B8" w:rsidRPr="008913B8" w14:paraId="24A1A649" w14:textId="77777777" w:rsidTr="00E222F0">
        <w:tc>
          <w:tcPr>
            <w:tcW w:w="1795" w:type="dxa"/>
            <w:tcBorders>
              <w:bottom w:val="single" w:sz="4" w:space="0" w:color="auto"/>
            </w:tcBorders>
          </w:tcPr>
          <w:p w14:paraId="0EA4CED9" w14:textId="77777777" w:rsidR="00C60B76" w:rsidRPr="008913B8" w:rsidRDefault="00C60B76" w:rsidP="00C60B76">
            <w:pPr>
              <w:pStyle w:val="Newparagraph"/>
              <w:spacing w:line="240" w:lineRule="auto"/>
              <w:ind w:firstLine="0"/>
              <w:rPr>
                <w:sz w:val="20"/>
                <w:szCs w:val="20"/>
              </w:rPr>
            </w:pPr>
          </w:p>
        </w:tc>
        <w:tc>
          <w:tcPr>
            <w:tcW w:w="1698" w:type="dxa"/>
            <w:tcBorders>
              <w:bottom w:val="single" w:sz="4" w:space="0" w:color="auto"/>
            </w:tcBorders>
          </w:tcPr>
          <w:p w14:paraId="63A019B2" w14:textId="77777777" w:rsidR="00C60B76" w:rsidRPr="008913B8" w:rsidRDefault="00C60B76" w:rsidP="00C60B76">
            <w:pPr>
              <w:pStyle w:val="Newparagraph"/>
              <w:spacing w:line="240" w:lineRule="auto"/>
              <w:ind w:firstLine="0"/>
              <w:jc w:val="center"/>
              <w:rPr>
                <w:sz w:val="20"/>
                <w:szCs w:val="20"/>
              </w:rPr>
            </w:pPr>
          </w:p>
        </w:tc>
        <w:tc>
          <w:tcPr>
            <w:tcW w:w="1730" w:type="dxa"/>
            <w:tcBorders>
              <w:bottom w:val="single" w:sz="4" w:space="0" w:color="auto"/>
            </w:tcBorders>
          </w:tcPr>
          <w:p w14:paraId="1006AAB7" w14:textId="77777777" w:rsidR="00C60B76" w:rsidRPr="008913B8" w:rsidRDefault="00C60B76" w:rsidP="00C60B76">
            <w:pPr>
              <w:pStyle w:val="Newparagraph"/>
              <w:spacing w:line="240" w:lineRule="auto"/>
              <w:ind w:firstLine="0"/>
              <w:jc w:val="center"/>
              <w:rPr>
                <w:sz w:val="20"/>
                <w:szCs w:val="20"/>
              </w:rPr>
            </w:pPr>
          </w:p>
        </w:tc>
        <w:tc>
          <w:tcPr>
            <w:tcW w:w="1710" w:type="dxa"/>
            <w:tcBorders>
              <w:bottom w:val="single" w:sz="4" w:space="0" w:color="auto"/>
            </w:tcBorders>
          </w:tcPr>
          <w:p w14:paraId="6ACFFB48" w14:textId="6E355305" w:rsidR="00C60B76" w:rsidRPr="008913B8" w:rsidRDefault="00C60B76" w:rsidP="00C60B76">
            <w:pPr>
              <w:pStyle w:val="Newparagraph"/>
              <w:spacing w:line="240" w:lineRule="auto"/>
              <w:ind w:firstLine="0"/>
              <w:jc w:val="center"/>
              <w:rPr>
                <w:sz w:val="20"/>
                <w:szCs w:val="20"/>
              </w:rPr>
            </w:pPr>
            <w:r w:rsidRPr="008913B8">
              <w:rPr>
                <w:sz w:val="20"/>
                <w:szCs w:val="20"/>
              </w:rPr>
              <w:t>(0.21)</w:t>
            </w:r>
          </w:p>
        </w:tc>
        <w:tc>
          <w:tcPr>
            <w:tcW w:w="1530" w:type="dxa"/>
            <w:tcBorders>
              <w:bottom w:val="single" w:sz="4" w:space="0" w:color="auto"/>
            </w:tcBorders>
          </w:tcPr>
          <w:p w14:paraId="47E7D9F7" w14:textId="26EA7E54" w:rsidR="00C60B76" w:rsidRPr="008913B8" w:rsidRDefault="00C60B76" w:rsidP="00C60B76">
            <w:pPr>
              <w:pStyle w:val="Newparagraph"/>
              <w:spacing w:line="240" w:lineRule="auto"/>
              <w:ind w:firstLine="0"/>
              <w:jc w:val="center"/>
              <w:rPr>
                <w:sz w:val="20"/>
                <w:szCs w:val="20"/>
              </w:rPr>
            </w:pPr>
            <w:r w:rsidRPr="008913B8">
              <w:rPr>
                <w:sz w:val="20"/>
                <w:szCs w:val="20"/>
              </w:rPr>
              <w:t>(0.21)</w:t>
            </w:r>
          </w:p>
        </w:tc>
      </w:tr>
      <w:tr w:rsidR="00C60B76" w:rsidRPr="008913B8" w14:paraId="415DC0B4" w14:textId="77777777" w:rsidTr="00E222F0">
        <w:tc>
          <w:tcPr>
            <w:tcW w:w="1795" w:type="dxa"/>
            <w:tcBorders>
              <w:top w:val="single" w:sz="4" w:space="0" w:color="auto"/>
            </w:tcBorders>
          </w:tcPr>
          <w:p w14:paraId="02277D41" w14:textId="7C18589B" w:rsidR="00C60B76" w:rsidRPr="008913B8" w:rsidRDefault="00C60B76" w:rsidP="00C60B76">
            <w:pPr>
              <w:pStyle w:val="Newparagraph"/>
              <w:spacing w:line="240" w:lineRule="auto"/>
              <w:ind w:firstLine="0"/>
              <w:rPr>
                <w:i/>
                <w:sz w:val="20"/>
                <w:szCs w:val="20"/>
              </w:rPr>
            </w:pPr>
            <w:r w:rsidRPr="008913B8">
              <w:rPr>
                <w:i/>
                <w:color w:val="000000"/>
                <w:sz w:val="20"/>
                <w:szCs w:val="20"/>
              </w:rPr>
              <w:t>No. of Observations</w:t>
            </w:r>
          </w:p>
        </w:tc>
        <w:tc>
          <w:tcPr>
            <w:tcW w:w="1698" w:type="dxa"/>
            <w:tcBorders>
              <w:top w:val="single" w:sz="4" w:space="0" w:color="auto"/>
            </w:tcBorders>
          </w:tcPr>
          <w:p w14:paraId="3FFCC722" w14:textId="7F1E9251" w:rsidR="00C60B76" w:rsidRPr="008913B8" w:rsidRDefault="00C60B76" w:rsidP="00C60B76">
            <w:pPr>
              <w:pStyle w:val="Newparagraph"/>
              <w:spacing w:line="240" w:lineRule="auto"/>
              <w:ind w:firstLine="0"/>
              <w:jc w:val="center"/>
              <w:rPr>
                <w:sz w:val="20"/>
                <w:szCs w:val="20"/>
              </w:rPr>
            </w:pPr>
            <w:r w:rsidRPr="008913B8">
              <w:rPr>
                <w:sz w:val="20"/>
                <w:szCs w:val="20"/>
              </w:rPr>
              <w:t>5,481</w:t>
            </w:r>
          </w:p>
        </w:tc>
        <w:tc>
          <w:tcPr>
            <w:tcW w:w="1730" w:type="dxa"/>
            <w:tcBorders>
              <w:top w:val="single" w:sz="4" w:space="0" w:color="auto"/>
            </w:tcBorders>
          </w:tcPr>
          <w:p w14:paraId="5F7036BF" w14:textId="60EDCE29" w:rsidR="00C60B76" w:rsidRPr="008913B8" w:rsidRDefault="00C60B76" w:rsidP="00C60B76">
            <w:pPr>
              <w:pStyle w:val="Newparagraph"/>
              <w:spacing w:line="240" w:lineRule="auto"/>
              <w:ind w:firstLine="0"/>
              <w:jc w:val="center"/>
              <w:rPr>
                <w:sz w:val="20"/>
                <w:szCs w:val="20"/>
              </w:rPr>
            </w:pPr>
            <w:r w:rsidRPr="008913B8">
              <w:rPr>
                <w:sz w:val="20"/>
                <w:szCs w:val="20"/>
              </w:rPr>
              <w:t>5,481</w:t>
            </w:r>
          </w:p>
        </w:tc>
        <w:tc>
          <w:tcPr>
            <w:tcW w:w="1710" w:type="dxa"/>
            <w:tcBorders>
              <w:top w:val="single" w:sz="4" w:space="0" w:color="auto"/>
            </w:tcBorders>
          </w:tcPr>
          <w:p w14:paraId="6EF13498" w14:textId="1E0ADCD4" w:rsidR="00C60B76" w:rsidRPr="008913B8" w:rsidRDefault="00C60B76" w:rsidP="00C60B76">
            <w:pPr>
              <w:pStyle w:val="Newparagraph"/>
              <w:spacing w:line="240" w:lineRule="auto"/>
              <w:ind w:firstLine="0"/>
              <w:jc w:val="center"/>
              <w:rPr>
                <w:sz w:val="20"/>
                <w:szCs w:val="20"/>
              </w:rPr>
            </w:pPr>
            <w:r w:rsidRPr="008913B8">
              <w:rPr>
                <w:sz w:val="20"/>
                <w:szCs w:val="20"/>
              </w:rPr>
              <w:t>5,481</w:t>
            </w:r>
          </w:p>
        </w:tc>
        <w:tc>
          <w:tcPr>
            <w:tcW w:w="1530" w:type="dxa"/>
            <w:tcBorders>
              <w:top w:val="single" w:sz="4" w:space="0" w:color="auto"/>
            </w:tcBorders>
          </w:tcPr>
          <w:p w14:paraId="367BAB0C" w14:textId="21C67401" w:rsidR="00C60B76" w:rsidRPr="008913B8" w:rsidRDefault="00C60B76" w:rsidP="00C60B76">
            <w:pPr>
              <w:pStyle w:val="Newparagraph"/>
              <w:spacing w:line="240" w:lineRule="auto"/>
              <w:ind w:firstLine="0"/>
              <w:jc w:val="center"/>
              <w:rPr>
                <w:sz w:val="20"/>
                <w:szCs w:val="20"/>
              </w:rPr>
            </w:pPr>
            <w:r w:rsidRPr="008913B8">
              <w:rPr>
                <w:sz w:val="20"/>
                <w:szCs w:val="20"/>
              </w:rPr>
              <w:t>5,481</w:t>
            </w:r>
          </w:p>
        </w:tc>
      </w:tr>
      <w:tr w:rsidR="00C60B76" w:rsidRPr="008913B8" w14:paraId="7CD6B0F5" w14:textId="77777777" w:rsidTr="00E222F0">
        <w:tc>
          <w:tcPr>
            <w:tcW w:w="1795" w:type="dxa"/>
          </w:tcPr>
          <w:p w14:paraId="44B68EF5" w14:textId="7A327C86" w:rsidR="00C60B76" w:rsidRPr="008913B8" w:rsidRDefault="00C60B76" w:rsidP="00C60B76">
            <w:pPr>
              <w:pStyle w:val="Newparagraph"/>
              <w:spacing w:line="240" w:lineRule="auto"/>
              <w:ind w:firstLine="0"/>
              <w:rPr>
                <w:i/>
                <w:sz w:val="20"/>
                <w:szCs w:val="20"/>
              </w:rPr>
            </w:pPr>
            <w:r w:rsidRPr="008913B8">
              <w:rPr>
                <w:i/>
                <w:color w:val="000000"/>
                <w:sz w:val="20"/>
                <w:szCs w:val="20"/>
              </w:rPr>
              <w:t>No. of Censored</w:t>
            </w:r>
          </w:p>
        </w:tc>
        <w:tc>
          <w:tcPr>
            <w:tcW w:w="1698" w:type="dxa"/>
          </w:tcPr>
          <w:p w14:paraId="2A97377B" w14:textId="26484A33" w:rsidR="00C60B76" w:rsidRPr="008913B8" w:rsidRDefault="00C60B76" w:rsidP="00C60B76">
            <w:pPr>
              <w:pStyle w:val="Newparagraph"/>
              <w:spacing w:line="240" w:lineRule="auto"/>
              <w:ind w:firstLine="0"/>
              <w:jc w:val="center"/>
              <w:rPr>
                <w:sz w:val="20"/>
                <w:szCs w:val="20"/>
              </w:rPr>
            </w:pPr>
            <w:r w:rsidRPr="008913B8">
              <w:rPr>
                <w:color w:val="000000"/>
                <w:sz w:val="20"/>
                <w:szCs w:val="20"/>
              </w:rPr>
              <w:t>5,033</w:t>
            </w:r>
          </w:p>
        </w:tc>
        <w:tc>
          <w:tcPr>
            <w:tcW w:w="1730" w:type="dxa"/>
          </w:tcPr>
          <w:p w14:paraId="0638216F" w14:textId="3E5351C1" w:rsidR="00C60B76" w:rsidRPr="008913B8" w:rsidRDefault="00C60B76" w:rsidP="00C60B76">
            <w:pPr>
              <w:pStyle w:val="Newparagraph"/>
              <w:spacing w:line="240" w:lineRule="auto"/>
              <w:ind w:firstLine="0"/>
              <w:jc w:val="center"/>
              <w:rPr>
                <w:sz w:val="20"/>
                <w:szCs w:val="20"/>
              </w:rPr>
            </w:pPr>
            <w:r w:rsidRPr="008913B8">
              <w:rPr>
                <w:color w:val="000000"/>
                <w:sz w:val="20"/>
                <w:szCs w:val="20"/>
              </w:rPr>
              <w:t>5,033</w:t>
            </w:r>
          </w:p>
        </w:tc>
        <w:tc>
          <w:tcPr>
            <w:tcW w:w="1710" w:type="dxa"/>
          </w:tcPr>
          <w:p w14:paraId="32675832" w14:textId="1D74410B" w:rsidR="00C60B76" w:rsidRPr="008913B8" w:rsidRDefault="00C60B76" w:rsidP="00C60B76">
            <w:pPr>
              <w:pStyle w:val="Newparagraph"/>
              <w:spacing w:line="240" w:lineRule="auto"/>
              <w:ind w:firstLine="0"/>
              <w:jc w:val="center"/>
              <w:rPr>
                <w:sz w:val="20"/>
                <w:szCs w:val="20"/>
              </w:rPr>
            </w:pPr>
            <w:r w:rsidRPr="008913B8">
              <w:rPr>
                <w:color w:val="000000"/>
                <w:sz w:val="20"/>
                <w:szCs w:val="20"/>
              </w:rPr>
              <w:t>5,033</w:t>
            </w:r>
          </w:p>
        </w:tc>
        <w:tc>
          <w:tcPr>
            <w:tcW w:w="1530" w:type="dxa"/>
          </w:tcPr>
          <w:p w14:paraId="41AF4AD5" w14:textId="0FEFF401" w:rsidR="00C60B76" w:rsidRPr="008913B8" w:rsidRDefault="00C60B76" w:rsidP="00C60B76">
            <w:pPr>
              <w:pStyle w:val="Newparagraph"/>
              <w:spacing w:line="240" w:lineRule="auto"/>
              <w:ind w:firstLine="0"/>
              <w:jc w:val="center"/>
              <w:rPr>
                <w:sz w:val="20"/>
                <w:szCs w:val="20"/>
              </w:rPr>
            </w:pPr>
            <w:r w:rsidRPr="008913B8">
              <w:rPr>
                <w:color w:val="000000"/>
                <w:sz w:val="20"/>
                <w:szCs w:val="20"/>
              </w:rPr>
              <w:t>5,033</w:t>
            </w:r>
          </w:p>
        </w:tc>
      </w:tr>
      <w:tr w:rsidR="00C60B76" w:rsidRPr="008913B8" w14:paraId="454870CB" w14:textId="77777777" w:rsidTr="00E222F0">
        <w:tc>
          <w:tcPr>
            <w:tcW w:w="1795" w:type="dxa"/>
          </w:tcPr>
          <w:p w14:paraId="534F9034" w14:textId="299BEA2B" w:rsidR="00C60B76" w:rsidRPr="008913B8" w:rsidRDefault="00C60B76" w:rsidP="00C60B76">
            <w:pPr>
              <w:pStyle w:val="Newparagraph"/>
              <w:spacing w:line="240" w:lineRule="auto"/>
              <w:ind w:firstLine="0"/>
              <w:rPr>
                <w:i/>
                <w:sz w:val="20"/>
                <w:szCs w:val="20"/>
              </w:rPr>
            </w:pPr>
            <w:r w:rsidRPr="008913B8">
              <w:rPr>
                <w:i/>
                <w:color w:val="000000"/>
                <w:sz w:val="20"/>
                <w:szCs w:val="20"/>
              </w:rPr>
              <w:t>Log-pseudolikelihood</w:t>
            </w:r>
          </w:p>
        </w:tc>
        <w:tc>
          <w:tcPr>
            <w:tcW w:w="1698" w:type="dxa"/>
          </w:tcPr>
          <w:p w14:paraId="2E5BF5A1" w14:textId="35FBD13A" w:rsidR="00C60B76" w:rsidRPr="008913B8" w:rsidRDefault="00C60B76" w:rsidP="00C60B76">
            <w:pPr>
              <w:pStyle w:val="Newparagraph"/>
              <w:spacing w:line="240" w:lineRule="auto"/>
              <w:ind w:firstLine="0"/>
              <w:jc w:val="center"/>
              <w:rPr>
                <w:sz w:val="20"/>
                <w:szCs w:val="20"/>
              </w:rPr>
            </w:pPr>
            <w:r w:rsidRPr="008913B8">
              <w:rPr>
                <w:color w:val="000000"/>
                <w:sz w:val="20"/>
                <w:szCs w:val="20"/>
              </w:rPr>
              <w:t xml:space="preserve">-3,380 </w:t>
            </w:r>
          </w:p>
        </w:tc>
        <w:tc>
          <w:tcPr>
            <w:tcW w:w="1730" w:type="dxa"/>
          </w:tcPr>
          <w:p w14:paraId="18EAFA0E" w14:textId="039EAFC1" w:rsidR="00C60B76" w:rsidRPr="008913B8" w:rsidRDefault="00C60B76" w:rsidP="00C60B76">
            <w:pPr>
              <w:pStyle w:val="Newparagraph"/>
              <w:spacing w:line="240" w:lineRule="auto"/>
              <w:ind w:firstLine="0"/>
              <w:jc w:val="center"/>
              <w:rPr>
                <w:sz w:val="20"/>
                <w:szCs w:val="20"/>
              </w:rPr>
            </w:pPr>
            <w:r w:rsidRPr="008913B8">
              <w:rPr>
                <w:color w:val="000000"/>
                <w:sz w:val="20"/>
                <w:szCs w:val="20"/>
              </w:rPr>
              <w:t>-3,304</w:t>
            </w:r>
          </w:p>
        </w:tc>
        <w:tc>
          <w:tcPr>
            <w:tcW w:w="1710" w:type="dxa"/>
          </w:tcPr>
          <w:p w14:paraId="0987B964" w14:textId="747C6381" w:rsidR="00C60B76" w:rsidRPr="008913B8" w:rsidRDefault="008913B8" w:rsidP="00C60B76">
            <w:pPr>
              <w:pStyle w:val="Newparagraph"/>
              <w:spacing w:line="240" w:lineRule="auto"/>
              <w:ind w:firstLine="0"/>
              <w:jc w:val="center"/>
              <w:rPr>
                <w:sz w:val="20"/>
                <w:szCs w:val="20"/>
              </w:rPr>
            </w:pPr>
            <w:r w:rsidRPr="008913B8">
              <w:rPr>
                <w:color w:val="000000"/>
                <w:sz w:val="20"/>
                <w:szCs w:val="20"/>
              </w:rPr>
              <w:t>-3,293</w:t>
            </w:r>
          </w:p>
        </w:tc>
        <w:tc>
          <w:tcPr>
            <w:tcW w:w="1530" w:type="dxa"/>
          </w:tcPr>
          <w:p w14:paraId="36DFDDB0" w14:textId="5CB177C7" w:rsidR="00C60B76" w:rsidRPr="008913B8" w:rsidRDefault="008913B8" w:rsidP="00C60B76">
            <w:pPr>
              <w:pStyle w:val="Newparagraph"/>
              <w:spacing w:line="240" w:lineRule="auto"/>
              <w:ind w:firstLine="0"/>
              <w:jc w:val="center"/>
              <w:rPr>
                <w:sz w:val="20"/>
                <w:szCs w:val="20"/>
              </w:rPr>
            </w:pPr>
            <w:r w:rsidRPr="008913B8">
              <w:rPr>
                <w:sz w:val="20"/>
                <w:szCs w:val="20"/>
              </w:rPr>
              <w:t>-</w:t>
            </w:r>
            <w:r w:rsidRPr="008913B8">
              <w:rPr>
                <w:color w:val="000000"/>
                <w:sz w:val="20"/>
                <w:szCs w:val="20"/>
              </w:rPr>
              <w:t>3,291</w:t>
            </w:r>
          </w:p>
        </w:tc>
      </w:tr>
      <w:tr w:rsidR="008913B8" w:rsidRPr="008913B8" w14:paraId="1C4E7056" w14:textId="77777777" w:rsidTr="00E222F0">
        <w:tc>
          <w:tcPr>
            <w:tcW w:w="1795" w:type="dxa"/>
            <w:tcBorders>
              <w:bottom w:val="single" w:sz="4" w:space="0" w:color="auto"/>
            </w:tcBorders>
          </w:tcPr>
          <w:p w14:paraId="5DC476B4" w14:textId="22C8CA18" w:rsidR="008913B8" w:rsidRPr="008913B8" w:rsidRDefault="008913B8" w:rsidP="00C60B76">
            <w:pPr>
              <w:pStyle w:val="Newparagraph"/>
              <w:spacing w:line="240" w:lineRule="auto"/>
              <w:ind w:firstLine="0"/>
              <w:rPr>
                <w:i/>
                <w:color w:val="000000"/>
                <w:sz w:val="20"/>
                <w:szCs w:val="20"/>
              </w:rPr>
            </w:pPr>
            <w:r w:rsidRPr="008913B8">
              <w:rPr>
                <w:i/>
                <w:color w:val="000000"/>
                <w:sz w:val="20"/>
                <w:szCs w:val="20"/>
              </w:rPr>
              <w:t>Schoenfeld Test p-values</w:t>
            </w:r>
          </w:p>
        </w:tc>
        <w:tc>
          <w:tcPr>
            <w:tcW w:w="1698" w:type="dxa"/>
            <w:tcBorders>
              <w:bottom w:val="single" w:sz="4" w:space="0" w:color="auto"/>
            </w:tcBorders>
          </w:tcPr>
          <w:p w14:paraId="550ABE1E" w14:textId="4CCD6519" w:rsidR="008913B8" w:rsidRPr="008913B8" w:rsidRDefault="008913B8" w:rsidP="00C60B76">
            <w:pPr>
              <w:pStyle w:val="Newparagraph"/>
              <w:spacing w:line="240" w:lineRule="auto"/>
              <w:ind w:firstLine="0"/>
              <w:jc w:val="center"/>
              <w:rPr>
                <w:color w:val="000000"/>
                <w:sz w:val="20"/>
                <w:szCs w:val="20"/>
              </w:rPr>
            </w:pPr>
            <w:r w:rsidRPr="008913B8">
              <w:rPr>
                <w:color w:val="000000"/>
                <w:sz w:val="20"/>
                <w:szCs w:val="20"/>
              </w:rPr>
              <w:t>0.114</w:t>
            </w:r>
          </w:p>
        </w:tc>
        <w:tc>
          <w:tcPr>
            <w:tcW w:w="1730" w:type="dxa"/>
            <w:tcBorders>
              <w:bottom w:val="single" w:sz="4" w:space="0" w:color="auto"/>
            </w:tcBorders>
          </w:tcPr>
          <w:p w14:paraId="182C5FDD" w14:textId="2A22176D" w:rsidR="008913B8" w:rsidRPr="008913B8" w:rsidRDefault="008913B8" w:rsidP="00C60B76">
            <w:pPr>
              <w:pStyle w:val="Newparagraph"/>
              <w:spacing w:line="240" w:lineRule="auto"/>
              <w:ind w:firstLine="0"/>
              <w:jc w:val="center"/>
              <w:rPr>
                <w:color w:val="000000"/>
                <w:sz w:val="20"/>
                <w:szCs w:val="20"/>
              </w:rPr>
            </w:pPr>
            <w:r w:rsidRPr="008913B8">
              <w:rPr>
                <w:color w:val="000000"/>
                <w:sz w:val="20"/>
                <w:szCs w:val="20"/>
              </w:rPr>
              <w:t>0.140</w:t>
            </w:r>
          </w:p>
        </w:tc>
        <w:tc>
          <w:tcPr>
            <w:tcW w:w="1710" w:type="dxa"/>
            <w:tcBorders>
              <w:bottom w:val="single" w:sz="4" w:space="0" w:color="auto"/>
            </w:tcBorders>
          </w:tcPr>
          <w:p w14:paraId="79666864" w14:textId="35EAB9B8" w:rsidR="008913B8" w:rsidRPr="008913B8" w:rsidRDefault="008913B8" w:rsidP="00C60B76">
            <w:pPr>
              <w:pStyle w:val="Newparagraph"/>
              <w:spacing w:line="240" w:lineRule="auto"/>
              <w:ind w:firstLine="0"/>
              <w:jc w:val="center"/>
              <w:rPr>
                <w:color w:val="000000"/>
                <w:sz w:val="20"/>
                <w:szCs w:val="20"/>
              </w:rPr>
            </w:pPr>
            <w:r w:rsidRPr="008913B8">
              <w:rPr>
                <w:color w:val="000000"/>
                <w:sz w:val="20"/>
                <w:szCs w:val="20"/>
              </w:rPr>
              <w:t>0.203</w:t>
            </w:r>
          </w:p>
        </w:tc>
        <w:tc>
          <w:tcPr>
            <w:tcW w:w="1530" w:type="dxa"/>
            <w:tcBorders>
              <w:bottom w:val="single" w:sz="4" w:space="0" w:color="auto"/>
            </w:tcBorders>
          </w:tcPr>
          <w:p w14:paraId="68BFACA0" w14:textId="4E7489B8" w:rsidR="008913B8" w:rsidRPr="008913B8" w:rsidRDefault="008913B8" w:rsidP="00C60B76">
            <w:pPr>
              <w:pStyle w:val="Newparagraph"/>
              <w:spacing w:line="240" w:lineRule="auto"/>
              <w:ind w:firstLine="0"/>
              <w:jc w:val="center"/>
              <w:rPr>
                <w:sz w:val="20"/>
                <w:szCs w:val="20"/>
              </w:rPr>
            </w:pPr>
            <w:r w:rsidRPr="008913B8">
              <w:rPr>
                <w:color w:val="000000"/>
                <w:sz w:val="20"/>
                <w:szCs w:val="20"/>
              </w:rPr>
              <w:t>0.165</w:t>
            </w:r>
          </w:p>
        </w:tc>
      </w:tr>
    </w:tbl>
    <w:p w14:paraId="087725DF" w14:textId="1E3FAD07" w:rsidR="004B6B79" w:rsidRDefault="008913B8" w:rsidP="008913B8">
      <w:pPr>
        <w:pStyle w:val="Newparagraph"/>
        <w:spacing w:line="240" w:lineRule="auto"/>
        <w:ind w:firstLine="0"/>
        <w:jc w:val="both"/>
        <w:rPr>
          <w:sz w:val="18"/>
        </w:rPr>
      </w:pPr>
      <w:r w:rsidRPr="008913B8">
        <w:rPr>
          <w:i/>
          <w:sz w:val="18"/>
        </w:rPr>
        <w:t>Notes:</w:t>
      </w:r>
      <w:r>
        <w:rPr>
          <w:i/>
          <w:sz w:val="18"/>
        </w:rPr>
        <w:t xml:space="preserve"> </w:t>
      </w:r>
      <w:r w:rsidRPr="008913B8">
        <w:rPr>
          <w:sz w:val="18"/>
        </w:rPr>
        <w:t>*p&lt;0.1, **p&lt;0.005, ***p&lt;0.001. Standard errors adjusted for household clusters and robust to heteroskedasticity are shown in parentheses. All regressions include state of residence fixed effects.</w:t>
      </w:r>
    </w:p>
    <w:p w14:paraId="7777E029" w14:textId="4CDF7B81" w:rsidR="008913B8" w:rsidRDefault="008913B8" w:rsidP="008913B8">
      <w:pPr>
        <w:pStyle w:val="Newparagraph"/>
        <w:spacing w:line="240" w:lineRule="auto"/>
        <w:ind w:firstLine="0"/>
        <w:jc w:val="both"/>
        <w:rPr>
          <w:sz w:val="18"/>
        </w:rPr>
      </w:pPr>
    </w:p>
    <w:p w14:paraId="3491F262" w14:textId="51E3CC65" w:rsidR="008913B8" w:rsidRPr="005149A0" w:rsidRDefault="00CA0A27" w:rsidP="00261C12">
      <w:pPr>
        <w:pStyle w:val="Newparagraph"/>
        <w:jc w:val="both"/>
      </w:pPr>
      <w:r w:rsidRPr="00261C12">
        <w:t xml:space="preserve">The results for Models 2 and 3 are shown in the second and third column of Table </w:t>
      </w:r>
      <w:r w:rsidR="00261C12" w:rsidRPr="00261C12">
        <w:t>6,</w:t>
      </w:r>
      <w:r w:rsidRPr="00261C12">
        <w:t xml:space="preserve"> respectively. Model 2 adds some family characteristics, while Model 3 adds some additional variables related to migration. The results obtained for the coefficient on female show that being a female student is associated with a 7 percent decrease in the </w:t>
      </w:r>
      <w:r w:rsidRPr="00261C12">
        <w:lastRenderedPageBreak/>
        <w:t>hazard of dropping out in Model 2 and with a 5.7 percent decrease in the hazard of dropping out in Model 3; however, these coefficients are not statistically significant. As before, the coefficients for Guaran</w:t>
      </w:r>
      <w:r w:rsidR="00261C12" w:rsidRPr="00261C12">
        <w:t>í</w:t>
      </w:r>
      <w:r w:rsidRPr="00261C12">
        <w:t xml:space="preserve"> speaking students are statistically significant in both models, showing that these students have a consistently higher risk of dropping out of primary school than their counterparts. These findings indicate that observed differences in dropout rates between Guaran</w:t>
      </w:r>
      <w:r w:rsidR="00261C12" w:rsidRPr="00261C12">
        <w:t>í</w:t>
      </w:r>
      <w:r w:rsidRPr="00261C12">
        <w:t xml:space="preserve"> and Spanish speakers cannot be attributed to differences in family and household characteristics as one could suspect, since they persist after controlling for family and household backgrounds. The coefficients on bilingual students are associated with an increased risk of dropout with respect to Spanish speaking students in Models 2 and 3, nonetheless the coefficient on Model 2 is statistically significant at 10 p</w:t>
      </w:r>
      <w:r w:rsidRPr="005149A0">
        <w:t>ercent, while the coefficient on this variable on Model 3 is no longer statistically significant at any conventional level.</w:t>
      </w:r>
    </w:p>
    <w:p w14:paraId="2B252C8A" w14:textId="6EACA87C" w:rsidR="00E222F0" w:rsidRPr="005149A0" w:rsidRDefault="00E222F0" w:rsidP="00261C12">
      <w:pPr>
        <w:pStyle w:val="Newparagraph"/>
        <w:jc w:val="both"/>
      </w:pPr>
      <w:r w:rsidRPr="005149A0">
        <w:t>In contrast to the results obtained in Model 1, being a first-born child is associated with an increase of students' dropout risk. While the coefficient on first born in Model 2 is statistically significant at a 5 percent level, in Model 3 it is not. These results are in line with those obtained by</w:t>
      </w:r>
      <w:r w:rsidR="005149A0" w:rsidRPr="005149A0">
        <w:t xml:space="preserve"> </w:t>
      </w:r>
      <w:r w:rsidR="005149A0" w:rsidRPr="005149A0">
        <w:fldChar w:fldCharType="begin" w:fldLock="1"/>
      </w:r>
      <w:r w:rsidR="005149A0" w:rsidRPr="005149A0">
        <w:instrText>ADDIN CSL_CITATION {"citationItems":[{"id":"ITEM-1","itemData":{"author":[{"dropping-particle":"","family":"Black","given":"Sandra E","non-dropping-particle":"","parse-names":false,"suffix":""},{"dropping-particle":"","family":"Devereux","given":"Paul J","non-dropping-particle":"","parse-names":false,"suffix":""},{"dropping-particle":"","family":"Salvanes","given":"Kjell G","non-dropping-particle":"","parse-names":false,"suffix":""}],"container-title":"The Quarterly Journal of Economics","id":"ITEM-1","issued":{"date-parts":[["2005"]]},"page":"669-700","publisher":"JSTOR","title":"The more the merrier? The effect of family size and birth order on children's education","type":"article-journal"},"uris":["http://www.mendeley.com/documents/?uuid=c2cba9f3-662f-431f-b0df-fcd96604da5c"]},{"id":"ITEM-2","itemData":{"author":[{"dropping-particle":"","family":"Booth","given":"Alison L","non-dropping-particle":"","parse-names":false,"suffix":""},{"dropping-particle":"","family":"Kee","given":"Hiau Joo","non-dropping-particle":"","parse-names":false,"suffix":""}],"container-title":"Journal of Population Economics","id":"ITEM-2","issue":"2","issued":{"date-parts":[["2009"]]},"page":"367-397","publisher":"Springer","title":"Birth order matters: the effect of family size and birth order on educational attainment","type":"article-journal","volume":"22"},"uris":["http://www.mendeley.com/documents/?uuid=9a5e0830-87e6-4a8b-af1d-c21ae3ef852f"]}],"mendeley":{"formattedCitation":"(Black et al., 2005; Booth &amp; Kee, 2009)","plainTextFormattedCitation":"(Black et al., 2005; Booth &amp; Kee, 2009)","previouslyFormattedCitation":"(Black et al., 2005; Booth &amp; Kee, 2009)"},"properties":{"noteIndex":0},"schema":"https://github.com/citation-style-language/schema/raw/master/csl-citation.json"}</w:instrText>
      </w:r>
      <w:r w:rsidR="005149A0" w:rsidRPr="005149A0">
        <w:fldChar w:fldCharType="separate"/>
      </w:r>
      <w:r w:rsidR="005149A0" w:rsidRPr="005149A0">
        <w:rPr>
          <w:noProof/>
        </w:rPr>
        <w:t>(Black et al., 2005; Booth &amp; Kee, 2009)</w:t>
      </w:r>
      <w:r w:rsidR="005149A0" w:rsidRPr="005149A0">
        <w:fldChar w:fldCharType="end"/>
      </w:r>
      <w:r w:rsidRPr="005149A0">
        <w:t xml:space="preserve">. Once again, being a first born in a rural area is associated with a higher dropout risk, while having health insurance decreases students' dropout risk by almost 70 percent. The coefficient on years of schooling of the highest educated female in the household is associated with a reduced risk of dropping out. This is expected, as previous research has suggested that higher probabilities of continuing and finishing school are partly attributable to parental education, which this variable is meant to capture. The number of school-aged children in the household also plays an important role in the risk of dropout. The coefficient on this variable indicates an increased risk of dropping out, therefore, reflecting the competition for resources within the household. Furthermore, the coefficients on the </w:t>
      </w:r>
      <w:r w:rsidRPr="005149A0">
        <w:lastRenderedPageBreak/>
        <w:t>wealth index in Models 2 and 3 indicate that higher levels of wealth are associated with lower risk of dropping out of primary school. Regarding migration, the hazard of dropping out is high for those who moved from rural to urban areas in comparison to those that did not move. Looking at the coefficient on moving from an urban to a rural area, it appears that this does not affect the hazard of dropping out.</w:t>
      </w:r>
    </w:p>
    <w:p w14:paraId="1CE9844A" w14:textId="22158B76" w:rsidR="005149A0" w:rsidRPr="005149A0" w:rsidRDefault="005149A0" w:rsidP="00261C12">
      <w:pPr>
        <w:pStyle w:val="Newparagraph"/>
        <w:jc w:val="both"/>
      </w:pPr>
      <w:r w:rsidRPr="005149A0">
        <w:t>Model 4 incorporates variables capturing income and health shocks in the model. The results are very similar to the ones obtained in models 2 and 3. While either of the coefficients on income and health shocks are not statistically significant at conventional levels, they indicate that experiencing an income or health shock increases the hazard of dropping out of primary school.</w:t>
      </w:r>
    </w:p>
    <w:p w14:paraId="2F940409" w14:textId="4D03C87B" w:rsidR="005149A0" w:rsidRDefault="005149A0" w:rsidP="00261C12">
      <w:pPr>
        <w:pStyle w:val="Newparagraph"/>
        <w:jc w:val="both"/>
        <w:rPr>
          <w:color w:val="000000"/>
        </w:rPr>
      </w:pPr>
      <w:r w:rsidRPr="005A56C5">
        <w:t>Regardi</w:t>
      </w:r>
      <w:r w:rsidRPr="005149A0">
        <w:t xml:space="preserve">ng the satisfaction of the proportional hazard assumptions in these models, the test based on Schoenfeld residuals was performed in order to validate this assumption. The main idea underlying this test is that if the hazards are truly proportional, then the residuals should be uncorrelated with the time variable or any function of it. Under the null hypothesis of this test the correlation is zero. The p-values obtained for each model are reported at the bottom of Table 6, indicating that the proportional hazard assumption is satisfied. It is worth noting that the violation of this assumption is not </w:t>
      </w:r>
      <w:r>
        <w:rPr>
          <w:color w:val="000000"/>
        </w:rPr>
        <w:t xml:space="preserve">necessarily bad, and in such case the results approximate the true effects on the risk of dropping out and can be interpreted as rough averages </w:t>
      </w:r>
      <w:r>
        <w:rPr>
          <w:color w:val="000000"/>
        </w:rPr>
        <w:fldChar w:fldCharType="begin" w:fldLock="1"/>
      </w:r>
      <w:r w:rsidR="00F245B7">
        <w:rPr>
          <w:color w:val="000000"/>
        </w:rPr>
        <w:instrText>ADDIN CSL_CITATION {"citationItems":[{"id":"ITEM-1","itemData":{"author":[{"dropping-particle":"","family":"Allison","given":"Paul D","non-dropping-particle":"","parse-names":false,"suffix":""}],"id":"ITEM-1","issued":{"date-parts":[["2010"]]},"publisher":"Sas Institute","title":"Survival analysis using SAS: a practical guide","type":"book"},"uris":["http://www.mendeley.com/documents/?uuid=b165f2c0-8944-4e50-afaf-38427eb77130"]}],"mendeley":{"formattedCitation":"(Allison, 2010)","plainTextFormattedCitation":"(Allison, 2010)","previouslyFormattedCitation":"(Allison, 2010)"},"properties":{"noteIndex":0},"schema":"https://github.com/citation-style-language/schema/raw/master/csl-citation.json"}</w:instrText>
      </w:r>
      <w:r>
        <w:rPr>
          <w:color w:val="000000"/>
        </w:rPr>
        <w:fldChar w:fldCharType="separate"/>
      </w:r>
      <w:r w:rsidRPr="005149A0">
        <w:rPr>
          <w:noProof/>
          <w:color w:val="000000"/>
        </w:rPr>
        <w:t>(Allison, 2010)</w:t>
      </w:r>
      <w:r>
        <w:rPr>
          <w:color w:val="000000"/>
        </w:rPr>
        <w:fldChar w:fldCharType="end"/>
      </w:r>
      <w:r>
        <w:rPr>
          <w:color w:val="000000"/>
        </w:rPr>
        <w:t>. A possible solution to the violation of this assumption is to incorporate interactions of the problematic variables and the time variable into the model.</w:t>
      </w:r>
    </w:p>
    <w:p w14:paraId="6E4BB123" w14:textId="1FF86062" w:rsidR="005149A0" w:rsidRDefault="005149A0" w:rsidP="00261C12">
      <w:pPr>
        <w:pStyle w:val="Newparagraph"/>
        <w:jc w:val="both"/>
      </w:pPr>
      <w:r w:rsidRPr="005149A0">
        <w:t xml:space="preserve">The models presented in Table </w:t>
      </w:r>
      <w:r>
        <w:t>6</w:t>
      </w:r>
      <w:r w:rsidRPr="005149A0">
        <w:t xml:space="preserve"> share the assumption that there are not substantial differences in the effects of covariates on dropout risk for each language group. Therefore, I re-estimate Model 4 for each language group separately. The results are shown in Table </w:t>
      </w:r>
      <w:r>
        <w:t>7</w:t>
      </w:r>
      <w:r w:rsidRPr="005149A0">
        <w:t xml:space="preserve">. Being a firstborn has a larger impact on decreasing the hazard of </w:t>
      </w:r>
      <w:r w:rsidRPr="005149A0">
        <w:lastRenderedPageBreak/>
        <w:t>dropping out for Spanish speakers than it does for Guaran</w:t>
      </w:r>
      <w:r>
        <w:t>í</w:t>
      </w:r>
      <w:r w:rsidRPr="005149A0">
        <w:t xml:space="preserve"> and Bilingual speakers. In contrast, having health insurance has a larger impact on Guaran</w:t>
      </w:r>
      <w:r>
        <w:t>í</w:t>
      </w:r>
      <w:r w:rsidRPr="005149A0">
        <w:t xml:space="preserve"> speakers. The results indicate that access to health insurance decreases the hazard of dropping out by 90.5 percent for Guaraní speakers and by about 60 percent for Spanish speakers. However, health insurance does not appear to affect the hazard of dropping out for bilingual speakers. In the case of the number of school-aged children, an additional child in Guaraní speaking households increases the risk of dropping out by 10 percent, and by 20 percent in bilingual households, while it does not seem to have an effect on Spanish speaking households. Furthermore, receiving remittances seems to decrease the risk of dropping out for Guaraní speakers. Finally, moving from rural to urban areas is associated with an increased risk of dropping out for Guaraní speakers.</w:t>
      </w:r>
    </w:p>
    <w:p w14:paraId="118E1D79" w14:textId="094D4D8C" w:rsidR="00E414C1" w:rsidRPr="00E414C1" w:rsidRDefault="00E414C1" w:rsidP="00E414C1">
      <w:pPr>
        <w:pStyle w:val="Caption"/>
        <w:keepNext/>
        <w:jc w:val="center"/>
        <w:rPr>
          <w:color w:val="auto"/>
          <w:sz w:val="20"/>
        </w:rPr>
      </w:pPr>
      <w:r w:rsidRPr="00E414C1">
        <w:rPr>
          <w:color w:val="auto"/>
          <w:sz w:val="20"/>
        </w:rPr>
        <w:t xml:space="preserve">Table </w:t>
      </w:r>
      <w:r w:rsidR="005A56C5">
        <w:rPr>
          <w:color w:val="auto"/>
          <w:sz w:val="20"/>
        </w:rPr>
        <w:t>6</w:t>
      </w:r>
      <w:r w:rsidRPr="00E414C1">
        <w:rPr>
          <w:color w:val="auto"/>
          <w:sz w:val="20"/>
        </w:rPr>
        <w:t xml:space="preserve"> - Cox-Hazard Models of Dropping Out Estimation Results by Language Group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1698"/>
        <w:gridCol w:w="1637"/>
        <w:gridCol w:w="1710"/>
      </w:tblGrid>
      <w:tr w:rsidR="005149A0" w:rsidRPr="008913B8" w14:paraId="65D4AE23" w14:textId="77777777" w:rsidTr="005149A0">
        <w:trPr>
          <w:jc w:val="center"/>
        </w:trPr>
        <w:tc>
          <w:tcPr>
            <w:tcW w:w="1795" w:type="dxa"/>
            <w:tcBorders>
              <w:top w:val="single" w:sz="4" w:space="0" w:color="auto"/>
              <w:bottom w:val="single" w:sz="4" w:space="0" w:color="auto"/>
            </w:tcBorders>
          </w:tcPr>
          <w:p w14:paraId="4D6DFBF7" w14:textId="77777777" w:rsidR="005149A0" w:rsidRPr="008913B8" w:rsidRDefault="005149A0" w:rsidP="00E414C1">
            <w:pPr>
              <w:pStyle w:val="Newparagraph"/>
              <w:spacing w:line="240" w:lineRule="auto"/>
              <w:ind w:firstLine="0"/>
              <w:rPr>
                <w:b/>
                <w:sz w:val="20"/>
                <w:szCs w:val="20"/>
              </w:rPr>
            </w:pPr>
            <w:r w:rsidRPr="008913B8">
              <w:rPr>
                <w:b/>
                <w:color w:val="000000"/>
                <w:sz w:val="20"/>
                <w:szCs w:val="20"/>
              </w:rPr>
              <w:t>Variable</w:t>
            </w:r>
          </w:p>
        </w:tc>
        <w:tc>
          <w:tcPr>
            <w:tcW w:w="1698" w:type="dxa"/>
            <w:tcBorders>
              <w:top w:val="single" w:sz="4" w:space="0" w:color="auto"/>
              <w:bottom w:val="single" w:sz="4" w:space="0" w:color="auto"/>
            </w:tcBorders>
          </w:tcPr>
          <w:p w14:paraId="0F6819C3" w14:textId="42C0A8DC" w:rsidR="005149A0" w:rsidRPr="008913B8" w:rsidRDefault="005149A0" w:rsidP="00E414C1">
            <w:pPr>
              <w:pStyle w:val="Newparagraph"/>
              <w:spacing w:line="240" w:lineRule="auto"/>
              <w:ind w:firstLine="0"/>
              <w:jc w:val="center"/>
              <w:rPr>
                <w:b/>
                <w:sz w:val="20"/>
                <w:szCs w:val="20"/>
              </w:rPr>
            </w:pPr>
            <w:r>
              <w:rPr>
                <w:b/>
                <w:sz w:val="20"/>
                <w:szCs w:val="20"/>
              </w:rPr>
              <w:t>Guaraní speakers</w:t>
            </w:r>
          </w:p>
        </w:tc>
        <w:tc>
          <w:tcPr>
            <w:tcW w:w="1637" w:type="dxa"/>
            <w:tcBorders>
              <w:top w:val="single" w:sz="4" w:space="0" w:color="auto"/>
              <w:bottom w:val="single" w:sz="4" w:space="0" w:color="auto"/>
            </w:tcBorders>
          </w:tcPr>
          <w:p w14:paraId="27B0F7F4" w14:textId="7DDF4392" w:rsidR="005149A0" w:rsidRPr="008913B8" w:rsidRDefault="005149A0" w:rsidP="00E414C1">
            <w:pPr>
              <w:pStyle w:val="Newparagraph"/>
              <w:spacing w:line="240" w:lineRule="auto"/>
              <w:ind w:firstLine="0"/>
              <w:jc w:val="center"/>
              <w:rPr>
                <w:b/>
                <w:sz w:val="20"/>
                <w:szCs w:val="20"/>
              </w:rPr>
            </w:pPr>
            <w:r>
              <w:rPr>
                <w:b/>
                <w:sz w:val="20"/>
                <w:szCs w:val="20"/>
              </w:rPr>
              <w:t>Spanish speakers</w:t>
            </w:r>
          </w:p>
        </w:tc>
        <w:tc>
          <w:tcPr>
            <w:tcW w:w="1710" w:type="dxa"/>
            <w:tcBorders>
              <w:top w:val="single" w:sz="4" w:space="0" w:color="auto"/>
              <w:bottom w:val="single" w:sz="4" w:space="0" w:color="auto"/>
            </w:tcBorders>
          </w:tcPr>
          <w:p w14:paraId="4B250243" w14:textId="27D480E3" w:rsidR="005149A0" w:rsidRPr="008913B8" w:rsidRDefault="005149A0" w:rsidP="00E414C1">
            <w:pPr>
              <w:pStyle w:val="Newparagraph"/>
              <w:spacing w:line="240" w:lineRule="auto"/>
              <w:ind w:firstLine="0"/>
              <w:jc w:val="center"/>
              <w:rPr>
                <w:b/>
                <w:sz w:val="20"/>
                <w:szCs w:val="20"/>
              </w:rPr>
            </w:pPr>
            <w:r>
              <w:rPr>
                <w:b/>
                <w:sz w:val="20"/>
                <w:szCs w:val="20"/>
              </w:rPr>
              <w:t>Bilingual speakers</w:t>
            </w:r>
          </w:p>
        </w:tc>
      </w:tr>
      <w:tr w:rsidR="005149A0" w:rsidRPr="008913B8" w14:paraId="35B8B889" w14:textId="77777777" w:rsidTr="005149A0">
        <w:trPr>
          <w:jc w:val="center"/>
        </w:trPr>
        <w:tc>
          <w:tcPr>
            <w:tcW w:w="1795" w:type="dxa"/>
            <w:tcBorders>
              <w:top w:val="single" w:sz="4" w:space="0" w:color="auto"/>
            </w:tcBorders>
          </w:tcPr>
          <w:p w14:paraId="2B2960D7" w14:textId="77777777" w:rsidR="005149A0" w:rsidRPr="008913B8" w:rsidRDefault="005149A0" w:rsidP="00E414C1">
            <w:pPr>
              <w:pStyle w:val="Newparagraph"/>
              <w:spacing w:line="240" w:lineRule="auto"/>
              <w:ind w:firstLine="0"/>
              <w:rPr>
                <w:sz w:val="20"/>
                <w:szCs w:val="20"/>
              </w:rPr>
            </w:pPr>
            <w:r w:rsidRPr="008913B8">
              <w:rPr>
                <w:sz w:val="20"/>
                <w:szCs w:val="20"/>
              </w:rPr>
              <w:t>female</w:t>
            </w:r>
          </w:p>
        </w:tc>
        <w:tc>
          <w:tcPr>
            <w:tcW w:w="1698" w:type="dxa"/>
            <w:tcBorders>
              <w:top w:val="single" w:sz="4" w:space="0" w:color="auto"/>
            </w:tcBorders>
          </w:tcPr>
          <w:p w14:paraId="6D74CFB3" w14:textId="35BB2743" w:rsidR="005149A0" w:rsidRPr="008913B8" w:rsidRDefault="005149A0" w:rsidP="00E414C1">
            <w:pPr>
              <w:pStyle w:val="Newparagraph"/>
              <w:spacing w:line="240" w:lineRule="auto"/>
              <w:ind w:firstLine="0"/>
              <w:jc w:val="center"/>
              <w:rPr>
                <w:sz w:val="20"/>
                <w:szCs w:val="20"/>
              </w:rPr>
            </w:pPr>
            <w:r>
              <w:rPr>
                <w:color w:val="000000"/>
              </w:rPr>
              <w:t xml:space="preserve">0.952 </w:t>
            </w:r>
          </w:p>
        </w:tc>
        <w:tc>
          <w:tcPr>
            <w:tcW w:w="1637" w:type="dxa"/>
            <w:tcBorders>
              <w:top w:val="single" w:sz="4" w:space="0" w:color="auto"/>
            </w:tcBorders>
          </w:tcPr>
          <w:p w14:paraId="3550FDB0" w14:textId="7CCA93A8" w:rsidR="005149A0" w:rsidRPr="008913B8" w:rsidRDefault="005149A0" w:rsidP="00E414C1">
            <w:pPr>
              <w:pStyle w:val="Newparagraph"/>
              <w:spacing w:line="240" w:lineRule="auto"/>
              <w:ind w:firstLine="0"/>
              <w:jc w:val="center"/>
              <w:rPr>
                <w:sz w:val="20"/>
                <w:szCs w:val="20"/>
              </w:rPr>
            </w:pPr>
            <w:r>
              <w:rPr>
                <w:color w:val="000000"/>
              </w:rPr>
              <w:t>0.944</w:t>
            </w:r>
          </w:p>
        </w:tc>
        <w:tc>
          <w:tcPr>
            <w:tcW w:w="1710" w:type="dxa"/>
            <w:tcBorders>
              <w:top w:val="single" w:sz="4" w:space="0" w:color="auto"/>
            </w:tcBorders>
          </w:tcPr>
          <w:p w14:paraId="7F2125EC" w14:textId="028F89E6" w:rsidR="005149A0" w:rsidRPr="008913B8" w:rsidRDefault="005149A0" w:rsidP="00E414C1">
            <w:pPr>
              <w:pStyle w:val="Newparagraph"/>
              <w:spacing w:line="240" w:lineRule="auto"/>
              <w:ind w:firstLine="0"/>
              <w:jc w:val="center"/>
              <w:rPr>
                <w:sz w:val="20"/>
                <w:szCs w:val="20"/>
              </w:rPr>
            </w:pPr>
            <w:r>
              <w:rPr>
                <w:color w:val="000000"/>
              </w:rPr>
              <w:t>0.776</w:t>
            </w:r>
          </w:p>
        </w:tc>
      </w:tr>
      <w:tr w:rsidR="005149A0" w:rsidRPr="008913B8" w14:paraId="591BA42A" w14:textId="77777777" w:rsidTr="005149A0">
        <w:trPr>
          <w:jc w:val="center"/>
        </w:trPr>
        <w:tc>
          <w:tcPr>
            <w:tcW w:w="1795" w:type="dxa"/>
          </w:tcPr>
          <w:p w14:paraId="0A8C2588" w14:textId="77777777" w:rsidR="005149A0" w:rsidRPr="008913B8" w:rsidRDefault="005149A0" w:rsidP="005149A0">
            <w:pPr>
              <w:pStyle w:val="Newparagraph"/>
              <w:spacing w:line="240" w:lineRule="auto"/>
              <w:ind w:firstLine="0"/>
              <w:rPr>
                <w:sz w:val="20"/>
                <w:szCs w:val="20"/>
              </w:rPr>
            </w:pPr>
          </w:p>
        </w:tc>
        <w:tc>
          <w:tcPr>
            <w:tcW w:w="1698" w:type="dxa"/>
          </w:tcPr>
          <w:p w14:paraId="3D888A01" w14:textId="44D1B3D8" w:rsidR="005149A0" w:rsidRPr="008913B8" w:rsidRDefault="005149A0" w:rsidP="005149A0">
            <w:pPr>
              <w:pStyle w:val="Newparagraph"/>
              <w:spacing w:line="240" w:lineRule="auto"/>
              <w:ind w:firstLine="0"/>
              <w:jc w:val="center"/>
              <w:rPr>
                <w:sz w:val="20"/>
                <w:szCs w:val="20"/>
              </w:rPr>
            </w:pPr>
            <w:r w:rsidRPr="001243D0">
              <w:rPr>
                <w:color w:val="000000"/>
              </w:rPr>
              <w:t>(0.21)</w:t>
            </w:r>
          </w:p>
        </w:tc>
        <w:tc>
          <w:tcPr>
            <w:tcW w:w="1637" w:type="dxa"/>
          </w:tcPr>
          <w:p w14:paraId="3A2319A9" w14:textId="02CB37C9" w:rsidR="005149A0" w:rsidRPr="008913B8" w:rsidRDefault="005149A0" w:rsidP="005149A0">
            <w:pPr>
              <w:pStyle w:val="Newparagraph"/>
              <w:spacing w:line="240" w:lineRule="auto"/>
              <w:ind w:firstLine="0"/>
              <w:jc w:val="center"/>
              <w:rPr>
                <w:sz w:val="20"/>
                <w:szCs w:val="20"/>
              </w:rPr>
            </w:pPr>
            <w:r w:rsidRPr="001243D0">
              <w:rPr>
                <w:color w:val="000000"/>
              </w:rPr>
              <w:t xml:space="preserve"> (0.59)</w:t>
            </w:r>
          </w:p>
        </w:tc>
        <w:tc>
          <w:tcPr>
            <w:tcW w:w="1710" w:type="dxa"/>
          </w:tcPr>
          <w:p w14:paraId="6F9C454E" w14:textId="4927C87A" w:rsidR="005149A0" w:rsidRPr="008913B8" w:rsidRDefault="005149A0" w:rsidP="005149A0">
            <w:pPr>
              <w:pStyle w:val="Newparagraph"/>
              <w:spacing w:line="240" w:lineRule="auto"/>
              <w:ind w:firstLine="0"/>
              <w:jc w:val="center"/>
              <w:rPr>
                <w:sz w:val="20"/>
                <w:szCs w:val="20"/>
              </w:rPr>
            </w:pPr>
            <w:r w:rsidRPr="001243D0">
              <w:rPr>
                <w:color w:val="000000"/>
              </w:rPr>
              <w:t xml:space="preserve"> (0.32)</w:t>
            </w:r>
          </w:p>
        </w:tc>
      </w:tr>
      <w:tr w:rsidR="005149A0" w:rsidRPr="008913B8" w14:paraId="3C494D7D" w14:textId="77777777" w:rsidTr="005149A0">
        <w:trPr>
          <w:jc w:val="center"/>
        </w:trPr>
        <w:tc>
          <w:tcPr>
            <w:tcW w:w="1795" w:type="dxa"/>
          </w:tcPr>
          <w:p w14:paraId="141B4B71" w14:textId="77777777" w:rsidR="005149A0" w:rsidRPr="008913B8" w:rsidRDefault="005149A0" w:rsidP="005149A0">
            <w:pPr>
              <w:pStyle w:val="Newparagraph"/>
              <w:spacing w:line="240" w:lineRule="auto"/>
              <w:ind w:firstLine="0"/>
              <w:rPr>
                <w:sz w:val="20"/>
                <w:szCs w:val="20"/>
              </w:rPr>
            </w:pPr>
            <w:r w:rsidRPr="008913B8">
              <w:rPr>
                <w:sz w:val="20"/>
                <w:szCs w:val="20"/>
              </w:rPr>
              <w:t>First-born</w:t>
            </w:r>
          </w:p>
        </w:tc>
        <w:tc>
          <w:tcPr>
            <w:tcW w:w="1698" w:type="dxa"/>
          </w:tcPr>
          <w:p w14:paraId="7629E844" w14:textId="7BE2DD40" w:rsidR="005149A0" w:rsidRPr="008913B8" w:rsidRDefault="005149A0" w:rsidP="005149A0">
            <w:pPr>
              <w:pStyle w:val="Newparagraph"/>
              <w:spacing w:line="240" w:lineRule="auto"/>
              <w:ind w:firstLine="0"/>
              <w:jc w:val="center"/>
              <w:rPr>
                <w:sz w:val="20"/>
                <w:szCs w:val="20"/>
              </w:rPr>
            </w:pPr>
            <w:r w:rsidRPr="00E21DC3">
              <w:rPr>
                <w:color w:val="000000"/>
              </w:rPr>
              <w:t>1.</w:t>
            </w:r>
            <w:r w:rsidRPr="00E21DC3">
              <w:rPr>
                <w:color w:val="000000"/>
                <w:u w:val="single"/>
              </w:rPr>
              <w:t>617**</w:t>
            </w:r>
            <w:r w:rsidRPr="00E21DC3">
              <w:rPr>
                <w:color w:val="000000"/>
              </w:rPr>
              <w:t xml:space="preserve">  </w:t>
            </w:r>
          </w:p>
        </w:tc>
        <w:tc>
          <w:tcPr>
            <w:tcW w:w="1637" w:type="dxa"/>
          </w:tcPr>
          <w:p w14:paraId="40C07E13" w14:textId="494EDC8E" w:rsidR="005149A0" w:rsidRPr="008913B8" w:rsidRDefault="005149A0" w:rsidP="005149A0">
            <w:pPr>
              <w:pStyle w:val="Newparagraph"/>
              <w:spacing w:line="240" w:lineRule="auto"/>
              <w:ind w:firstLine="0"/>
              <w:jc w:val="center"/>
              <w:rPr>
                <w:sz w:val="20"/>
                <w:szCs w:val="20"/>
              </w:rPr>
            </w:pPr>
            <w:r w:rsidRPr="00E21DC3">
              <w:rPr>
                <w:color w:val="000000"/>
              </w:rPr>
              <w:t xml:space="preserve">0.454    </w:t>
            </w:r>
          </w:p>
        </w:tc>
        <w:tc>
          <w:tcPr>
            <w:tcW w:w="1710" w:type="dxa"/>
          </w:tcPr>
          <w:p w14:paraId="33B18508" w14:textId="71701A9C" w:rsidR="005149A0" w:rsidRPr="008913B8" w:rsidRDefault="005149A0" w:rsidP="005149A0">
            <w:pPr>
              <w:pStyle w:val="Newparagraph"/>
              <w:spacing w:line="240" w:lineRule="auto"/>
              <w:ind w:firstLine="0"/>
              <w:jc w:val="center"/>
              <w:rPr>
                <w:sz w:val="20"/>
                <w:szCs w:val="20"/>
              </w:rPr>
            </w:pPr>
            <w:r w:rsidRPr="00E21DC3">
              <w:rPr>
                <w:color w:val="000000"/>
              </w:rPr>
              <w:t>1.406</w:t>
            </w:r>
          </w:p>
        </w:tc>
      </w:tr>
      <w:tr w:rsidR="005149A0" w:rsidRPr="008913B8" w14:paraId="66434C21" w14:textId="77777777" w:rsidTr="005149A0">
        <w:trPr>
          <w:jc w:val="center"/>
        </w:trPr>
        <w:tc>
          <w:tcPr>
            <w:tcW w:w="1795" w:type="dxa"/>
          </w:tcPr>
          <w:p w14:paraId="632E761F" w14:textId="77777777" w:rsidR="005149A0" w:rsidRPr="008913B8" w:rsidRDefault="005149A0" w:rsidP="005149A0">
            <w:pPr>
              <w:pStyle w:val="Newparagraph"/>
              <w:spacing w:line="240" w:lineRule="auto"/>
              <w:ind w:firstLine="0"/>
              <w:rPr>
                <w:sz w:val="20"/>
                <w:szCs w:val="20"/>
              </w:rPr>
            </w:pPr>
          </w:p>
        </w:tc>
        <w:tc>
          <w:tcPr>
            <w:tcW w:w="1698" w:type="dxa"/>
          </w:tcPr>
          <w:p w14:paraId="08766892" w14:textId="74B9C981" w:rsidR="005149A0" w:rsidRPr="008913B8" w:rsidRDefault="005149A0" w:rsidP="005149A0">
            <w:pPr>
              <w:pStyle w:val="Newparagraph"/>
              <w:spacing w:line="240" w:lineRule="auto"/>
              <w:ind w:firstLine="0"/>
              <w:jc w:val="center"/>
              <w:rPr>
                <w:sz w:val="20"/>
                <w:szCs w:val="20"/>
              </w:rPr>
            </w:pPr>
            <w:r w:rsidRPr="00A35D8A">
              <w:rPr>
                <w:color w:val="000000"/>
              </w:rPr>
              <w:t>(0.37)</w:t>
            </w:r>
          </w:p>
        </w:tc>
        <w:tc>
          <w:tcPr>
            <w:tcW w:w="1637" w:type="dxa"/>
          </w:tcPr>
          <w:p w14:paraId="41964C55" w14:textId="16745D5E" w:rsidR="005149A0" w:rsidRPr="008913B8" w:rsidRDefault="005149A0" w:rsidP="005149A0">
            <w:pPr>
              <w:pStyle w:val="Newparagraph"/>
              <w:spacing w:line="240" w:lineRule="auto"/>
              <w:ind w:firstLine="0"/>
              <w:jc w:val="center"/>
              <w:rPr>
                <w:sz w:val="20"/>
                <w:szCs w:val="20"/>
              </w:rPr>
            </w:pPr>
            <w:r w:rsidRPr="00A35D8A">
              <w:rPr>
                <w:color w:val="000000"/>
              </w:rPr>
              <w:t xml:space="preserve"> (0.27)</w:t>
            </w:r>
          </w:p>
        </w:tc>
        <w:tc>
          <w:tcPr>
            <w:tcW w:w="1710" w:type="dxa"/>
          </w:tcPr>
          <w:p w14:paraId="3DFB218F" w14:textId="092E8A3C" w:rsidR="005149A0" w:rsidRPr="008913B8" w:rsidRDefault="005149A0" w:rsidP="005149A0">
            <w:pPr>
              <w:pStyle w:val="Newparagraph"/>
              <w:spacing w:line="240" w:lineRule="auto"/>
              <w:ind w:firstLine="0"/>
              <w:jc w:val="center"/>
              <w:rPr>
                <w:sz w:val="20"/>
                <w:szCs w:val="20"/>
              </w:rPr>
            </w:pPr>
            <w:r w:rsidRPr="00A35D8A">
              <w:rPr>
                <w:color w:val="000000"/>
              </w:rPr>
              <w:t xml:space="preserve"> (0.49)</w:t>
            </w:r>
          </w:p>
        </w:tc>
      </w:tr>
      <w:tr w:rsidR="005149A0" w:rsidRPr="008913B8" w14:paraId="329898D8" w14:textId="77777777" w:rsidTr="005149A0">
        <w:trPr>
          <w:jc w:val="center"/>
        </w:trPr>
        <w:tc>
          <w:tcPr>
            <w:tcW w:w="1795" w:type="dxa"/>
          </w:tcPr>
          <w:p w14:paraId="3ECC7E62" w14:textId="77777777" w:rsidR="005149A0" w:rsidRPr="008913B8" w:rsidRDefault="005149A0" w:rsidP="005149A0">
            <w:pPr>
              <w:pStyle w:val="Newparagraph"/>
              <w:spacing w:line="240" w:lineRule="auto"/>
              <w:ind w:firstLine="0"/>
              <w:rPr>
                <w:sz w:val="20"/>
                <w:szCs w:val="20"/>
              </w:rPr>
            </w:pPr>
            <w:r w:rsidRPr="008913B8">
              <w:rPr>
                <w:sz w:val="20"/>
                <w:szCs w:val="20"/>
              </w:rPr>
              <w:t>fbfem</w:t>
            </w:r>
          </w:p>
        </w:tc>
        <w:tc>
          <w:tcPr>
            <w:tcW w:w="1698" w:type="dxa"/>
          </w:tcPr>
          <w:p w14:paraId="46193AC3" w14:textId="4797D62B" w:rsidR="005149A0" w:rsidRPr="008913B8" w:rsidRDefault="005149A0" w:rsidP="005149A0">
            <w:pPr>
              <w:pStyle w:val="Newparagraph"/>
              <w:spacing w:line="240" w:lineRule="auto"/>
              <w:ind w:firstLine="0"/>
              <w:jc w:val="center"/>
              <w:rPr>
                <w:sz w:val="20"/>
                <w:szCs w:val="20"/>
              </w:rPr>
            </w:pPr>
            <w:r w:rsidRPr="00AB30BB">
              <w:rPr>
                <w:color w:val="000000"/>
              </w:rPr>
              <w:t>0.912</w:t>
            </w:r>
          </w:p>
        </w:tc>
        <w:tc>
          <w:tcPr>
            <w:tcW w:w="1637" w:type="dxa"/>
          </w:tcPr>
          <w:p w14:paraId="50F0176A" w14:textId="66099AB5" w:rsidR="005149A0" w:rsidRPr="008913B8" w:rsidRDefault="005149A0" w:rsidP="005149A0">
            <w:pPr>
              <w:pStyle w:val="Newparagraph"/>
              <w:spacing w:line="240" w:lineRule="auto"/>
              <w:ind w:firstLine="0"/>
              <w:jc w:val="center"/>
              <w:rPr>
                <w:sz w:val="20"/>
                <w:szCs w:val="20"/>
              </w:rPr>
            </w:pPr>
            <w:r w:rsidRPr="00AB30BB">
              <w:rPr>
                <w:color w:val="000000"/>
              </w:rPr>
              <w:t xml:space="preserve">0.961    </w:t>
            </w:r>
          </w:p>
        </w:tc>
        <w:tc>
          <w:tcPr>
            <w:tcW w:w="1710" w:type="dxa"/>
          </w:tcPr>
          <w:p w14:paraId="25BF2FC6" w14:textId="03EBE019" w:rsidR="005149A0" w:rsidRPr="008913B8" w:rsidRDefault="005149A0" w:rsidP="005149A0">
            <w:pPr>
              <w:pStyle w:val="Newparagraph"/>
              <w:spacing w:line="240" w:lineRule="auto"/>
              <w:ind w:firstLine="0"/>
              <w:jc w:val="center"/>
              <w:rPr>
                <w:sz w:val="20"/>
                <w:szCs w:val="20"/>
              </w:rPr>
            </w:pPr>
            <w:r w:rsidRPr="00AB30BB">
              <w:rPr>
                <w:color w:val="000000"/>
              </w:rPr>
              <w:t xml:space="preserve"> 1.444</w:t>
            </w:r>
          </w:p>
        </w:tc>
      </w:tr>
      <w:tr w:rsidR="005149A0" w:rsidRPr="008913B8" w14:paraId="68213229" w14:textId="77777777" w:rsidTr="005149A0">
        <w:trPr>
          <w:jc w:val="center"/>
        </w:trPr>
        <w:tc>
          <w:tcPr>
            <w:tcW w:w="1795" w:type="dxa"/>
          </w:tcPr>
          <w:p w14:paraId="232C6F1C" w14:textId="77777777" w:rsidR="005149A0" w:rsidRPr="008913B8" w:rsidRDefault="005149A0" w:rsidP="005149A0">
            <w:pPr>
              <w:pStyle w:val="Newparagraph"/>
              <w:spacing w:line="240" w:lineRule="auto"/>
              <w:ind w:firstLine="0"/>
              <w:rPr>
                <w:sz w:val="20"/>
                <w:szCs w:val="20"/>
              </w:rPr>
            </w:pPr>
          </w:p>
        </w:tc>
        <w:tc>
          <w:tcPr>
            <w:tcW w:w="1698" w:type="dxa"/>
          </w:tcPr>
          <w:p w14:paraId="7AAF5A70" w14:textId="556861FB" w:rsidR="005149A0" w:rsidRPr="008913B8" w:rsidRDefault="005149A0" w:rsidP="005149A0">
            <w:pPr>
              <w:pStyle w:val="Newparagraph"/>
              <w:spacing w:line="240" w:lineRule="auto"/>
              <w:ind w:firstLine="0"/>
              <w:jc w:val="center"/>
              <w:rPr>
                <w:sz w:val="20"/>
                <w:szCs w:val="20"/>
              </w:rPr>
            </w:pPr>
            <w:r w:rsidRPr="004C50CF">
              <w:rPr>
                <w:color w:val="000000"/>
              </w:rPr>
              <w:t>(0.23)</w:t>
            </w:r>
          </w:p>
        </w:tc>
        <w:tc>
          <w:tcPr>
            <w:tcW w:w="1637" w:type="dxa"/>
          </w:tcPr>
          <w:p w14:paraId="342D6FA7" w14:textId="42CDB1FA" w:rsidR="005149A0" w:rsidRPr="008913B8" w:rsidRDefault="005149A0" w:rsidP="005149A0">
            <w:pPr>
              <w:pStyle w:val="Newparagraph"/>
              <w:spacing w:line="240" w:lineRule="auto"/>
              <w:ind w:firstLine="0"/>
              <w:jc w:val="center"/>
              <w:rPr>
                <w:sz w:val="20"/>
                <w:szCs w:val="20"/>
              </w:rPr>
            </w:pPr>
            <w:r>
              <w:rPr>
                <w:color w:val="000000"/>
              </w:rPr>
              <w:t>(</w:t>
            </w:r>
            <w:r w:rsidRPr="004C50CF">
              <w:rPr>
                <w:color w:val="000000"/>
              </w:rPr>
              <w:t xml:space="preserve">0.74) </w:t>
            </w:r>
          </w:p>
        </w:tc>
        <w:tc>
          <w:tcPr>
            <w:tcW w:w="1710" w:type="dxa"/>
          </w:tcPr>
          <w:p w14:paraId="4E2121F9" w14:textId="549F355D" w:rsidR="005149A0" w:rsidRPr="008913B8" w:rsidRDefault="005149A0" w:rsidP="005149A0">
            <w:pPr>
              <w:pStyle w:val="Newparagraph"/>
              <w:spacing w:line="240" w:lineRule="auto"/>
              <w:ind w:firstLine="0"/>
              <w:jc w:val="center"/>
              <w:rPr>
                <w:sz w:val="20"/>
                <w:szCs w:val="20"/>
              </w:rPr>
            </w:pPr>
            <w:r>
              <w:rPr>
                <w:color w:val="000000"/>
              </w:rPr>
              <w:t>(</w:t>
            </w:r>
            <w:r w:rsidRPr="004C50CF">
              <w:rPr>
                <w:color w:val="000000"/>
              </w:rPr>
              <w:t>0.64)</w:t>
            </w:r>
          </w:p>
        </w:tc>
      </w:tr>
      <w:tr w:rsidR="005149A0" w:rsidRPr="008913B8" w14:paraId="207D0BCD" w14:textId="77777777" w:rsidTr="005149A0">
        <w:trPr>
          <w:jc w:val="center"/>
        </w:trPr>
        <w:tc>
          <w:tcPr>
            <w:tcW w:w="1795" w:type="dxa"/>
          </w:tcPr>
          <w:p w14:paraId="5C8E2D87" w14:textId="77777777" w:rsidR="005149A0" w:rsidRPr="008913B8" w:rsidRDefault="005149A0" w:rsidP="005149A0">
            <w:pPr>
              <w:pStyle w:val="Newparagraph"/>
              <w:spacing w:line="240" w:lineRule="auto"/>
              <w:ind w:firstLine="0"/>
              <w:rPr>
                <w:sz w:val="20"/>
                <w:szCs w:val="20"/>
              </w:rPr>
            </w:pPr>
            <w:r w:rsidRPr="008913B8">
              <w:rPr>
                <w:sz w:val="20"/>
                <w:szCs w:val="20"/>
              </w:rPr>
              <w:t>fbru</w:t>
            </w:r>
          </w:p>
        </w:tc>
        <w:tc>
          <w:tcPr>
            <w:tcW w:w="1698" w:type="dxa"/>
          </w:tcPr>
          <w:p w14:paraId="55757DB1" w14:textId="6A6A5034" w:rsidR="005149A0" w:rsidRPr="008913B8" w:rsidRDefault="005149A0" w:rsidP="005149A0">
            <w:pPr>
              <w:pStyle w:val="Newparagraph"/>
              <w:spacing w:line="240" w:lineRule="auto"/>
              <w:ind w:firstLine="0"/>
              <w:jc w:val="center"/>
              <w:rPr>
                <w:sz w:val="20"/>
                <w:szCs w:val="20"/>
              </w:rPr>
            </w:pPr>
            <w:r w:rsidRPr="006B3A2C">
              <w:rPr>
                <w:color w:val="000000"/>
              </w:rPr>
              <w:t>1.296</w:t>
            </w:r>
          </w:p>
        </w:tc>
        <w:tc>
          <w:tcPr>
            <w:tcW w:w="1637" w:type="dxa"/>
          </w:tcPr>
          <w:p w14:paraId="1763CD7D" w14:textId="5F19747D" w:rsidR="005149A0" w:rsidRPr="008913B8" w:rsidRDefault="005149A0" w:rsidP="005149A0">
            <w:pPr>
              <w:pStyle w:val="Newparagraph"/>
              <w:spacing w:line="240" w:lineRule="auto"/>
              <w:ind w:firstLine="0"/>
              <w:jc w:val="center"/>
              <w:rPr>
                <w:sz w:val="20"/>
                <w:szCs w:val="20"/>
              </w:rPr>
            </w:pPr>
            <w:r w:rsidRPr="006B3A2C">
              <w:rPr>
                <w:color w:val="000000"/>
              </w:rPr>
              <w:t>3.</w:t>
            </w:r>
            <w:r w:rsidRPr="006B3A2C">
              <w:rPr>
                <w:color w:val="000000"/>
                <w:u w:val="single"/>
              </w:rPr>
              <w:t>476***</w:t>
            </w:r>
          </w:p>
        </w:tc>
        <w:tc>
          <w:tcPr>
            <w:tcW w:w="1710" w:type="dxa"/>
          </w:tcPr>
          <w:p w14:paraId="6ACEF43F" w14:textId="6E96B8DF" w:rsidR="005149A0" w:rsidRPr="008913B8" w:rsidRDefault="005149A0" w:rsidP="005149A0">
            <w:pPr>
              <w:pStyle w:val="Newparagraph"/>
              <w:spacing w:line="240" w:lineRule="auto"/>
              <w:ind w:firstLine="0"/>
              <w:jc w:val="center"/>
              <w:rPr>
                <w:sz w:val="20"/>
                <w:szCs w:val="20"/>
              </w:rPr>
            </w:pPr>
            <w:r w:rsidRPr="006B3A2C">
              <w:rPr>
                <w:color w:val="000000"/>
              </w:rPr>
              <w:t>1.038</w:t>
            </w:r>
          </w:p>
        </w:tc>
      </w:tr>
      <w:tr w:rsidR="005149A0" w:rsidRPr="008913B8" w14:paraId="4AEF81FF" w14:textId="77777777" w:rsidTr="005149A0">
        <w:trPr>
          <w:jc w:val="center"/>
        </w:trPr>
        <w:tc>
          <w:tcPr>
            <w:tcW w:w="1795" w:type="dxa"/>
          </w:tcPr>
          <w:p w14:paraId="783A7523" w14:textId="77777777" w:rsidR="005149A0" w:rsidRPr="008913B8" w:rsidRDefault="005149A0" w:rsidP="005149A0">
            <w:pPr>
              <w:pStyle w:val="Newparagraph"/>
              <w:spacing w:line="240" w:lineRule="auto"/>
              <w:ind w:firstLine="0"/>
              <w:rPr>
                <w:sz w:val="20"/>
                <w:szCs w:val="20"/>
              </w:rPr>
            </w:pPr>
          </w:p>
        </w:tc>
        <w:tc>
          <w:tcPr>
            <w:tcW w:w="1698" w:type="dxa"/>
          </w:tcPr>
          <w:p w14:paraId="75ACAC5C" w14:textId="1B527939" w:rsidR="005149A0" w:rsidRPr="008913B8" w:rsidRDefault="005149A0" w:rsidP="005149A0">
            <w:pPr>
              <w:pStyle w:val="Newparagraph"/>
              <w:spacing w:line="240" w:lineRule="auto"/>
              <w:ind w:firstLine="0"/>
              <w:jc w:val="center"/>
              <w:rPr>
                <w:sz w:val="20"/>
                <w:szCs w:val="20"/>
              </w:rPr>
            </w:pPr>
            <w:r w:rsidRPr="00385CA8">
              <w:rPr>
                <w:color w:val="000000"/>
              </w:rPr>
              <w:t xml:space="preserve">(0.23)   </w:t>
            </w:r>
          </w:p>
        </w:tc>
        <w:tc>
          <w:tcPr>
            <w:tcW w:w="1637" w:type="dxa"/>
          </w:tcPr>
          <w:p w14:paraId="7C5D2DF2" w14:textId="1D6C9507" w:rsidR="005149A0" w:rsidRPr="008913B8" w:rsidRDefault="005149A0" w:rsidP="005149A0">
            <w:pPr>
              <w:pStyle w:val="Newparagraph"/>
              <w:spacing w:line="240" w:lineRule="auto"/>
              <w:ind w:firstLine="0"/>
              <w:jc w:val="center"/>
              <w:rPr>
                <w:sz w:val="20"/>
                <w:szCs w:val="20"/>
              </w:rPr>
            </w:pPr>
            <w:r>
              <w:rPr>
                <w:color w:val="000000"/>
              </w:rPr>
              <w:t>(</w:t>
            </w:r>
            <w:r w:rsidRPr="00385CA8">
              <w:rPr>
                <w:color w:val="000000"/>
              </w:rPr>
              <w:t xml:space="preserve">1.61)   </w:t>
            </w:r>
          </w:p>
        </w:tc>
        <w:tc>
          <w:tcPr>
            <w:tcW w:w="1710" w:type="dxa"/>
          </w:tcPr>
          <w:p w14:paraId="1DB885BE" w14:textId="6A1E9F5B" w:rsidR="005149A0" w:rsidRPr="008913B8" w:rsidRDefault="005149A0" w:rsidP="005149A0">
            <w:pPr>
              <w:pStyle w:val="Newparagraph"/>
              <w:spacing w:line="240" w:lineRule="auto"/>
              <w:ind w:firstLine="0"/>
              <w:jc w:val="center"/>
              <w:rPr>
                <w:sz w:val="20"/>
                <w:szCs w:val="20"/>
              </w:rPr>
            </w:pPr>
            <w:r>
              <w:rPr>
                <w:color w:val="000000"/>
              </w:rPr>
              <w:t>(</w:t>
            </w:r>
            <w:r w:rsidRPr="00385CA8">
              <w:rPr>
                <w:color w:val="000000"/>
              </w:rPr>
              <w:t>0.33)</w:t>
            </w:r>
          </w:p>
        </w:tc>
      </w:tr>
      <w:tr w:rsidR="005149A0" w:rsidRPr="008913B8" w14:paraId="6234D2E4" w14:textId="77777777" w:rsidTr="005149A0">
        <w:trPr>
          <w:jc w:val="center"/>
        </w:trPr>
        <w:tc>
          <w:tcPr>
            <w:tcW w:w="1795" w:type="dxa"/>
          </w:tcPr>
          <w:p w14:paraId="615AE169" w14:textId="77777777" w:rsidR="005149A0" w:rsidRPr="008913B8" w:rsidRDefault="005149A0" w:rsidP="005149A0">
            <w:pPr>
              <w:pStyle w:val="Newparagraph"/>
              <w:spacing w:line="240" w:lineRule="auto"/>
              <w:ind w:firstLine="0"/>
              <w:rPr>
                <w:sz w:val="20"/>
                <w:szCs w:val="20"/>
              </w:rPr>
            </w:pPr>
            <w:r w:rsidRPr="008913B8">
              <w:rPr>
                <w:sz w:val="20"/>
                <w:szCs w:val="20"/>
              </w:rPr>
              <w:t>health-ins</w:t>
            </w:r>
          </w:p>
        </w:tc>
        <w:tc>
          <w:tcPr>
            <w:tcW w:w="1698" w:type="dxa"/>
          </w:tcPr>
          <w:p w14:paraId="768667D0" w14:textId="6732B264" w:rsidR="005149A0" w:rsidRPr="008913B8" w:rsidRDefault="005149A0" w:rsidP="005149A0">
            <w:pPr>
              <w:pStyle w:val="Newparagraph"/>
              <w:spacing w:line="240" w:lineRule="auto"/>
              <w:ind w:firstLine="0"/>
              <w:jc w:val="center"/>
              <w:rPr>
                <w:sz w:val="20"/>
                <w:szCs w:val="20"/>
              </w:rPr>
            </w:pPr>
            <w:r w:rsidRPr="00F0748E">
              <w:rPr>
                <w:color w:val="000000"/>
              </w:rPr>
              <w:t>0.</w:t>
            </w:r>
            <w:r w:rsidRPr="00F0748E">
              <w:rPr>
                <w:color w:val="000000"/>
                <w:u w:val="single"/>
              </w:rPr>
              <w:t>104**</w:t>
            </w:r>
          </w:p>
        </w:tc>
        <w:tc>
          <w:tcPr>
            <w:tcW w:w="1637" w:type="dxa"/>
          </w:tcPr>
          <w:p w14:paraId="1D497B45" w14:textId="64AB269F" w:rsidR="005149A0" w:rsidRPr="008913B8" w:rsidRDefault="005149A0" w:rsidP="005149A0">
            <w:pPr>
              <w:pStyle w:val="Newparagraph"/>
              <w:spacing w:line="240" w:lineRule="auto"/>
              <w:ind w:firstLine="0"/>
              <w:jc w:val="center"/>
              <w:rPr>
                <w:sz w:val="20"/>
                <w:szCs w:val="20"/>
              </w:rPr>
            </w:pPr>
            <w:r w:rsidRPr="00F0748E">
              <w:rPr>
                <w:color w:val="000000"/>
              </w:rPr>
              <w:t xml:space="preserve"> 0.</w:t>
            </w:r>
            <w:r w:rsidRPr="00F0748E">
              <w:rPr>
                <w:color w:val="000000"/>
                <w:u w:val="single"/>
              </w:rPr>
              <w:t>376**</w:t>
            </w:r>
          </w:p>
        </w:tc>
        <w:tc>
          <w:tcPr>
            <w:tcW w:w="1710" w:type="dxa"/>
          </w:tcPr>
          <w:p w14:paraId="270ABE57" w14:textId="14F59C92" w:rsidR="005149A0" w:rsidRPr="008913B8" w:rsidRDefault="005149A0" w:rsidP="005149A0">
            <w:pPr>
              <w:pStyle w:val="Newparagraph"/>
              <w:spacing w:line="240" w:lineRule="auto"/>
              <w:ind w:firstLine="0"/>
              <w:jc w:val="center"/>
              <w:rPr>
                <w:sz w:val="20"/>
                <w:szCs w:val="20"/>
              </w:rPr>
            </w:pPr>
            <w:r w:rsidRPr="00F0748E">
              <w:rPr>
                <w:color w:val="000000"/>
              </w:rPr>
              <w:t xml:space="preserve"> 0.525</w:t>
            </w:r>
          </w:p>
        </w:tc>
      </w:tr>
      <w:tr w:rsidR="005149A0" w:rsidRPr="008913B8" w14:paraId="210720DB" w14:textId="77777777" w:rsidTr="005149A0">
        <w:trPr>
          <w:jc w:val="center"/>
        </w:trPr>
        <w:tc>
          <w:tcPr>
            <w:tcW w:w="1795" w:type="dxa"/>
          </w:tcPr>
          <w:p w14:paraId="1F8B5304" w14:textId="77777777" w:rsidR="005149A0" w:rsidRPr="008913B8" w:rsidRDefault="005149A0" w:rsidP="005149A0">
            <w:pPr>
              <w:pStyle w:val="Newparagraph"/>
              <w:spacing w:line="240" w:lineRule="auto"/>
              <w:ind w:firstLine="0"/>
              <w:rPr>
                <w:sz w:val="20"/>
                <w:szCs w:val="20"/>
              </w:rPr>
            </w:pPr>
          </w:p>
        </w:tc>
        <w:tc>
          <w:tcPr>
            <w:tcW w:w="1698" w:type="dxa"/>
          </w:tcPr>
          <w:p w14:paraId="3EFC804B" w14:textId="0CF5AE6F" w:rsidR="005149A0" w:rsidRPr="008913B8" w:rsidRDefault="005149A0" w:rsidP="005149A0">
            <w:pPr>
              <w:pStyle w:val="Newparagraph"/>
              <w:spacing w:line="240" w:lineRule="auto"/>
              <w:ind w:firstLine="0"/>
              <w:jc w:val="center"/>
              <w:rPr>
                <w:sz w:val="20"/>
                <w:szCs w:val="20"/>
              </w:rPr>
            </w:pPr>
            <w:r w:rsidRPr="00445356">
              <w:rPr>
                <w:color w:val="000000"/>
              </w:rPr>
              <w:t>(0.11)</w:t>
            </w:r>
          </w:p>
        </w:tc>
        <w:tc>
          <w:tcPr>
            <w:tcW w:w="1637" w:type="dxa"/>
          </w:tcPr>
          <w:p w14:paraId="77D28DCA" w14:textId="6BD18F10" w:rsidR="005149A0" w:rsidRPr="008913B8" w:rsidRDefault="005149A0" w:rsidP="005149A0">
            <w:pPr>
              <w:pStyle w:val="Newparagraph"/>
              <w:spacing w:line="240" w:lineRule="auto"/>
              <w:ind w:firstLine="0"/>
              <w:jc w:val="center"/>
              <w:rPr>
                <w:sz w:val="20"/>
                <w:szCs w:val="20"/>
              </w:rPr>
            </w:pPr>
            <w:r w:rsidRPr="00445356">
              <w:rPr>
                <w:color w:val="000000"/>
              </w:rPr>
              <w:t xml:space="preserve"> (0.18)</w:t>
            </w:r>
          </w:p>
        </w:tc>
        <w:tc>
          <w:tcPr>
            <w:tcW w:w="1710" w:type="dxa"/>
          </w:tcPr>
          <w:p w14:paraId="639688B3" w14:textId="616A5006" w:rsidR="005149A0" w:rsidRPr="008913B8" w:rsidRDefault="005149A0" w:rsidP="005149A0">
            <w:pPr>
              <w:pStyle w:val="Newparagraph"/>
              <w:spacing w:line="240" w:lineRule="auto"/>
              <w:ind w:firstLine="0"/>
              <w:jc w:val="center"/>
              <w:rPr>
                <w:sz w:val="20"/>
                <w:szCs w:val="20"/>
              </w:rPr>
            </w:pPr>
            <w:r w:rsidRPr="00445356">
              <w:rPr>
                <w:color w:val="000000"/>
              </w:rPr>
              <w:t xml:space="preserve"> (0.27)</w:t>
            </w:r>
          </w:p>
        </w:tc>
      </w:tr>
      <w:tr w:rsidR="005149A0" w:rsidRPr="008913B8" w14:paraId="710B1F8E" w14:textId="77777777" w:rsidTr="005149A0">
        <w:trPr>
          <w:jc w:val="center"/>
        </w:trPr>
        <w:tc>
          <w:tcPr>
            <w:tcW w:w="1795" w:type="dxa"/>
          </w:tcPr>
          <w:p w14:paraId="298445A1" w14:textId="77777777" w:rsidR="005149A0" w:rsidRPr="008913B8" w:rsidRDefault="005149A0" w:rsidP="005149A0">
            <w:pPr>
              <w:pStyle w:val="Newparagraph"/>
              <w:spacing w:line="240" w:lineRule="auto"/>
              <w:ind w:firstLine="0"/>
              <w:rPr>
                <w:sz w:val="20"/>
                <w:szCs w:val="20"/>
              </w:rPr>
            </w:pPr>
            <w:r w:rsidRPr="008913B8">
              <w:rPr>
                <w:sz w:val="20"/>
                <w:szCs w:val="20"/>
              </w:rPr>
              <w:t>fem-scho</w:t>
            </w:r>
          </w:p>
        </w:tc>
        <w:tc>
          <w:tcPr>
            <w:tcW w:w="1698" w:type="dxa"/>
          </w:tcPr>
          <w:p w14:paraId="527003AF" w14:textId="049997FA" w:rsidR="005149A0" w:rsidRPr="008913B8" w:rsidRDefault="005149A0" w:rsidP="005149A0">
            <w:pPr>
              <w:pStyle w:val="Newparagraph"/>
              <w:spacing w:line="240" w:lineRule="auto"/>
              <w:ind w:firstLine="0"/>
              <w:jc w:val="center"/>
              <w:rPr>
                <w:sz w:val="20"/>
                <w:szCs w:val="20"/>
              </w:rPr>
            </w:pPr>
            <w:r w:rsidRPr="00663DEA">
              <w:rPr>
                <w:color w:val="000000"/>
              </w:rPr>
              <w:t>0.</w:t>
            </w:r>
            <w:r w:rsidRPr="00663DEA">
              <w:rPr>
                <w:color w:val="000000"/>
                <w:u w:val="single"/>
              </w:rPr>
              <w:t>926***</w:t>
            </w:r>
          </w:p>
        </w:tc>
        <w:tc>
          <w:tcPr>
            <w:tcW w:w="1637" w:type="dxa"/>
          </w:tcPr>
          <w:p w14:paraId="2E4A3461" w14:textId="5D940068" w:rsidR="005149A0" w:rsidRPr="008913B8" w:rsidRDefault="005149A0" w:rsidP="005149A0">
            <w:pPr>
              <w:pStyle w:val="Newparagraph"/>
              <w:spacing w:line="240" w:lineRule="auto"/>
              <w:ind w:firstLine="0"/>
              <w:jc w:val="center"/>
              <w:rPr>
                <w:sz w:val="20"/>
                <w:szCs w:val="20"/>
              </w:rPr>
            </w:pPr>
            <w:r w:rsidRPr="00663DEA">
              <w:rPr>
                <w:color w:val="000000"/>
              </w:rPr>
              <w:t>0.</w:t>
            </w:r>
            <w:r w:rsidRPr="00663DEA">
              <w:rPr>
                <w:color w:val="000000"/>
                <w:u w:val="single"/>
              </w:rPr>
              <w:t>932*</w:t>
            </w:r>
          </w:p>
        </w:tc>
        <w:tc>
          <w:tcPr>
            <w:tcW w:w="1710" w:type="dxa"/>
          </w:tcPr>
          <w:p w14:paraId="6FC844FA" w14:textId="60CEF2F9" w:rsidR="005149A0" w:rsidRPr="008913B8" w:rsidRDefault="005149A0" w:rsidP="005149A0">
            <w:pPr>
              <w:pStyle w:val="Newparagraph"/>
              <w:spacing w:line="240" w:lineRule="auto"/>
              <w:ind w:firstLine="0"/>
              <w:jc w:val="center"/>
              <w:rPr>
                <w:sz w:val="20"/>
                <w:szCs w:val="20"/>
              </w:rPr>
            </w:pPr>
            <w:r w:rsidRPr="00663DEA">
              <w:rPr>
                <w:color w:val="000000"/>
              </w:rPr>
              <w:t>0.</w:t>
            </w:r>
            <w:r w:rsidRPr="00663DEA">
              <w:rPr>
                <w:color w:val="000000"/>
                <w:u w:val="single"/>
              </w:rPr>
              <w:t>875***</w:t>
            </w:r>
          </w:p>
        </w:tc>
      </w:tr>
      <w:tr w:rsidR="00E414C1" w:rsidRPr="008913B8" w14:paraId="47CF33D1" w14:textId="77777777" w:rsidTr="005149A0">
        <w:trPr>
          <w:jc w:val="center"/>
        </w:trPr>
        <w:tc>
          <w:tcPr>
            <w:tcW w:w="1795" w:type="dxa"/>
          </w:tcPr>
          <w:p w14:paraId="52C68ACA" w14:textId="77777777" w:rsidR="00E414C1" w:rsidRPr="008913B8" w:rsidRDefault="00E414C1" w:rsidP="00E414C1">
            <w:pPr>
              <w:pStyle w:val="Newparagraph"/>
              <w:spacing w:line="240" w:lineRule="auto"/>
              <w:ind w:firstLine="0"/>
              <w:rPr>
                <w:sz w:val="20"/>
                <w:szCs w:val="20"/>
              </w:rPr>
            </w:pPr>
          </w:p>
        </w:tc>
        <w:tc>
          <w:tcPr>
            <w:tcW w:w="1698" w:type="dxa"/>
          </w:tcPr>
          <w:p w14:paraId="25C73922" w14:textId="50C05316" w:rsidR="00E414C1" w:rsidRPr="008913B8" w:rsidRDefault="00E414C1" w:rsidP="00E414C1">
            <w:pPr>
              <w:pStyle w:val="Newparagraph"/>
              <w:spacing w:line="240" w:lineRule="auto"/>
              <w:ind w:firstLine="0"/>
              <w:jc w:val="center"/>
              <w:rPr>
                <w:sz w:val="20"/>
                <w:szCs w:val="20"/>
              </w:rPr>
            </w:pPr>
            <w:r w:rsidRPr="00733926">
              <w:rPr>
                <w:color w:val="000000"/>
              </w:rPr>
              <w:t>(0.02)</w:t>
            </w:r>
          </w:p>
        </w:tc>
        <w:tc>
          <w:tcPr>
            <w:tcW w:w="1637" w:type="dxa"/>
          </w:tcPr>
          <w:p w14:paraId="66E78758" w14:textId="0087F625" w:rsidR="00E414C1" w:rsidRPr="008913B8" w:rsidRDefault="00E414C1" w:rsidP="00E414C1">
            <w:pPr>
              <w:pStyle w:val="Newparagraph"/>
              <w:spacing w:line="240" w:lineRule="auto"/>
              <w:ind w:firstLine="0"/>
              <w:jc w:val="center"/>
              <w:rPr>
                <w:sz w:val="20"/>
                <w:szCs w:val="20"/>
              </w:rPr>
            </w:pPr>
            <w:r w:rsidRPr="00733926">
              <w:rPr>
                <w:color w:val="000000"/>
              </w:rPr>
              <w:t xml:space="preserve"> (0.04)</w:t>
            </w:r>
          </w:p>
        </w:tc>
        <w:tc>
          <w:tcPr>
            <w:tcW w:w="1710" w:type="dxa"/>
          </w:tcPr>
          <w:p w14:paraId="5B402B6F" w14:textId="7AFA8E27" w:rsidR="00E414C1" w:rsidRPr="008913B8" w:rsidRDefault="00E414C1" w:rsidP="00E414C1">
            <w:pPr>
              <w:pStyle w:val="Newparagraph"/>
              <w:spacing w:line="240" w:lineRule="auto"/>
              <w:ind w:firstLine="0"/>
              <w:jc w:val="center"/>
              <w:rPr>
                <w:sz w:val="20"/>
                <w:szCs w:val="20"/>
              </w:rPr>
            </w:pPr>
            <w:r w:rsidRPr="00733926">
              <w:rPr>
                <w:color w:val="000000"/>
              </w:rPr>
              <w:t xml:space="preserve"> (0.03)</w:t>
            </w:r>
          </w:p>
        </w:tc>
      </w:tr>
      <w:tr w:rsidR="00E414C1" w:rsidRPr="008913B8" w14:paraId="7892A2C1" w14:textId="77777777" w:rsidTr="005149A0">
        <w:trPr>
          <w:jc w:val="center"/>
        </w:trPr>
        <w:tc>
          <w:tcPr>
            <w:tcW w:w="1795" w:type="dxa"/>
          </w:tcPr>
          <w:p w14:paraId="7303A161" w14:textId="77777777" w:rsidR="00E414C1" w:rsidRPr="008913B8" w:rsidRDefault="00E414C1" w:rsidP="00E414C1">
            <w:pPr>
              <w:pStyle w:val="Newparagraph"/>
              <w:spacing w:line="240" w:lineRule="auto"/>
              <w:ind w:firstLine="0"/>
              <w:rPr>
                <w:sz w:val="20"/>
                <w:szCs w:val="20"/>
              </w:rPr>
            </w:pPr>
            <w:r w:rsidRPr="008913B8">
              <w:rPr>
                <w:sz w:val="20"/>
                <w:szCs w:val="20"/>
              </w:rPr>
              <w:t>scholagechild</w:t>
            </w:r>
          </w:p>
        </w:tc>
        <w:tc>
          <w:tcPr>
            <w:tcW w:w="1698" w:type="dxa"/>
          </w:tcPr>
          <w:p w14:paraId="6D52F8E0" w14:textId="4B9DE8D2" w:rsidR="00E414C1" w:rsidRPr="008913B8" w:rsidRDefault="00E414C1" w:rsidP="00E414C1">
            <w:pPr>
              <w:pStyle w:val="Newparagraph"/>
              <w:spacing w:line="240" w:lineRule="auto"/>
              <w:ind w:firstLine="0"/>
              <w:jc w:val="center"/>
              <w:rPr>
                <w:sz w:val="20"/>
                <w:szCs w:val="20"/>
              </w:rPr>
            </w:pPr>
            <w:r w:rsidRPr="006F39B9">
              <w:rPr>
                <w:color w:val="000000"/>
              </w:rPr>
              <w:t>1.</w:t>
            </w:r>
            <w:r w:rsidRPr="006F39B9">
              <w:rPr>
                <w:color w:val="000000"/>
                <w:u w:val="single"/>
              </w:rPr>
              <w:t>097**</w:t>
            </w:r>
            <w:r w:rsidRPr="006F39B9">
              <w:rPr>
                <w:color w:val="000000"/>
              </w:rPr>
              <w:t xml:space="preserve">  </w:t>
            </w:r>
          </w:p>
        </w:tc>
        <w:tc>
          <w:tcPr>
            <w:tcW w:w="1637" w:type="dxa"/>
          </w:tcPr>
          <w:p w14:paraId="2322A648" w14:textId="0455BC82" w:rsidR="00E414C1" w:rsidRPr="008913B8" w:rsidRDefault="00E414C1" w:rsidP="00E414C1">
            <w:pPr>
              <w:pStyle w:val="Newparagraph"/>
              <w:spacing w:line="240" w:lineRule="auto"/>
              <w:ind w:firstLine="0"/>
              <w:jc w:val="center"/>
              <w:rPr>
                <w:sz w:val="20"/>
                <w:szCs w:val="20"/>
              </w:rPr>
            </w:pPr>
            <w:r w:rsidRPr="006F39B9">
              <w:rPr>
                <w:color w:val="000000"/>
              </w:rPr>
              <w:t>1.</w:t>
            </w:r>
            <w:r w:rsidRPr="006F39B9">
              <w:rPr>
                <w:color w:val="000000"/>
                <w:u w:val="single"/>
              </w:rPr>
              <w:t>267**</w:t>
            </w:r>
          </w:p>
        </w:tc>
        <w:tc>
          <w:tcPr>
            <w:tcW w:w="1710" w:type="dxa"/>
          </w:tcPr>
          <w:p w14:paraId="0351EA35" w14:textId="1AD40791" w:rsidR="00E414C1" w:rsidRPr="008913B8" w:rsidRDefault="00E414C1" w:rsidP="00E414C1">
            <w:pPr>
              <w:pStyle w:val="Newparagraph"/>
              <w:spacing w:line="240" w:lineRule="auto"/>
              <w:ind w:firstLine="0"/>
              <w:jc w:val="center"/>
              <w:rPr>
                <w:sz w:val="20"/>
                <w:szCs w:val="20"/>
              </w:rPr>
            </w:pPr>
            <w:r w:rsidRPr="006F39B9">
              <w:rPr>
                <w:color w:val="000000"/>
              </w:rPr>
              <w:t xml:space="preserve">0.854 </w:t>
            </w:r>
          </w:p>
        </w:tc>
      </w:tr>
      <w:tr w:rsidR="00E414C1" w:rsidRPr="008913B8" w14:paraId="7509B812" w14:textId="77777777" w:rsidTr="005149A0">
        <w:trPr>
          <w:jc w:val="center"/>
        </w:trPr>
        <w:tc>
          <w:tcPr>
            <w:tcW w:w="1795" w:type="dxa"/>
          </w:tcPr>
          <w:p w14:paraId="2C7ACC77" w14:textId="77777777" w:rsidR="00E414C1" w:rsidRPr="008913B8" w:rsidRDefault="00E414C1" w:rsidP="00E414C1">
            <w:pPr>
              <w:pStyle w:val="Newparagraph"/>
              <w:spacing w:line="240" w:lineRule="auto"/>
              <w:ind w:firstLine="0"/>
              <w:rPr>
                <w:sz w:val="20"/>
                <w:szCs w:val="20"/>
              </w:rPr>
            </w:pPr>
          </w:p>
        </w:tc>
        <w:tc>
          <w:tcPr>
            <w:tcW w:w="1698" w:type="dxa"/>
          </w:tcPr>
          <w:p w14:paraId="7E02AF7E" w14:textId="76B59F39" w:rsidR="00E414C1" w:rsidRPr="008913B8" w:rsidRDefault="00E414C1" w:rsidP="00E414C1">
            <w:pPr>
              <w:pStyle w:val="Newparagraph"/>
              <w:spacing w:line="240" w:lineRule="auto"/>
              <w:ind w:firstLine="0"/>
              <w:jc w:val="center"/>
              <w:rPr>
                <w:sz w:val="20"/>
                <w:szCs w:val="20"/>
              </w:rPr>
            </w:pPr>
            <w:r w:rsidRPr="00C55E17">
              <w:rPr>
                <w:color w:val="000000"/>
              </w:rPr>
              <w:t>(0.05)</w:t>
            </w:r>
          </w:p>
        </w:tc>
        <w:tc>
          <w:tcPr>
            <w:tcW w:w="1637" w:type="dxa"/>
          </w:tcPr>
          <w:p w14:paraId="481372CD" w14:textId="04C02F9B" w:rsidR="00E414C1" w:rsidRPr="008913B8" w:rsidRDefault="00E414C1" w:rsidP="00E414C1">
            <w:pPr>
              <w:pStyle w:val="Newparagraph"/>
              <w:spacing w:line="240" w:lineRule="auto"/>
              <w:ind w:firstLine="0"/>
              <w:jc w:val="center"/>
              <w:rPr>
                <w:sz w:val="20"/>
                <w:szCs w:val="20"/>
              </w:rPr>
            </w:pPr>
            <w:r w:rsidRPr="00C55E17">
              <w:rPr>
                <w:color w:val="000000"/>
              </w:rPr>
              <w:t xml:space="preserve"> (0.16)</w:t>
            </w:r>
          </w:p>
        </w:tc>
        <w:tc>
          <w:tcPr>
            <w:tcW w:w="1710" w:type="dxa"/>
          </w:tcPr>
          <w:p w14:paraId="2D281065" w14:textId="5BEF056E" w:rsidR="00E414C1" w:rsidRPr="008913B8" w:rsidRDefault="00E414C1" w:rsidP="00E414C1">
            <w:pPr>
              <w:pStyle w:val="Newparagraph"/>
              <w:spacing w:line="240" w:lineRule="auto"/>
              <w:ind w:firstLine="0"/>
              <w:jc w:val="center"/>
              <w:rPr>
                <w:sz w:val="20"/>
                <w:szCs w:val="20"/>
              </w:rPr>
            </w:pPr>
            <w:r w:rsidRPr="00C55E17">
              <w:rPr>
                <w:color w:val="000000"/>
              </w:rPr>
              <w:t xml:space="preserve"> (0.12)</w:t>
            </w:r>
          </w:p>
        </w:tc>
      </w:tr>
      <w:tr w:rsidR="00E414C1" w:rsidRPr="008913B8" w14:paraId="445125A8" w14:textId="77777777" w:rsidTr="005149A0">
        <w:trPr>
          <w:jc w:val="center"/>
        </w:trPr>
        <w:tc>
          <w:tcPr>
            <w:tcW w:w="1795" w:type="dxa"/>
          </w:tcPr>
          <w:p w14:paraId="10E79263" w14:textId="77777777" w:rsidR="00E414C1" w:rsidRPr="008913B8" w:rsidRDefault="00E414C1" w:rsidP="00E414C1">
            <w:pPr>
              <w:pStyle w:val="Newparagraph"/>
              <w:spacing w:line="240" w:lineRule="auto"/>
              <w:ind w:firstLine="0"/>
              <w:rPr>
                <w:sz w:val="20"/>
                <w:szCs w:val="20"/>
              </w:rPr>
            </w:pPr>
            <w:r w:rsidRPr="008913B8">
              <w:rPr>
                <w:sz w:val="20"/>
                <w:szCs w:val="20"/>
              </w:rPr>
              <w:t>hh-cct</w:t>
            </w:r>
          </w:p>
        </w:tc>
        <w:tc>
          <w:tcPr>
            <w:tcW w:w="1698" w:type="dxa"/>
          </w:tcPr>
          <w:p w14:paraId="1EE79F95" w14:textId="1548692D" w:rsidR="00E414C1" w:rsidRPr="008913B8" w:rsidRDefault="00E414C1" w:rsidP="00E414C1">
            <w:pPr>
              <w:pStyle w:val="Newparagraph"/>
              <w:spacing w:line="240" w:lineRule="auto"/>
              <w:ind w:firstLine="0"/>
              <w:jc w:val="center"/>
              <w:rPr>
                <w:sz w:val="20"/>
                <w:szCs w:val="20"/>
              </w:rPr>
            </w:pPr>
            <w:r w:rsidRPr="00FC5F45">
              <w:rPr>
                <w:color w:val="000000"/>
              </w:rPr>
              <w:t>0.911</w:t>
            </w:r>
          </w:p>
        </w:tc>
        <w:tc>
          <w:tcPr>
            <w:tcW w:w="1637" w:type="dxa"/>
          </w:tcPr>
          <w:p w14:paraId="36E1D2C6" w14:textId="0B7EE446" w:rsidR="00E414C1" w:rsidRPr="008913B8" w:rsidRDefault="00E414C1" w:rsidP="00E414C1">
            <w:pPr>
              <w:pStyle w:val="Newparagraph"/>
              <w:spacing w:line="240" w:lineRule="auto"/>
              <w:ind w:firstLine="0"/>
              <w:jc w:val="center"/>
              <w:rPr>
                <w:sz w:val="20"/>
                <w:szCs w:val="20"/>
              </w:rPr>
            </w:pPr>
            <w:r w:rsidRPr="00FC5F45">
              <w:rPr>
                <w:color w:val="000000"/>
              </w:rPr>
              <w:t>0.842</w:t>
            </w:r>
          </w:p>
        </w:tc>
        <w:tc>
          <w:tcPr>
            <w:tcW w:w="1710" w:type="dxa"/>
          </w:tcPr>
          <w:p w14:paraId="105FBFE3" w14:textId="54CD3C91" w:rsidR="00E414C1" w:rsidRPr="008913B8" w:rsidRDefault="00E414C1" w:rsidP="00E414C1">
            <w:pPr>
              <w:pStyle w:val="Newparagraph"/>
              <w:spacing w:line="240" w:lineRule="auto"/>
              <w:ind w:firstLine="0"/>
              <w:jc w:val="center"/>
              <w:rPr>
                <w:sz w:val="20"/>
                <w:szCs w:val="20"/>
              </w:rPr>
            </w:pPr>
            <w:r>
              <w:rPr>
                <w:color w:val="000000"/>
              </w:rPr>
              <w:t>1.118</w:t>
            </w:r>
            <w:r w:rsidRPr="00FC5F45">
              <w:rPr>
                <w:color w:val="000000"/>
              </w:rPr>
              <w:t xml:space="preserve"> </w:t>
            </w:r>
          </w:p>
        </w:tc>
      </w:tr>
      <w:tr w:rsidR="00E414C1" w:rsidRPr="008913B8" w14:paraId="1E2841BE" w14:textId="77777777" w:rsidTr="005149A0">
        <w:trPr>
          <w:jc w:val="center"/>
        </w:trPr>
        <w:tc>
          <w:tcPr>
            <w:tcW w:w="1795" w:type="dxa"/>
          </w:tcPr>
          <w:p w14:paraId="781E6EBA" w14:textId="77777777" w:rsidR="00E414C1" w:rsidRPr="008913B8" w:rsidRDefault="00E414C1" w:rsidP="00E414C1">
            <w:pPr>
              <w:pStyle w:val="Newparagraph"/>
              <w:spacing w:line="240" w:lineRule="auto"/>
              <w:ind w:firstLine="0"/>
              <w:rPr>
                <w:sz w:val="20"/>
                <w:szCs w:val="20"/>
              </w:rPr>
            </w:pPr>
          </w:p>
        </w:tc>
        <w:tc>
          <w:tcPr>
            <w:tcW w:w="1698" w:type="dxa"/>
          </w:tcPr>
          <w:p w14:paraId="428AC776" w14:textId="29E48397" w:rsidR="00E414C1" w:rsidRPr="008913B8" w:rsidRDefault="00E414C1" w:rsidP="00E414C1">
            <w:pPr>
              <w:pStyle w:val="Newparagraph"/>
              <w:spacing w:line="240" w:lineRule="auto"/>
              <w:ind w:firstLine="0"/>
              <w:jc w:val="center"/>
              <w:rPr>
                <w:sz w:val="20"/>
                <w:szCs w:val="20"/>
              </w:rPr>
            </w:pPr>
            <w:r w:rsidRPr="00654B1D">
              <w:rPr>
                <w:color w:val="000000"/>
              </w:rPr>
              <w:t>(0.13)</w:t>
            </w:r>
          </w:p>
        </w:tc>
        <w:tc>
          <w:tcPr>
            <w:tcW w:w="1637" w:type="dxa"/>
          </w:tcPr>
          <w:p w14:paraId="6112D74D" w14:textId="7F68AF85" w:rsidR="00E414C1" w:rsidRPr="008913B8" w:rsidRDefault="00E414C1" w:rsidP="00E414C1">
            <w:pPr>
              <w:pStyle w:val="Newparagraph"/>
              <w:spacing w:line="240" w:lineRule="auto"/>
              <w:ind w:firstLine="0"/>
              <w:jc w:val="center"/>
              <w:rPr>
                <w:sz w:val="20"/>
                <w:szCs w:val="20"/>
              </w:rPr>
            </w:pPr>
            <w:r w:rsidRPr="00654B1D">
              <w:rPr>
                <w:color w:val="000000"/>
              </w:rPr>
              <w:t xml:space="preserve"> (0.34)</w:t>
            </w:r>
          </w:p>
        </w:tc>
        <w:tc>
          <w:tcPr>
            <w:tcW w:w="1710" w:type="dxa"/>
          </w:tcPr>
          <w:p w14:paraId="2ADA9238" w14:textId="6E226B43" w:rsidR="00E414C1" w:rsidRPr="008913B8" w:rsidRDefault="00E414C1" w:rsidP="00E414C1">
            <w:pPr>
              <w:pStyle w:val="Newparagraph"/>
              <w:spacing w:line="240" w:lineRule="auto"/>
              <w:ind w:firstLine="0"/>
              <w:jc w:val="center"/>
              <w:rPr>
                <w:sz w:val="20"/>
                <w:szCs w:val="20"/>
              </w:rPr>
            </w:pPr>
            <w:r w:rsidRPr="00654B1D">
              <w:rPr>
                <w:color w:val="000000"/>
              </w:rPr>
              <w:t xml:space="preserve"> (0.32)</w:t>
            </w:r>
          </w:p>
        </w:tc>
      </w:tr>
      <w:tr w:rsidR="00E414C1" w:rsidRPr="008913B8" w14:paraId="0A469262" w14:textId="77777777" w:rsidTr="005149A0">
        <w:trPr>
          <w:jc w:val="center"/>
        </w:trPr>
        <w:tc>
          <w:tcPr>
            <w:tcW w:w="1795" w:type="dxa"/>
          </w:tcPr>
          <w:p w14:paraId="096ECFDF" w14:textId="77777777" w:rsidR="00E414C1" w:rsidRPr="008913B8" w:rsidRDefault="00E414C1" w:rsidP="00E414C1">
            <w:pPr>
              <w:pStyle w:val="Newparagraph"/>
              <w:spacing w:line="240" w:lineRule="auto"/>
              <w:ind w:firstLine="0"/>
              <w:rPr>
                <w:sz w:val="20"/>
                <w:szCs w:val="20"/>
              </w:rPr>
            </w:pPr>
            <w:r w:rsidRPr="008913B8">
              <w:rPr>
                <w:sz w:val="20"/>
                <w:szCs w:val="20"/>
              </w:rPr>
              <w:t>wealth-index</w:t>
            </w:r>
          </w:p>
        </w:tc>
        <w:tc>
          <w:tcPr>
            <w:tcW w:w="1698" w:type="dxa"/>
          </w:tcPr>
          <w:p w14:paraId="7B295A2D" w14:textId="5EEBE32E" w:rsidR="00E414C1" w:rsidRPr="008913B8" w:rsidRDefault="00E414C1" w:rsidP="00E414C1">
            <w:pPr>
              <w:pStyle w:val="Newparagraph"/>
              <w:spacing w:line="240" w:lineRule="auto"/>
              <w:ind w:firstLine="0"/>
              <w:jc w:val="center"/>
              <w:rPr>
                <w:sz w:val="20"/>
                <w:szCs w:val="20"/>
              </w:rPr>
            </w:pPr>
            <w:r w:rsidRPr="00BF719B">
              <w:rPr>
                <w:color w:val="000000"/>
              </w:rPr>
              <w:t>0.</w:t>
            </w:r>
            <w:r w:rsidRPr="00BF719B">
              <w:rPr>
                <w:color w:val="000000"/>
                <w:u w:val="single"/>
              </w:rPr>
              <w:t>784***</w:t>
            </w:r>
            <w:r w:rsidRPr="00BF719B">
              <w:rPr>
                <w:color w:val="000000"/>
              </w:rPr>
              <w:t xml:space="preserve"> </w:t>
            </w:r>
          </w:p>
        </w:tc>
        <w:tc>
          <w:tcPr>
            <w:tcW w:w="1637" w:type="dxa"/>
          </w:tcPr>
          <w:p w14:paraId="7C756B14" w14:textId="1A775253" w:rsidR="00E414C1" w:rsidRPr="008913B8" w:rsidRDefault="00E414C1" w:rsidP="00E414C1">
            <w:pPr>
              <w:pStyle w:val="Newparagraph"/>
              <w:spacing w:line="240" w:lineRule="auto"/>
              <w:ind w:firstLine="0"/>
              <w:jc w:val="center"/>
              <w:rPr>
                <w:sz w:val="20"/>
                <w:szCs w:val="20"/>
              </w:rPr>
            </w:pPr>
            <w:r w:rsidRPr="00BF719B">
              <w:rPr>
                <w:color w:val="000000"/>
              </w:rPr>
              <w:t xml:space="preserve"> 0.</w:t>
            </w:r>
            <w:r w:rsidRPr="00BF719B">
              <w:rPr>
                <w:color w:val="000000"/>
                <w:u w:val="single"/>
              </w:rPr>
              <w:t>765***</w:t>
            </w:r>
          </w:p>
        </w:tc>
        <w:tc>
          <w:tcPr>
            <w:tcW w:w="1710" w:type="dxa"/>
          </w:tcPr>
          <w:p w14:paraId="3F99CC7C" w14:textId="6E9E023B" w:rsidR="00E414C1" w:rsidRPr="008913B8" w:rsidRDefault="00E414C1" w:rsidP="00E414C1">
            <w:pPr>
              <w:pStyle w:val="Newparagraph"/>
              <w:spacing w:line="240" w:lineRule="auto"/>
              <w:ind w:firstLine="0"/>
              <w:jc w:val="center"/>
              <w:rPr>
                <w:sz w:val="20"/>
                <w:szCs w:val="20"/>
              </w:rPr>
            </w:pPr>
            <w:r w:rsidRPr="00BF719B">
              <w:rPr>
                <w:color w:val="000000"/>
              </w:rPr>
              <w:t>0.</w:t>
            </w:r>
            <w:r w:rsidRPr="00BF719B">
              <w:rPr>
                <w:color w:val="000000"/>
                <w:u w:val="single"/>
              </w:rPr>
              <w:t>760**</w:t>
            </w:r>
          </w:p>
        </w:tc>
      </w:tr>
      <w:tr w:rsidR="00E414C1" w:rsidRPr="008913B8" w14:paraId="7FE55FCC" w14:textId="77777777" w:rsidTr="005149A0">
        <w:trPr>
          <w:jc w:val="center"/>
        </w:trPr>
        <w:tc>
          <w:tcPr>
            <w:tcW w:w="1795" w:type="dxa"/>
          </w:tcPr>
          <w:p w14:paraId="506A6B34" w14:textId="77777777" w:rsidR="00E414C1" w:rsidRPr="008913B8" w:rsidRDefault="00E414C1" w:rsidP="00E414C1">
            <w:pPr>
              <w:pStyle w:val="Newparagraph"/>
              <w:spacing w:line="240" w:lineRule="auto"/>
              <w:ind w:firstLine="0"/>
              <w:rPr>
                <w:sz w:val="20"/>
                <w:szCs w:val="20"/>
              </w:rPr>
            </w:pPr>
          </w:p>
        </w:tc>
        <w:tc>
          <w:tcPr>
            <w:tcW w:w="1698" w:type="dxa"/>
          </w:tcPr>
          <w:p w14:paraId="1D9F8D2C" w14:textId="6807E060" w:rsidR="00E414C1" w:rsidRPr="008913B8" w:rsidRDefault="00E414C1" w:rsidP="00E414C1">
            <w:pPr>
              <w:pStyle w:val="Newparagraph"/>
              <w:spacing w:line="240" w:lineRule="auto"/>
              <w:ind w:firstLine="0"/>
              <w:jc w:val="center"/>
              <w:rPr>
                <w:sz w:val="20"/>
                <w:szCs w:val="20"/>
              </w:rPr>
            </w:pPr>
            <w:r w:rsidRPr="006F0A63">
              <w:rPr>
                <w:color w:val="000000"/>
              </w:rPr>
              <w:t>(0.04)</w:t>
            </w:r>
          </w:p>
        </w:tc>
        <w:tc>
          <w:tcPr>
            <w:tcW w:w="1637" w:type="dxa"/>
          </w:tcPr>
          <w:p w14:paraId="0CF79E50" w14:textId="71C0B372" w:rsidR="00E414C1" w:rsidRPr="008913B8" w:rsidRDefault="00E414C1" w:rsidP="00E414C1">
            <w:pPr>
              <w:pStyle w:val="Newparagraph"/>
              <w:spacing w:line="240" w:lineRule="auto"/>
              <w:ind w:firstLine="0"/>
              <w:jc w:val="center"/>
              <w:rPr>
                <w:sz w:val="20"/>
                <w:szCs w:val="20"/>
              </w:rPr>
            </w:pPr>
            <w:r w:rsidRPr="006F0A63">
              <w:rPr>
                <w:color w:val="000000"/>
              </w:rPr>
              <w:t xml:space="preserve"> (0.08)</w:t>
            </w:r>
          </w:p>
        </w:tc>
        <w:tc>
          <w:tcPr>
            <w:tcW w:w="1710" w:type="dxa"/>
          </w:tcPr>
          <w:p w14:paraId="128127ED" w14:textId="08B11C65" w:rsidR="00E414C1" w:rsidRPr="008913B8" w:rsidRDefault="00E414C1" w:rsidP="00E414C1">
            <w:pPr>
              <w:pStyle w:val="Newparagraph"/>
              <w:spacing w:line="240" w:lineRule="auto"/>
              <w:ind w:firstLine="0"/>
              <w:jc w:val="center"/>
              <w:rPr>
                <w:sz w:val="20"/>
                <w:szCs w:val="20"/>
              </w:rPr>
            </w:pPr>
            <w:r w:rsidRPr="006F0A63">
              <w:rPr>
                <w:color w:val="000000"/>
              </w:rPr>
              <w:t xml:space="preserve"> (0.07)</w:t>
            </w:r>
          </w:p>
        </w:tc>
      </w:tr>
      <w:tr w:rsidR="005149A0" w:rsidRPr="008913B8" w14:paraId="188ACFC3" w14:textId="77777777" w:rsidTr="005149A0">
        <w:trPr>
          <w:jc w:val="center"/>
        </w:trPr>
        <w:tc>
          <w:tcPr>
            <w:tcW w:w="1795" w:type="dxa"/>
          </w:tcPr>
          <w:p w14:paraId="1D9917DD" w14:textId="77777777" w:rsidR="005149A0" w:rsidRPr="008913B8" w:rsidRDefault="005149A0" w:rsidP="005149A0">
            <w:pPr>
              <w:pStyle w:val="Newparagraph"/>
              <w:spacing w:line="240" w:lineRule="auto"/>
              <w:ind w:firstLine="0"/>
              <w:rPr>
                <w:sz w:val="20"/>
                <w:szCs w:val="20"/>
              </w:rPr>
            </w:pPr>
            <w:r w:rsidRPr="008913B8">
              <w:rPr>
                <w:sz w:val="20"/>
                <w:szCs w:val="20"/>
              </w:rPr>
              <w:t>income-shocks</w:t>
            </w:r>
          </w:p>
        </w:tc>
        <w:tc>
          <w:tcPr>
            <w:tcW w:w="1698" w:type="dxa"/>
          </w:tcPr>
          <w:p w14:paraId="15352B6A" w14:textId="42484BAF" w:rsidR="005149A0" w:rsidRPr="008913B8" w:rsidRDefault="00E414C1" w:rsidP="005149A0">
            <w:pPr>
              <w:pStyle w:val="Newparagraph"/>
              <w:spacing w:line="240" w:lineRule="auto"/>
              <w:ind w:firstLine="0"/>
              <w:jc w:val="center"/>
              <w:rPr>
                <w:sz w:val="20"/>
                <w:szCs w:val="20"/>
              </w:rPr>
            </w:pPr>
            <w:r>
              <w:rPr>
                <w:color w:val="000000"/>
              </w:rPr>
              <w:t>1.355</w:t>
            </w:r>
          </w:p>
        </w:tc>
        <w:tc>
          <w:tcPr>
            <w:tcW w:w="1637" w:type="dxa"/>
          </w:tcPr>
          <w:p w14:paraId="33CF48D7" w14:textId="6CB3C05A" w:rsidR="005149A0" w:rsidRPr="008913B8" w:rsidRDefault="00E414C1" w:rsidP="005149A0">
            <w:pPr>
              <w:pStyle w:val="Newparagraph"/>
              <w:spacing w:line="240" w:lineRule="auto"/>
              <w:ind w:firstLine="0"/>
              <w:jc w:val="center"/>
              <w:rPr>
                <w:sz w:val="20"/>
                <w:szCs w:val="20"/>
              </w:rPr>
            </w:pPr>
            <w:r>
              <w:rPr>
                <w:color w:val="000000"/>
              </w:rPr>
              <w:t>0.468</w:t>
            </w:r>
          </w:p>
        </w:tc>
        <w:tc>
          <w:tcPr>
            <w:tcW w:w="1710" w:type="dxa"/>
          </w:tcPr>
          <w:p w14:paraId="322A36F3" w14:textId="79392E83" w:rsidR="005149A0" w:rsidRPr="008913B8" w:rsidRDefault="00E414C1" w:rsidP="005149A0">
            <w:pPr>
              <w:pStyle w:val="Newparagraph"/>
              <w:spacing w:line="240" w:lineRule="auto"/>
              <w:ind w:firstLine="0"/>
              <w:jc w:val="center"/>
              <w:rPr>
                <w:sz w:val="20"/>
                <w:szCs w:val="20"/>
              </w:rPr>
            </w:pPr>
            <w:r>
              <w:rPr>
                <w:color w:val="000000"/>
              </w:rPr>
              <w:t>2.</w:t>
            </w:r>
            <w:r>
              <w:rPr>
                <w:color w:val="000000"/>
                <w:u w:val="single"/>
              </w:rPr>
              <w:t>507**</w:t>
            </w:r>
          </w:p>
        </w:tc>
      </w:tr>
      <w:tr w:rsidR="005149A0" w:rsidRPr="008913B8" w14:paraId="18834ADA" w14:textId="77777777" w:rsidTr="005149A0">
        <w:trPr>
          <w:jc w:val="center"/>
        </w:trPr>
        <w:tc>
          <w:tcPr>
            <w:tcW w:w="1795" w:type="dxa"/>
          </w:tcPr>
          <w:p w14:paraId="20512A42" w14:textId="77777777" w:rsidR="005149A0" w:rsidRPr="008913B8" w:rsidRDefault="005149A0" w:rsidP="005149A0">
            <w:pPr>
              <w:pStyle w:val="Newparagraph"/>
              <w:spacing w:line="240" w:lineRule="auto"/>
              <w:ind w:firstLine="0"/>
              <w:rPr>
                <w:sz w:val="20"/>
                <w:szCs w:val="20"/>
              </w:rPr>
            </w:pPr>
          </w:p>
        </w:tc>
        <w:tc>
          <w:tcPr>
            <w:tcW w:w="1698" w:type="dxa"/>
          </w:tcPr>
          <w:p w14:paraId="64CEE537" w14:textId="3D882680" w:rsidR="005149A0" w:rsidRPr="008913B8" w:rsidRDefault="00E414C1" w:rsidP="005149A0">
            <w:pPr>
              <w:pStyle w:val="Newparagraph"/>
              <w:spacing w:line="240" w:lineRule="auto"/>
              <w:ind w:firstLine="0"/>
              <w:jc w:val="center"/>
              <w:rPr>
                <w:sz w:val="20"/>
                <w:szCs w:val="20"/>
              </w:rPr>
            </w:pPr>
            <w:r>
              <w:rPr>
                <w:color w:val="000000"/>
              </w:rPr>
              <w:t xml:space="preserve">(0.37) </w:t>
            </w:r>
          </w:p>
        </w:tc>
        <w:tc>
          <w:tcPr>
            <w:tcW w:w="1637" w:type="dxa"/>
          </w:tcPr>
          <w:p w14:paraId="703C5481" w14:textId="2B39C5C8" w:rsidR="005149A0" w:rsidRPr="008913B8" w:rsidRDefault="00E414C1" w:rsidP="005149A0">
            <w:pPr>
              <w:pStyle w:val="Newparagraph"/>
              <w:spacing w:line="240" w:lineRule="auto"/>
              <w:ind w:firstLine="0"/>
              <w:jc w:val="center"/>
              <w:rPr>
                <w:sz w:val="20"/>
                <w:szCs w:val="20"/>
              </w:rPr>
            </w:pPr>
            <w:r>
              <w:rPr>
                <w:color w:val="000000"/>
              </w:rPr>
              <w:t>(0.35)</w:t>
            </w:r>
          </w:p>
        </w:tc>
        <w:tc>
          <w:tcPr>
            <w:tcW w:w="1710" w:type="dxa"/>
          </w:tcPr>
          <w:p w14:paraId="5582DDC9" w14:textId="626555DB" w:rsidR="005149A0" w:rsidRPr="008913B8" w:rsidRDefault="00E414C1" w:rsidP="005149A0">
            <w:pPr>
              <w:pStyle w:val="Newparagraph"/>
              <w:spacing w:line="240" w:lineRule="auto"/>
              <w:ind w:firstLine="0"/>
              <w:jc w:val="center"/>
              <w:rPr>
                <w:sz w:val="20"/>
                <w:szCs w:val="20"/>
              </w:rPr>
            </w:pPr>
            <w:r>
              <w:rPr>
                <w:color w:val="000000"/>
              </w:rPr>
              <w:t>(1.00)</w:t>
            </w:r>
          </w:p>
        </w:tc>
      </w:tr>
      <w:tr w:rsidR="005149A0" w:rsidRPr="008913B8" w14:paraId="70FB4457" w14:textId="77777777" w:rsidTr="005149A0">
        <w:trPr>
          <w:jc w:val="center"/>
        </w:trPr>
        <w:tc>
          <w:tcPr>
            <w:tcW w:w="1795" w:type="dxa"/>
          </w:tcPr>
          <w:p w14:paraId="7FDB5712" w14:textId="77777777" w:rsidR="005149A0" w:rsidRPr="008913B8" w:rsidRDefault="005149A0" w:rsidP="005149A0">
            <w:pPr>
              <w:pStyle w:val="Newparagraph"/>
              <w:spacing w:line="240" w:lineRule="auto"/>
              <w:ind w:firstLine="0"/>
              <w:rPr>
                <w:sz w:val="20"/>
                <w:szCs w:val="20"/>
              </w:rPr>
            </w:pPr>
            <w:r w:rsidRPr="008913B8">
              <w:rPr>
                <w:sz w:val="20"/>
                <w:szCs w:val="20"/>
              </w:rPr>
              <w:t>health-shocks</w:t>
            </w:r>
            <w:r w:rsidRPr="008913B8">
              <w:rPr>
                <w:sz w:val="20"/>
                <w:szCs w:val="20"/>
              </w:rPr>
              <w:tab/>
            </w:r>
          </w:p>
        </w:tc>
        <w:tc>
          <w:tcPr>
            <w:tcW w:w="1698" w:type="dxa"/>
          </w:tcPr>
          <w:p w14:paraId="1CA8517E" w14:textId="49D9C397" w:rsidR="005149A0" w:rsidRPr="008913B8" w:rsidRDefault="00E414C1" w:rsidP="005149A0">
            <w:pPr>
              <w:pStyle w:val="Newparagraph"/>
              <w:spacing w:line="240" w:lineRule="auto"/>
              <w:ind w:firstLine="0"/>
              <w:jc w:val="center"/>
              <w:rPr>
                <w:sz w:val="20"/>
                <w:szCs w:val="20"/>
              </w:rPr>
            </w:pPr>
            <w:r>
              <w:rPr>
                <w:color w:val="000000"/>
              </w:rPr>
              <w:t>1.140</w:t>
            </w:r>
          </w:p>
        </w:tc>
        <w:tc>
          <w:tcPr>
            <w:tcW w:w="1637" w:type="dxa"/>
          </w:tcPr>
          <w:p w14:paraId="004AFD4F" w14:textId="42314A34" w:rsidR="005149A0" w:rsidRPr="008913B8" w:rsidRDefault="00E414C1" w:rsidP="005149A0">
            <w:pPr>
              <w:pStyle w:val="Newparagraph"/>
              <w:spacing w:line="240" w:lineRule="auto"/>
              <w:ind w:firstLine="0"/>
              <w:jc w:val="center"/>
              <w:rPr>
                <w:sz w:val="20"/>
                <w:szCs w:val="20"/>
              </w:rPr>
            </w:pPr>
            <w:r>
              <w:rPr>
                <w:color w:val="000000"/>
              </w:rPr>
              <w:t>2.201</w:t>
            </w:r>
          </w:p>
        </w:tc>
        <w:tc>
          <w:tcPr>
            <w:tcW w:w="1710" w:type="dxa"/>
          </w:tcPr>
          <w:p w14:paraId="57E46B75" w14:textId="77F87844" w:rsidR="005149A0" w:rsidRPr="008913B8" w:rsidRDefault="00E414C1" w:rsidP="005149A0">
            <w:pPr>
              <w:pStyle w:val="Newparagraph"/>
              <w:spacing w:line="240" w:lineRule="auto"/>
              <w:ind w:firstLine="0"/>
              <w:jc w:val="center"/>
              <w:rPr>
                <w:sz w:val="20"/>
                <w:szCs w:val="20"/>
              </w:rPr>
            </w:pPr>
            <w:r>
              <w:rPr>
                <w:color w:val="000000"/>
              </w:rPr>
              <w:t>1.</w:t>
            </w:r>
            <w:r>
              <w:rPr>
                <w:color w:val="000000"/>
                <w:u w:val="single"/>
              </w:rPr>
              <w:t>912*</w:t>
            </w:r>
          </w:p>
        </w:tc>
      </w:tr>
      <w:tr w:rsidR="00E414C1" w:rsidRPr="008913B8" w14:paraId="793F18DF" w14:textId="77777777" w:rsidTr="005149A0">
        <w:trPr>
          <w:jc w:val="center"/>
        </w:trPr>
        <w:tc>
          <w:tcPr>
            <w:tcW w:w="1795" w:type="dxa"/>
          </w:tcPr>
          <w:p w14:paraId="7279A7DA" w14:textId="77777777" w:rsidR="00E414C1" w:rsidRPr="008913B8" w:rsidRDefault="00E414C1" w:rsidP="00E414C1">
            <w:pPr>
              <w:pStyle w:val="Newparagraph"/>
              <w:spacing w:line="240" w:lineRule="auto"/>
              <w:ind w:firstLine="0"/>
              <w:rPr>
                <w:sz w:val="20"/>
                <w:szCs w:val="20"/>
              </w:rPr>
            </w:pPr>
          </w:p>
        </w:tc>
        <w:tc>
          <w:tcPr>
            <w:tcW w:w="1698" w:type="dxa"/>
          </w:tcPr>
          <w:p w14:paraId="402945EA" w14:textId="51F640C9" w:rsidR="00E414C1" w:rsidRPr="008913B8" w:rsidRDefault="00E414C1" w:rsidP="00E414C1">
            <w:pPr>
              <w:pStyle w:val="Newparagraph"/>
              <w:spacing w:line="240" w:lineRule="auto"/>
              <w:ind w:firstLine="0"/>
              <w:jc w:val="center"/>
              <w:rPr>
                <w:sz w:val="20"/>
                <w:szCs w:val="20"/>
              </w:rPr>
            </w:pPr>
            <w:r w:rsidRPr="00603370">
              <w:rPr>
                <w:color w:val="000000"/>
              </w:rPr>
              <w:t>(0.21)</w:t>
            </w:r>
          </w:p>
        </w:tc>
        <w:tc>
          <w:tcPr>
            <w:tcW w:w="1637" w:type="dxa"/>
          </w:tcPr>
          <w:p w14:paraId="0A6BF542" w14:textId="25ED3174" w:rsidR="00E414C1" w:rsidRPr="008913B8" w:rsidRDefault="00E414C1" w:rsidP="00E414C1">
            <w:pPr>
              <w:pStyle w:val="Newparagraph"/>
              <w:spacing w:line="240" w:lineRule="auto"/>
              <w:ind w:firstLine="0"/>
              <w:jc w:val="center"/>
              <w:rPr>
                <w:sz w:val="20"/>
                <w:szCs w:val="20"/>
              </w:rPr>
            </w:pPr>
            <w:r w:rsidRPr="00603370">
              <w:rPr>
                <w:color w:val="000000"/>
              </w:rPr>
              <w:t xml:space="preserve"> (1.27)</w:t>
            </w:r>
          </w:p>
        </w:tc>
        <w:tc>
          <w:tcPr>
            <w:tcW w:w="1710" w:type="dxa"/>
          </w:tcPr>
          <w:p w14:paraId="6AAC90E2" w14:textId="178EF354" w:rsidR="00E414C1" w:rsidRPr="008913B8" w:rsidRDefault="00E414C1" w:rsidP="00E414C1">
            <w:pPr>
              <w:pStyle w:val="Newparagraph"/>
              <w:spacing w:line="240" w:lineRule="auto"/>
              <w:ind w:firstLine="0"/>
              <w:jc w:val="center"/>
              <w:rPr>
                <w:sz w:val="20"/>
                <w:szCs w:val="20"/>
              </w:rPr>
            </w:pPr>
            <w:r w:rsidRPr="00603370">
              <w:rPr>
                <w:color w:val="000000"/>
              </w:rPr>
              <w:t xml:space="preserve"> (0.66)</w:t>
            </w:r>
          </w:p>
        </w:tc>
      </w:tr>
      <w:tr w:rsidR="005149A0" w:rsidRPr="008913B8" w14:paraId="67A05BF9" w14:textId="77777777" w:rsidTr="005149A0">
        <w:trPr>
          <w:jc w:val="center"/>
        </w:trPr>
        <w:tc>
          <w:tcPr>
            <w:tcW w:w="1795" w:type="dxa"/>
          </w:tcPr>
          <w:p w14:paraId="04AA1D00" w14:textId="77777777" w:rsidR="005149A0" w:rsidRPr="008913B8" w:rsidRDefault="005149A0" w:rsidP="005149A0">
            <w:pPr>
              <w:pStyle w:val="Newparagraph"/>
              <w:spacing w:line="240" w:lineRule="auto"/>
              <w:ind w:firstLine="0"/>
              <w:rPr>
                <w:sz w:val="20"/>
                <w:szCs w:val="20"/>
              </w:rPr>
            </w:pPr>
            <w:r w:rsidRPr="008913B8">
              <w:rPr>
                <w:sz w:val="20"/>
                <w:szCs w:val="20"/>
              </w:rPr>
              <w:t>ruur</w:t>
            </w:r>
          </w:p>
        </w:tc>
        <w:tc>
          <w:tcPr>
            <w:tcW w:w="1698" w:type="dxa"/>
          </w:tcPr>
          <w:p w14:paraId="0D273164" w14:textId="3B83E3BD" w:rsidR="005149A0" w:rsidRPr="008913B8" w:rsidRDefault="00E414C1" w:rsidP="005149A0">
            <w:pPr>
              <w:pStyle w:val="Newparagraph"/>
              <w:spacing w:line="240" w:lineRule="auto"/>
              <w:ind w:firstLine="0"/>
              <w:jc w:val="center"/>
              <w:rPr>
                <w:sz w:val="20"/>
                <w:szCs w:val="20"/>
              </w:rPr>
            </w:pPr>
            <w:r>
              <w:rPr>
                <w:color w:val="000000"/>
              </w:rPr>
              <w:t>2.</w:t>
            </w:r>
            <w:r>
              <w:rPr>
                <w:color w:val="000000"/>
                <w:u w:val="single"/>
              </w:rPr>
              <w:t>505***</w:t>
            </w:r>
            <w:r>
              <w:rPr>
                <w:color w:val="000000"/>
              </w:rPr>
              <w:t xml:space="preserve"> </w:t>
            </w:r>
          </w:p>
        </w:tc>
        <w:tc>
          <w:tcPr>
            <w:tcW w:w="1637" w:type="dxa"/>
          </w:tcPr>
          <w:p w14:paraId="339E7922" w14:textId="1FC9AA0A" w:rsidR="005149A0" w:rsidRPr="008913B8" w:rsidRDefault="00E414C1" w:rsidP="005149A0">
            <w:pPr>
              <w:pStyle w:val="Newparagraph"/>
              <w:spacing w:line="240" w:lineRule="auto"/>
              <w:ind w:firstLine="0"/>
              <w:jc w:val="center"/>
              <w:rPr>
                <w:sz w:val="20"/>
                <w:szCs w:val="20"/>
              </w:rPr>
            </w:pPr>
            <w:r>
              <w:rPr>
                <w:color w:val="000000"/>
              </w:rPr>
              <w:t>1.205</w:t>
            </w:r>
          </w:p>
        </w:tc>
        <w:tc>
          <w:tcPr>
            <w:tcW w:w="1710" w:type="dxa"/>
          </w:tcPr>
          <w:p w14:paraId="6199E2D8" w14:textId="4DC48FDE" w:rsidR="005149A0" w:rsidRPr="008913B8" w:rsidRDefault="00E414C1" w:rsidP="005149A0">
            <w:pPr>
              <w:pStyle w:val="Newparagraph"/>
              <w:spacing w:line="240" w:lineRule="auto"/>
              <w:ind w:firstLine="0"/>
              <w:jc w:val="center"/>
              <w:rPr>
                <w:sz w:val="20"/>
                <w:szCs w:val="20"/>
              </w:rPr>
            </w:pPr>
            <w:r>
              <w:rPr>
                <w:color w:val="000000"/>
              </w:rPr>
              <w:t>1.410</w:t>
            </w:r>
          </w:p>
        </w:tc>
      </w:tr>
      <w:tr w:rsidR="005149A0" w:rsidRPr="008913B8" w14:paraId="0573E313" w14:textId="77777777" w:rsidTr="005149A0">
        <w:trPr>
          <w:jc w:val="center"/>
        </w:trPr>
        <w:tc>
          <w:tcPr>
            <w:tcW w:w="1795" w:type="dxa"/>
          </w:tcPr>
          <w:p w14:paraId="0DF541B1" w14:textId="77777777" w:rsidR="005149A0" w:rsidRPr="008913B8" w:rsidRDefault="005149A0" w:rsidP="005149A0">
            <w:pPr>
              <w:pStyle w:val="Newparagraph"/>
              <w:spacing w:line="240" w:lineRule="auto"/>
              <w:ind w:firstLine="0"/>
              <w:rPr>
                <w:sz w:val="20"/>
                <w:szCs w:val="20"/>
              </w:rPr>
            </w:pPr>
          </w:p>
        </w:tc>
        <w:tc>
          <w:tcPr>
            <w:tcW w:w="1698" w:type="dxa"/>
          </w:tcPr>
          <w:p w14:paraId="14E5DBCD" w14:textId="37F7C0A5" w:rsidR="005149A0" w:rsidRPr="008913B8" w:rsidRDefault="00E414C1" w:rsidP="005149A0">
            <w:pPr>
              <w:pStyle w:val="Newparagraph"/>
              <w:spacing w:line="240" w:lineRule="auto"/>
              <w:ind w:firstLine="0"/>
              <w:jc w:val="center"/>
              <w:rPr>
                <w:sz w:val="20"/>
                <w:szCs w:val="20"/>
              </w:rPr>
            </w:pPr>
            <w:r>
              <w:rPr>
                <w:color w:val="000000"/>
              </w:rPr>
              <w:t xml:space="preserve">(0.62) </w:t>
            </w:r>
          </w:p>
        </w:tc>
        <w:tc>
          <w:tcPr>
            <w:tcW w:w="1637" w:type="dxa"/>
          </w:tcPr>
          <w:p w14:paraId="512DF94D" w14:textId="36A639EE" w:rsidR="005149A0" w:rsidRPr="008913B8" w:rsidRDefault="00E414C1" w:rsidP="005149A0">
            <w:pPr>
              <w:pStyle w:val="Newparagraph"/>
              <w:spacing w:line="240" w:lineRule="auto"/>
              <w:ind w:firstLine="0"/>
              <w:jc w:val="center"/>
              <w:rPr>
                <w:sz w:val="20"/>
                <w:szCs w:val="20"/>
              </w:rPr>
            </w:pPr>
            <w:r>
              <w:rPr>
                <w:color w:val="000000"/>
              </w:rPr>
              <w:t>(0.91)</w:t>
            </w:r>
          </w:p>
        </w:tc>
        <w:tc>
          <w:tcPr>
            <w:tcW w:w="1710" w:type="dxa"/>
          </w:tcPr>
          <w:p w14:paraId="6BC1D0CB" w14:textId="22093DF3" w:rsidR="005149A0" w:rsidRPr="008913B8" w:rsidRDefault="00E414C1" w:rsidP="005149A0">
            <w:pPr>
              <w:pStyle w:val="Newparagraph"/>
              <w:spacing w:line="240" w:lineRule="auto"/>
              <w:ind w:firstLine="0"/>
              <w:jc w:val="center"/>
              <w:rPr>
                <w:sz w:val="20"/>
                <w:szCs w:val="20"/>
              </w:rPr>
            </w:pPr>
            <w:r>
              <w:rPr>
                <w:color w:val="000000"/>
              </w:rPr>
              <w:t>(0.57)</w:t>
            </w:r>
          </w:p>
        </w:tc>
      </w:tr>
      <w:tr w:rsidR="00E414C1" w:rsidRPr="008913B8" w14:paraId="2AF19B46" w14:textId="77777777" w:rsidTr="00E414C1">
        <w:trPr>
          <w:jc w:val="center"/>
        </w:trPr>
        <w:tc>
          <w:tcPr>
            <w:tcW w:w="1795" w:type="dxa"/>
          </w:tcPr>
          <w:p w14:paraId="49DB15F6" w14:textId="77777777" w:rsidR="00E414C1" w:rsidRPr="008913B8" w:rsidRDefault="00E414C1" w:rsidP="00E414C1">
            <w:pPr>
              <w:pStyle w:val="Newparagraph"/>
              <w:spacing w:line="240" w:lineRule="auto"/>
              <w:ind w:firstLine="0"/>
              <w:rPr>
                <w:sz w:val="20"/>
                <w:szCs w:val="20"/>
              </w:rPr>
            </w:pPr>
            <w:r w:rsidRPr="008913B8">
              <w:rPr>
                <w:sz w:val="20"/>
                <w:szCs w:val="20"/>
              </w:rPr>
              <w:t>urru</w:t>
            </w:r>
          </w:p>
        </w:tc>
        <w:tc>
          <w:tcPr>
            <w:tcW w:w="1698" w:type="dxa"/>
          </w:tcPr>
          <w:p w14:paraId="74E651D6" w14:textId="344D1522" w:rsidR="00E414C1" w:rsidRPr="008913B8" w:rsidRDefault="00E414C1" w:rsidP="00E414C1">
            <w:pPr>
              <w:pStyle w:val="Newparagraph"/>
              <w:spacing w:line="240" w:lineRule="auto"/>
              <w:ind w:firstLine="0"/>
              <w:jc w:val="center"/>
              <w:rPr>
                <w:sz w:val="20"/>
                <w:szCs w:val="20"/>
              </w:rPr>
            </w:pPr>
            <w:r w:rsidRPr="00F57F83">
              <w:rPr>
                <w:color w:val="000000"/>
              </w:rPr>
              <w:t>0.887</w:t>
            </w:r>
          </w:p>
        </w:tc>
        <w:tc>
          <w:tcPr>
            <w:tcW w:w="1637" w:type="dxa"/>
          </w:tcPr>
          <w:p w14:paraId="42DE65EB" w14:textId="39E986D3" w:rsidR="00E414C1" w:rsidRPr="008913B8" w:rsidRDefault="00E414C1" w:rsidP="00E414C1">
            <w:pPr>
              <w:pStyle w:val="Newparagraph"/>
              <w:spacing w:line="240" w:lineRule="auto"/>
              <w:ind w:firstLine="0"/>
              <w:jc w:val="center"/>
              <w:rPr>
                <w:sz w:val="20"/>
                <w:szCs w:val="20"/>
              </w:rPr>
            </w:pPr>
            <w:r w:rsidRPr="00F57F83">
              <w:rPr>
                <w:color w:val="000000"/>
              </w:rPr>
              <w:t>0.361</w:t>
            </w:r>
          </w:p>
        </w:tc>
        <w:tc>
          <w:tcPr>
            <w:tcW w:w="1710" w:type="dxa"/>
          </w:tcPr>
          <w:p w14:paraId="68F8C6DA" w14:textId="674F65D2" w:rsidR="00E414C1" w:rsidRPr="008913B8" w:rsidRDefault="00E414C1" w:rsidP="00E414C1">
            <w:pPr>
              <w:pStyle w:val="Newparagraph"/>
              <w:spacing w:line="240" w:lineRule="auto"/>
              <w:ind w:firstLine="0"/>
              <w:jc w:val="center"/>
              <w:rPr>
                <w:sz w:val="20"/>
                <w:szCs w:val="20"/>
              </w:rPr>
            </w:pPr>
            <w:r>
              <w:rPr>
                <w:color w:val="000000"/>
              </w:rPr>
              <w:t>0.990</w:t>
            </w:r>
          </w:p>
        </w:tc>
      </w:tr>
      <w:tr w:rsidR="005149A0" w:rsidRPr="008913B8" w14:paraId="46FE6918" w14:textId="77777777" w:rsidTr="00E414C1">
        <w:trPr>
          <w:jc w:val="center"/>
        </w:trPr>
        <w:tc>
          <w:tcPr>
            <w:tcW w:w="1795" w:type="dxa"/>
            <w:tcBorders>
              <w:bottom w:val="single" w:sz="4" w:space="0" w:color="auto"/>
            </w:tcBorders>
          </w:tcPr>
          <w:p w14:paraId="11DE8C7F" w14:textId="77777777" w:rsidR="005149A0" w:rsidRPr="008913B8" w:rsidRDefault="005149A0" w:rsidP="005149A0">
            <w:pPr>
              <w:pStyle w:val="Newparagraph"/>
              <w:spacing w:line="240" w:lineRule="auto"/>
              <w:ind w:firstLine="0"/>
              <w:rPr>
                <w:sz w:val="20"/>
                <w:szCs w:val="20"/>
              </w:rPr>
            </w:pPr>
          </w:p>
        </w:tc>
        <w:tc>
          <w:tcPr>
            <w:tcW w:w="1698" w:type="dxa"/>
            <w:tcBorders>
              <w:bottom w:val="single" w:sz="4" w:space="0" w:color="auto"/>
            </w:tcBorders>
          </w:tcPr>
          <w:p w14:paraId="21C0A33A" w14:textId="4BCFC7B8" w:rsidR="005149A0" w:rsidRPr="008913B8" w:rsidRDefault="00E414C1" w:rsidP="005149A0">
            <w:pPr>
              <w:pStyle w:val="Newparagraph"/>
              <w:spacing w:line="240" w:lineRule="auto"/>
              <w:ind w:firstLine="0"/>
              <w:jc w:val="center"/>
              <w:rPr>
                <w:sz w:val="20"/>
                <w:szCs w:val="20"/>
              </w:rPr>
            </w:pPr>
            <w:r>
              <w:rPr>
                <w:color w:val="000000"/>
              </w:rPr>
              <w:t>(0.22)</w:t>
            </w:r>
          </w:p>
        </w:tc>
        <w:tc>
          <w:tcPr>
            <w:tcW w:w="1637" w:type="dxa"/>
            <w:tcBorders>
              <w:bottom w:val="single" w:sz="4" w:space="0" w:color="auto"/>
            </w:tcBorders>
          </w:tcPr>
          <w:p w14:paraId="7642BFA9" w14:textId="76967FA0" w:rsidR="005149A0" w:rsidRPr="008913B8" w:rsidRDefault="00E414C1" w:rsidP="005149A0">
            <w:pPr>
              <w:pStyle w:val="Newparagraph"/>
              <w:spacing w:line="240" w:lineRule="auto"/>
              <w:ind w:firstLine="0"/>
              <w:jc w:val="center"/>
              <w:rPr>
                <w:sz w:val="20"/>
                <w:szCs w:val="20"/>
              </w:rPr>
            </w:pPr>
            <w:r>
              <w:rPr>
                <w:color w:val="000000"/>
              </w:rPr>
              <w:t>(0.44)</w:t>
            </w:r>
          </w:p>
        </w:tc>
        <w:tc>
          <w:tcPr>
            <w:tcW w:w="1710" w:type="dxa"/>
            <w:tcBorders>
              <w:bottom w:val="single" w:sz="4" w:space="0" w:color="auto"/>
            </w:tcBorders>
          </w:tcPr>
          <w:p w14:paraId="79BF9D31" w14:textId="28FBDEF2" w:rsidR="005149A0" w:rsidRPr="008913B8" w:rsidRDefault="00E414C1" w:rsidP="005149A0">
            <w:pPr>
              <w:pStyle w:val="Newparagraph"/>
              <w:spacing w:line="240" w:lineRule="auto"/>
              <w:ind w:firstLine="0"/>
              <w:jc w:val="center"/>
              <w:rPr>
                <w:sz w:val="20"/>
                <w:szCs w:val="20"/>
              </w:rPr>
            </w:pPr>
            <w:r>
              <w:rPr>
                <w:color w:val="000000"/>
              </w:rPr>
              <w:t>(0.48)</w:t>
            </w:r>
          </w:p>
        </w:tc>
      </w:tr>
      <w:tr w:rsidR="00E414C1" w:rsidRPr="008913B8" w14:paraId="7CBCAA4E" w14:textId="77777777" w:rsidTr="00E414C1">
        <w:trPr>
          <w:jc w:val="center"/>
        </w:trPr>
        <w:tc>
          <w:tcPr>
            <w:tcW w:w="1795" w:type="dxa"/>
            <w:tcBorders>
              <w:top w:val="single" w:sz="4" w:space="0" w:color="auto"/>
            </w:tcBorders>
          </w:tcPr>
          <w:p w14:paraId="2F34D4A1" w14:textId="74B7EE03" w:rsidR="00E414C1" w:rsidRPr="008913B8" w:rsidRDefault="00E414C1" w:rsidP="00E414C1">
            <w:pPr>
              <w:pStyle w:val="Newparagraph"/>
              <w:spacing w:line="240" w:lineRule="auto"/>
              <w:ind w:firstLine="0"/>
              <w:rPr>
                <w:sz w:val="20"/>
                <w:szCs w:val="20"/>
              </w:rPr>
            </w:pPr>
            <w:r w:rsidRPr="008913B8">
              <w:rPr>
                <w:i/>
                <w:color w:val="000000"/>
                <w:sz w:val="20"/>
                <w:szCs w:val="20"/>
              </w:rPr>
              <w:t>No. of Observations</w:t>
            </w:r>
          </w:p>
        </w:tc>
        <w:tc>
          <w:tcPr>
            <w:tcW w:w="1698" w:type="dxa"/>
            <w:tcBorders>
              <w:top w:val="single" w:sz="4" w:space="0" w:color="auto"/>
            </w:tcBorders>
          </w:tcPr>
          <w:p w14:paraId="18CDF813" w14:textId="3BC7FCF4" w:rsidR="00E414C1" w:rsidRDefault="00E414C1" w:rsidP="00E414C1">
            <w:pPr>
              <w:pStyle w:val="Newparagraph"/>
              <w:spacing w:line="240" w:lineRule="auto"/>
              <w:ind w:firstLine="0"/>
              <w:jc w:val="center"/>
              <w:rPr>
                <w:color w:val="000000"/>
              </w:rPr>
            </w:pPr>
            <w:r>
              <w:rPr>
                <w:color w:val="000000"/>
              </w:rPr>
              <w:t>2,379</w:t>
            </w:r>
          </w:p>
        </w:tc>
        <w:tc>
          <w:tcPr>
            <w:tcW w:w="1637" w:type="dxa"/>
            <w:tcBorders>
              <w:top w:val="single" w:sz="4" w:space="0" w:color="auto"/>
            </w:tcBorders>
          </w:tcPr>
          <w:p w14:paraId="30B2A8FD" w14:textId="556CFA13" w:rsidR="00E414C1" w:rsidRDefault="00E414C1" w:rsidP="00E414C1">
            <w:pPr>
              <w:pStyle w:val="Newparagraph"/>
              <w:spacing w:line="240" w:lineRule="auto"/>
              <w:ind w:firstLine="0"/>
              <w:jc w:val="center"/>
              <w:rPr>
                <w:color w:val="000000"/>
              </w:rPr>
            </w:pPr>
            <w:r>
              <w:rPr>
                <w:color w:val="000000"/>
              </w:rPr>
              <w:t>1,698</w:t>
            </w:r>
          </w:p>
        </w:tc>
        <w:tc>
          <w:tcPr>
            <w:tcW w:w="1710" w:type="dxa"/>
            <w:tcBorders>
              <w:top w:val="single" w:sz="4" w:space="0" w:color="auto"/>
            </w:tcBorders>
          </w:tcPr>
          <w:p w14:paraId="5109B6F5" w14:textId="7B015965" w:rsidR="00E414C1" w:rsidRDefault="00E414C1" w:rsidP="00E414C1">
            <w:pPr>
              <w:pStyle w:val="Newparagraph"/>
              <w:spacing w:line="240" w:lineRule="auto"/>
              <w:ind w:firstLine="0"/>
              <w:jc w:val="center"/>
              <w:rPr>
                <w:color w:val="000000"/>
              </w:rPr>
            </w:pPr>
            <w:r>
              <w:rPr>
                <w:color w:val="000000"/>
              </w:rPr>
              <w:t>1,404</w:t>
            </w:r>
          </w:p>
        </w:tc>
      </w:tr>
      <w:tr w:rsidR="00E414C1" w:rsidRPr="008913B8" w14:paraId="6CAC78B5" w14:textId="77777777" w:rsidTr="00E414C1">
        <w:trPr>
          <w:jc w:val="center"/>
        </w:trPr>
        <w:tc>
          <w:tcPr>
            <w:tcW w:w="1795" w:type="dxa"/>
          </w:tcPr>
          <w:p w14:paraId="6CDE7E00" w14:textId="4F32DEE0" w:rsidR="00E414C1" w:rsidRPr="008913B8" w:rsidRDefault="00E414C1" w:rsidP="00E414C1">
            <w:pPr>
              <w:pStyle w:val="Newparagraph"/>
              <w:spacing w:line="240" w:lineRule="auto"/>
              <w:ind w:firstLine="0"/>
              <w:rPr>
                <w:sz w:val="20"/>
                <w:szCs w:val="20"/>
              </w:rPr>
            </w:pPr>
            <w:r w:rsidRPr="008913B8">
              <w:rPr>
                <w:i/>
                <w:color w:val="000000"/>
                <w:sz w:val="20"/>
                <w:szCs w:val="20"/>
              </w:rPr>
              <w:t>No. of Censored</w:t>
            </w:r>
          </w:p>
        </w:tc>
        <w:tc>
          <w:tcPr>
            <w:tcW w:w="1698" w:type="dxa"/>
          </w:tcPr>
          <w:p w14:paraId="2E94B605" w14:textId="1D818362" w:rsidR="00E414C1" w:rsidRDefault="00E414C1" w:rsidP="00E414C1">
            <w:pPr>
              <w:pStyle w:val="Newparagraph"/>
              <w:spacing w:line="240" w:lineRule="auto"/>
              <w:ind w:firstLine="0"/>
              <w:jc w:val="center"/>
              <w:rPr>
                <w:color w:val="000000"/>
              </w:rPr>
            </w:pPr>
            <w:r>
              <w:rPr>
                <w:color w:val="000000"/>
              </w:rPr>
              <w:t>2,047</w:t>
            </w:r>
          </w:p>
        </w:tc>
        <w:tc>
          <w:tcPr>
            <w:tcW w:w="1637" w:type="dxa"/>
          </w:tcPr>
          <w:p w14:paraId="1A17A693" w14:textId="77A67501" w:rsidR="00E414C1" w:rsidRDefault="00E414C1" w:rsidP="00E414C1">
            <w:pPr>
              <w:pStyle w:val="Newparagraph"/>
              <w:spacing w:line="240" w:lineRule="auto"/>
              <w:ind w:firstLine="0"/>
              <w:jc w:val="center"/>
              <w:rPr>
                <w:color w:val="000000"/>
              </w:rPr>
            </w:pPr>
            <w:r>
              <w:rPr>
                <w:color w:val="000000"/>
              </w:rPr>
              <w:t>1,661</w:t>
            </w:r>
          </w:p>
        </w:tc>
        <w:tc>
          <w:tcPr>
            <w:tcW w:w="1710" w:type="dxa"/>
          </w:tcPr>
          <w:p w14:paraId="185E1731" w14:textId="7FFD9A5E" w:rsidR="00E414C1" w:rsidRDefault="00E414C1" w:rsidP="00E414C1">
            <w:pPr>
              <w:pStyle w:val="Newparagraph"/>
              <w:spacing w:line="240" w:lineRule="auto"/>
              <w:ind w:firstLine="0"/>
              <w:jc w:val="center"/>
              <w:rPr>
                <w:color w:val="000000"/>
              </w:rPr>
            </w:pPr>
            <w:r>
              <w:rPr>
                <w:color w:val="000000"/>
              </w:rPr>
              <w:t>1,325</w:t>
            </w:r>
          </w:p>
        </w:tc>
      </w:tr>
      <w:tr w:rsidR="00E414C1" w:rsidRPr="008913B8" w14:paraId="319913CC" w14:textId="77777777" w:rsidTr="00E414C1">
        <w:trPr>
          <w:jc w:val="center"/>
        </w:trPr>
        <w:tc>
          <w:tcPr>
            <w:tcW w:w="1795" w:type="dxa"/>
          </w:tcPr>
          <w:p w14:paraId="2F9FA3A7" w14:textId="6D9D25E4" w:rsidR="00E414C1" w:rsidRPr="008913B8" w:rsidRDefault="00E414C1" w:rsidP="00E414C1">
            <w:pPr>
              <w:pStyle w:val="Newparagraph"/>
              <w:spacing w:line="240" w:lineRule="auto"/>
              <w:ind w:firstLine="0"/>
              <w:rPr>
                <w:sz w:val="20"/>
                <w:szCs w:val="20"/>
              </w:rPr>
            </w:pPr>
            <w:r w:rsidRPr="008913B8">
              <w:rPr>
                <w:i/>
                <w:color w:val="000000"/>
                <w:sz w:val="20"/>
                <w:szCs w:val="20"/>
              </w:rPr>
              <w:t>Log-pseudolikelihood</w:t>
            </w:r>
          </w:p>
        </w:tc>
        <w:tc>
          <w:tcPr>
            <w:tcW w:w="1698" w:type="dxa"/>
          </w:tcPr>
          <w:p w14:paraId="1A5606BA" w14:textId="328D04B5" w:rsidR="00E414C1" w:rsidRDefault="00E414C1" w:rsidP="00E414C1">
            <w:pPr>
              <w:pStyle w:val="Newparagraph"/>
              <w:spacing w:line="240" w:lineRule="auto"/>
              <w:ind w:firstLine="0"/>
              <w:jc w:val="center"/>
              <w:rPr>
                <w:color w:val="000000"/>
              </w:rPr>
            </w:pPr>
            <w:r>
              <w:rPr>
                <w:color w:val="000000"/>
              </w:rPr>
              <w:t>-2,253</w:t>
            </w:r>
          </w:p>
        </w:tc>
        <w:tc>
          <w:tcPr>
            <w:tcW w:w="1637" w:type="dxa"/>
          </w:tcPr>
          <w:p w14:paraId="714CC4DD" w14:textId="0F6775DF" w:rsidR="00E414C1" w:rsidRDefault="00E414C1" w:rsidP="00E414C1">
            <w:pPr>
              <w:pStyle w:val="Newparagraph"/>
              <w:spacing w:line="240" w:lineRule="auto"/>
              <w:ind w:firstLine="0"/>
              <w:jc w:val="center"/>
              <w:rPr>
                <w:color w:val="000000"/>
              </w:rPr>
            </w:pPr>
            <w:r>
              <w:rPr>
                <w:color w:val="000000"/>
              </w:rPr>
              <w:t>-231</w:t>
            </w:r>
          </w:p>
        </w:tc>
        <w:tc>
          <w:tcPr>
            <w:tcW w:w="1710" w:type="dxa"/>
          </w:tcPr>
          <w:p w14:paraId="29295470" w14:textId="01589AA4" w:rsidR="00E414C1" w:rsidRDefault="00E414C1" w:rsidP="00E414C1">
            <w:pPr>
              <w:pStyle w:val="Newparagraph"/>
              <w:spacing w:line="240" w:lineRule="auto"/>
              <w:ind w:firstLine="0"/>
              <w:jc w:val="center"/>
              <w:rPr>
                <w:color w:val="000000"/>
              </w:rPr>
            </w:pPr>
            <w:r>
              <w:rPr>
                <w:color w:val="000000"/>
              </w:rPr>
              <w:t>-466</w:t>
            </w:r>
          </w:p>
        </w:tc>
      </w:tr>
      <w:tr w:rsidR="00E414C1" w:rsidRPr="008913B8" w14:paraId="2254EDD5" w14:textId="77777777" w:rsidTr="005149A0">
        <w:trPr>
          <w:jc w:val="center"/>
        </w:trPr>
        <w:tc>
          <w:tcPr>
            <w:tcW w:w="1795" w:type="dxa"/>
            <w:tcBorders>
              <w:bottom w:val="single" w:sz="4" w:space="0" w:color="auto"/>
            </w:tcBorders>
          </w:tcPr>
          <w:p w14:paraId="3C7B160C" w14:textId="40C398F5" w:rsidR="00E414C1" w:rsidRPr="008913B8" w:rsidRDefault="00E414C1" w:rsidP="00E414C1">
            <w:pPr>
              <w:pStyle w:val="Newparagraph"/>
              <w:spacing w:line="240" w:lineRule="auto"/>
              <w:ind w:firstLine="0"/>
              <w:rPr>
                <w:sz w:val="20"/>
                <w:szCs w:val="20"/>
              </w:rPr>
            </w:pPr>
            <w:r w:rsidRPr="008913B8">
              <w:rPr>
                <w:i/>
                <w:color w:val="000000"/>
                <w:sz w:val="20"/>
                <w:szCs w:val="20"/>
              </w:rPr>
              <w:t>Schoenfeld Test p-values</w:t>
            </w:r>
          </w:p>
        </w:tc>
        <w:tc>
          <w:tcPr>
            <w:tcW w:w="1698" w:type="dxa"/>
            <w:tcBorders>
              <w:bottom w:val="single" w:sz="4" w:space="0" w:color="auto"/>
            </w:tcBorders>
          </w:tcPr>
          <w:p w14:paraId="59099A4F" w14:textId="110A2E66" w:rsidR="00E414C1" w:rsidRDefault="00E414C1" w:rsidP="00E414C1">
            <w:pPr>
              <w:pStyle w:val="Newparagraph"/>
              <w:spacing w:line="240" w:lineRule="auto"/>
              <w:ind w:firstLine="0"/>
              <w:jc w:val="center"/>
              <w:rPr>
                <w:color w:val="000000"/>
              </w:rPr>
            </w:pPr>
            <w:r>
              <w:rPr>
                <w:color w:val="000000"/>
              </w:rPr>
              <w:t>0.232</w:t>
            </w:r>
          </w:p>
        </w:tc>
        <w:tc>
          <w:tcPr>
            <w:tcW w:w="1637" w:type="dxa"/>
            <w:tcBorders>
              <w:bottom w:val="single" w:sz="4" w:space="0" w:color="auto"/>
            </w:tcBorders>
          </w:tcPr>
          <w:p w14:paraId="60719B45" w14:textId="1A6C742C" w:rsidR="00E414C1" w:rsidRDefault="00E414C1" w:rsidP="00E414C1">
            <w:pPr>
              <w:pStyle w:val="Newparagraph"/>
              <w:spacing w:line="240" w:lineRule="auto"/>
              <w:ind w:firstLine="0"/>
              <w:jc w:val="center"/>
              <w:rPr>
                <w:color w:val="000000"/>
              </w:rPr>
            </w:pPr>
            <w:r>
              <w:rPr>
                <w:color w:val="000000"/>
              </w:rPr>
              <w:t>0.000</w:t>
            </w:r>
          </w:p>
        </w:tc>
        <w:tc>
          <w:tcPr>
            <w:tcW w:w="1710" w:type="dxa"/>
            <w:tcBorders>
              <w:bottom w:val="single" w:sz="4" w:space="0" w:color="auto"/>
            </w:tcBorders>
          </w:tcPr>
          <w:p w14:paraId="015E865A" w14:textId="2494EC7E" w:rsidR="00E414C1" w:rsidRDefault="00E414C1" w:rsidP="00E414C1">
            <w:pPr>
              <w:pStyle w:val="Newparagraph"/>
              <w:spacing w:line="240" w:lineRule="auto"/>
              <w:ind w:firstLine="0"/>
              <w:jc w:val="center"/>
              <w:rPr>
                <w:color w:val="000000"/>
              </w:rPr>
            </w:pPr>
            <w:r>
              <w:rPr>
                <w:color w:val="000000"/>
              </w:rPr>
              <w:t>0.856</w:t>
            </w:r>
          </w:p>
        </w:tc>
      </w:tr>
    </w:tbl>
    <w:p w14:paraId="17FF3D31" w14:textId="35B9363C" w:rsidR="00E414C1" w:rsidRDefault="00E414C1" w:rsidP="00E414C1">
      <w:pPr>
        <w:pStyle w:val="Newparagraph"/>
        <w:spacing w:line="240" w:lineRule="auto"/>
        <w:ind w:left="810" w:right="849" w:firstLine="0"/>
        <w:jc w:val="both"/>
        <w:rPr>
          <w:sz w:val="18"/>
        </w:rPr>
      </w:pPr>
      <w:r w:rsidRPr="008913B8">
        <w:rPr>
          <w:i/>
          <w:sz w:val="18"/>
        </w:rPr>
        <w:t>Notes:</w:t>
      </w:r>
      <w:r>
        <w:rPr>
          <w:i/>
          <w:sz w:val="18"/>
        </w:rPr>
        <w:t xml:space="preserve"> </w:t>
      </w:r>
      <w:r w:rsidRPr="008913B8">
        <w:rPr>
          <w:sz w:val="18"/>
        </w:rPr>
        <w:t>*p&lt;0.1, **p&lt;0.005, ***p&lt;0.001. Standard errors adjusted for household clusters and robust to heteroskedasticity are shown in parentheses.</w:t>
      </w:r>
    </w:p>
    <w:p w14:paraId="67EA0644" w14:textId="77777777" w:rsidR="00E414C1" w:rsidRDefault="00E414C1" w:rsidP="00261C12">
      <w:pPr>
        <w:pStyle w:val="Newparagraph"/>
        <w:jc w:val="both"/>
      </w:pPr>
      <w:r>
        <w:t xml:space="preserve">  </w:t>
      </w:r>
    </w:p>
    <w:p w14:paraId="7C1F515F" w14:textId="0AA391E5" w:rsidR="00E414C1" w:rsidRPr="00E414C1" w:rsidRDefault="00E414C1" w:rsidP="00E414C1">
      <w:pPr>
        <w:pStyle w:val="HTMLPreformatted"/>
        <w:jc w:val="both"/>
        <w:rPr>
          <w:rFonts w:ascii="Times New Roman" w:hAnsi="Times New Roman" w:cs="Times New Roman"/>
          <w:color w:val="000000"/>
          <w:sz w:val="24"/>
          <w:szCs w:val="24"/>
          <w:lang w:val="en-GB" w:eastAsia="en-GB"/>
        </w:rPr>
      </w:pPr>
      <w:r>
        <w:rPr>
          <w:rFonts w:ascii="Times New Roman" w:hAnsi="Times New Roman" w:cs="Times New Roman"/>
          <w:color w:val="000000"/>
          <w:sz w:val="24"/>
          <w:szCs w:val="24"/>
          <w:lang w:val="en-GB" w:eastAsia="en-GB"/>
        </w:rPr>
        <w:tab/>
      </w:r>
      <w:r w:rsidRPr="00E414C1">
        <w:rPr>
          <w:rFonts w:ascii="Times New Roman" w:hAnsi="Times New Roman" w:cs="Times New Roman"/>
          <w:color w:val="000000"/>
          <w:sz w:val="24"/>
          <w:szCs w:val="24"/>
          <w:lang w:val="en-GB" w:eastAsia="en-GB"/>
        </w:rPr>
        <w:t xml:space="preserve">Regarding the test on the proportionality assumption, the p-values obtained for each model are reported at the bottom of Table </w:t>
      </w:r>
      <w:r>
        <w:rPr>
          <w:rFonts w:ascii="Times New Roman" w:hAnsi="Times New Roman" w:cs="Times New Roman"/>
          <w:color w:val="000000"/>
          <w:sz w:val="24"/>
          <w:szCs w:val="24"/>
          <w:lang w:val="en-GB" w:eastAsia="en-GB"/>
        </w:rPr>
        <w:t>7</w:t>
      </w:r>
      <w:r w:rsidRPr="00E414C1">
        <w:rPr>
          <w:rFonts w:ascii="Times New Roman" w:hAnsi="Times New Roman" w:cs="Times New Roman"/>
          <w:color w:val="000000"/>
          <w:sz w:val="24"/>
          <w:szCs w:val="24"/>
          <w:lang w:val="en-GB" w:eastAsia="en-GB"/>
        </w:rPr>
        <w:t xml:space="preserve"> These p-values indicate that the proportional hazard assumption is satisfied for Guaran</w:t>
      </w:r>
      <w:r>
        <w:rPr>
          <w:rFonts w:ascii="Times New Roman" w:hAnsi="Times New Roman" w:cs="Times New Roman"/>
          <w:color w:val="000000"/>
          <w:sz w:val="24"/>
          <w:szCs w:val="24"/>
          <w:lang w:val="en-GB" w:eastAsia="en-GB"/>
        </w:rPr>
        <w:t>í</w:t>
      </w:r>
      <w:r w:rsidRPr="00E414C1">
        <w:rPr>
          <w:rFonts w:ascii="Times New Roman" w:hAnsi="Times New Roman" w:cs="Times New Roman"/>
          <w:color w:val="000000"/>
          <w:sz w:val="24"/>
          <w:szCs w:val="24"/>
          <w:lang w:val="en-GB" w:eastAsia="en-GB"/>
        </w:rPr>
        <w:t xml:space="preserve"> and bilingual speakers, but not for Spanish speakers. As mentioned before, a possible solution </w:t>
      </w:r>
      <w:r w:rsidR="00641737">
        <w:rPr>
          <w:rFonts w:ascii="Times New Roman" w:hAnsi="Times New Roman" w:cs="Times New Roman"/>
          <w:color w:val="000000"/>
          <w:sz w:val="24"/>
          <w:szCs w:val="24"/>
          <w:lang w:val="en-GB" w:eastAsia="en-GB"/>
        </w:rPr>
        <w:t>for</w:t>
      </w:r>
      <w:r w:rsidRPr="00E414C1">
        <w:rPr>
          <w:rFonts w:ascii="Times New Roman" w:hAnsi="Times New Roman" w:cs="Times New Roman"/>
          <w:color w:val="000000"/>
          <w:sz w:val="24"/>
          <w:szCs w:val="24"/>
          <w:lang w:val="en-GB" w:eastAsia="en-GB"/>
        </w:rPr>
        <w:t xml:space="preserve"> the violation of this assumption is to incorporate interactions of the problematic variables and the time variable into the model. This was performed for the Spanish speakers’ sample, and the results remained the same. </w:t>
      </w:r>
    </w:p>
    <w:p w14:paraId="5881A0F2" w14:textId="77777777" w:rsidR="00E414C1" w:rsidRDefault="00E414C1" w:rsidP="00E414C1">
      <w:pPr>
        <w:pStyle w:val="HTMLPreformatted"/>
      </w:pPr>
    </w:p>
    <w:p w14:paraId="1903E151" w14:textId="335AF005" w:rsidR="00E414C1" w:rsidRDefault="00E414C1" w:rsidP="00E414C1">
      <w:pPr>
        <w:pStyle w:val="Newparagraph"/>
        <w:jc w:val="both"/>
      </w:pPr>
      <w:r w:rsidRPr="00E414C1">
        <w:t>Overall, the results presented in this chapter suggest that Guaraní speakers are more likely to drop out than their counterparts who speak Spanish or are bilinguals in Spanish and Guaraní. The hazard of dropping out is higher for Guaraní speakers after second grade, implying that gaps in educational attainment start to emerge after this grade. The hazard of dropping out is increasing at an increasing rate over primary school for all language groups, but the rate is higher for Guaraní speakers. The results of the hazard models indicate that Guaraní speakers are more likely to drop out of primary school even after controlling for migration and wealth as well as other important covariates suggested by previous research. These findings suggest that differences in the hazard of dropout are robust, and that they might be other unobserved motives that lead Guaraní speaking students to leave primary school in the early years.</w:t>
      </w:r>
    </w:p>
    <w:p w14:paraId="42B6BD24" w14:textId="6446C91E" w:rsidR="00E414C1" w:rsidRPr="00E414C1" w:rsidRDefault="0093752A" w:rsidP="00E414C1">
      <w:pPr>
        <w:pStyle w:val="Heading1"/>
        <w:spacing w:before="0" w:after="0" w:line="480" w:lineRule="auto"/>
        <w:ind w:right="0"/>
        <w:contextualSpacing w:val="0"/>
        <w:jc w:val="center"/>
        <w:rPr>
          <w:lang w:val="en-US" w:eastAsia="ru-RU"/>
        </w:rPr>
      </w:pPr>
      <w:r>
        <w:rPr>
          <w:lang w:val="en-US" w:eastAsia="ru-RU"/>
        </w:rPr>
        <w:t xml:space="preserve">Conclusion </w:t>
      </w:r>
    </w:p>
    <w:p w14:paraId="14C3999A" w14:textId="340AF9B5" w:rsidR="00E414C1" w:rsidRDefault="00E414C1" w:rsidP="00E414C1">
      <w:pPr>
        <w:pStyle w:val="Newparagraph"/>
        <w:jc w:val="both"/>
      </w:pPr>
      <w:r w:rsidRPr="00E414C1">
        <w:t xml:space="preserve">This study contributes to the understanding of the drop out process of individual with different linguistic backgrounds. </w:t>
      </w:r>
      <w:r w:rsidR="0093752A">
        <w:t xml:space="preserve">In particular, it examines whether language-disadvantaged students in Paraguay face a higher risk of dropping out of primary school. </w:t>
      </w:r>
      <w:r w:rsidRPr="00E414C1">
        <w:t>The findings indicate that Guaraní speakers</w:t>
      </w:r>
      <w:r w:rsidR="006C3F50">
        <w:t>, the language-disadvantaged students,</w:t>
      </w:r>
      <w:r w:rsidRPr="00E414C1">
        <w:t xml:space="preserve"> are </w:t>
      </w:r>
      <w:r w:rsidRPr="00E414C1">
        <w:lastRenderedPageBreak/>
        <w:t>consistently more likely to drop out of primary school than Spanish and bilingual speakers</w:t>
      </w:r>
      <w:r w:rsidR="006C3F50">
        <w:t>, the language-advantaged students</w:t>
      </w:r>
      <w:r w:rsidRPr="00E414C1">
        <w:t xml:space="preserve">. The disparities on the risk of dropping out arise after second grade, </w:t>
      </w:r>
      <w:r w:rsidR="006C3F50">
        <w:t>and increases at a higher rate for Guaraní speakers</w:t>
      </w:r>
      <w:r w:rsidRPr="00E414C1">
        <w:t xml:space="preserve">. Furthermore, </w:t>
      </w:r>
      <w:r w:rsidR="006C3F50">
        <w:t xml:space="preserve">the risk of dropping out for </w:t>
      </w:r>
      <w:r w:rsidRPr="00E414C1">
        <w:t xml:space="preserve">Guaraní speakers </w:t>
      </w:r>
      <w:r w:rsidR="006C3F50">
        <w:t xml:space="preserve">reaches its peak at </w:t>
      </w:r>
      <w:r w:rsidRPr="00E414C1">
        <w:t xml:space="preserve">sixth grade, </w:t>
      </w:r>
      <w:r w:rsidR="006C3F50">
        <w:t xml:space="preserve">which implies that they are </w:t>
      </w:r>
      <w:r w:rsidRPr="00E414C1">
        <w:t xml:space="preserve">less likely to </w:t>
      </w:r>
      <w:r w:rsidR="006C3F50">
        <w:t>progress</w:t>
      </w:r>
      <w:r w:rsidRPr="00E414C1">
        <w:t xml:space="preserve"> to seventh grade. These findings are robust across different empirical models. The results of this study, therefore, prompts further consideration of differential intervention approaches in countries with large language diversity, in order to reduce dropouts, increase educational attainment, and at the same time reduce educational gaps.</w:t>
      </w:r>
    </w:p>
    <w:p w14:paraId="01CB0796" w14:textId="6D9C2EB7" w:rsidR="00E414C1" w:rsidRDefault="00676DCA" w:rsidP="00E414C1">
      <w:pPr>
        <w:pStyle w:val="Newparagraph"/>
        <w:jc w:val="both"/>
      </w:pPr>
      <w:r w:rsidRPr="00676DCA">
        <w:t xml:space="preserve">Nonetheless, the study suffers from several limitations, therefore warranting future research. First, some important variables such as age at entrance in primary school and age at enrolment at each grade are not included in the models due to the unavailability of this data. Research suggest that students who are old for a specific grade are more likely to drop out of school. Second, it is likely that unobserved characteristics of Guaraní speaker students lead them to not </w:t>
      </w:r>
      <w:r w:rsidR="006C3F50">
        <w:t xml:space="preserve">being able to complete </w:t>
      </w:r>
      <w:r w:rsidRPr="00676DCA">
        <w:t>primary school. Language barriers could be one of them. While this study provides evidence that Guaraní speakers are more likely to drop out of primary school, even after controlling for migration, wealth and other individual, family and household characteristics, it has not established a causal relationship between the language of instruction and dropping out. Therefore, more research is needed in order to identify if it is language barriers that are leading language-disadvantaged students to drop out of school early.</w:t>
      </w:r>
    </w:p>
    <w:p w14:paraId="7C5B4676" w14:textId="77777777" w:rsidR="00945859" w:rsidRDefault="00945859" w:rsidP="00E414C1">
      <w:pPr>
        <w:pStyle w:val="Newparagraph"/>
        <w:jc w:val="both"/>
        <w:sectPr w:rsidR="00945859" w:rsidSect="00074B81">
          <w:pgSz w:w="11901" w:h="16840" w:code="9"/>
          <w:pgMar w:top="1418" w:right="1701" w:bottom="1418" w:left="1701" w:header="709" w:footer="709" w:gutter="0"/>
          <w:cols w:space="708"/>
          <w:docGrid w:linePitch="360"/>
        </w:sectPr>
      </w:pPr>
    </w:p>
    <w:p w14:paraId="19A46DCE" w14:textId="14C79799" w:rsidR="00821341" w:rsidRPr="00E80A77" w:rsidRDefault="00821341" w:rsidP="00821341">
      <w:pPr>
        <w:pStyle w:val="Heading1"/>
      </w:pPr>
      <w:r w:rsidRPr="00E80A77">
        <w:lastRenderedPageBreak/>
        <w:t>References</w:t>
      </w:r>
    </w:p>
    <w:p w14:paraId="3D45C682" w14:textId="2B91070B" w:rsidR="005A56C5" w:rsidRPr="005A56C5" w:rsidRDefault="005A56C5" w:rsidP="005A56C5">
      <w:pPr>
        <w:widowControl w:val="0"/>
        <w:autoSpaceDE w:val="0"/>
        <w:autoSpaceDN w:val="0"/>
        <w:adjustRightInd w:val="0"/>
        <w:spacing w:line="240" w:lineRule="auto"/>
        <w:ind w:left="480" w:hanging="480"/>
        <w:rPr>
          <w:noProof/>
        </w:rPr>
      </w:pPr>
      <w:r>
        <w:rPr>
          <w:lang w:val="en-US" w:eastAsia="en-US"/>
        </w:rPr>
        <w:fldChar w:fldCharType="begin" w:fldLock="1"/>
      </w:r>
      <w:r>
        <w:rPr>
          <w:lang w:val="en-US" w:eastAsia="en-US"/>
        </w:rPr>
        <w:instrText xml:space="preserve">ADDIN Mendeley Bibliography CSL_BIBLIOGRAPHY </w:instrText>
      </w:r>
      <w:r>
        <w:rPr>
          <w:lang w:val="en-US" w:eastAsia="en-US"/>
        </w:rPr>
        <w:fldChar w:fldCharType="separate"/>
      </w:r>
      <w:r w:rsidRPr="005A56C5">
        <w:rPr>
          <w:noProof/>
        </w:rPr>
        <w:t xml:space="preserve">Al-Samarrai, S., &amp; Peasgood, T. (1998). Educational attainments and household characteristics in Tanzania. </w:t>
      </w:r>
      <w:r w:rsidRPr="005A56C5">
        <w:rPr>
          <w:i/>
          <w:iCs/>
          <w:noProof/>
        </w:rPr>
        <w:t>Economics of Education Review</w:t>
      </w:r>
      <w:r w:rsidRPr="005A56C5">
        <w:rPr>
          <w:noProof/>
        </w:rPr>
        <w:t xml:space="preserve">, </w:t>
      </w:r>
      <w:r w:rsidRPr="005A56C5">
        <w:rPr>
          <w:i/>
          <w:iCs/>
          <w:noProof/>
        </w:rPr>
        <w:t>17</w:t>
      </w:r>
      <w:r w:rsidRPr="005A56C5">
        <w:rPr>
          <w:noProof/>
        </w:rPr>
        <w:t>(4), 395–417.</w:t>
      </w:r>
    </w:p>
    <w:p w14:paraId="38DD434B"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Alexander, K., Entwisle, D., &amp; Kabbani, N. (2001). The dropout process in life course perspective: Early risk factors at home and school. </w:t>
      </w:r>
      <w:r w:rsidRPr="005A56C5">
        <w:rPr>
          <w:i/>
          <w:iCs/>
          <w:noProof/>
        </w:rPr>
        <w:t>The Teachers College Record</w:t>
      </w:r>
      <w:r w:rsidRPr="005A56C5">
        <w:rPr>
          <w:noProof/>
        </w:rPr>
        <w:t xml:space="preserve">, </w:t>
      </w:r>
      <w:r w:rsidRPr="005A56C5">
        <w:rPr>
          <w:i/>
          <w:iCs/>
          <w:noProof/>
        </w:rPr>
        <w:t>103</w:t>
      </w:r>
      <w:r w:rsidRPr="005A56C5">
        <w:rPr>
          <w:noProof/>
        </w:rPr>
        <w:t>(5), 760–822.</w:t>
      </w:r>
    </w:p>
    <w:p w14:paraId="1B6B5476"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Allison, P. D. (2010). </w:t>
      </w:r>
      <w:r w:rsidRPr="005A56C5">
        <w:rPr>
          <w:i/>
          <w:iCs/>
          <w:noProof/>
        </w:rPr>
        <w:t>Survival analysis using SAS: a practical guide</w:t>
      </w:r>
      <w:r w:rsidRPr="005A56C5">
        <w:rPr>
          <w:noProof/>
        </w:rPr>
        <w:t>. Sas Institute.</w:t>
      </w:r>
    </w:p>
    <w:p w14:paraId="7F93FFE4"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Behrman, J. R., &amp; Taubman, P. (1986). Birth order, schooling, and earnings. </w:t>
      </w:r>
      <w:r w:rsidRPr="005A56C5">
        <w:rPr>
          <w:i/>
          <w:iCs/>
          <w:noProof/>
        </w:rPr>
        <w:t>Journal of Labor Economics</w:t>
      </w:r>
      <w:r w:rsidRPr="005A56C5">
        <w:rPr>
          <w:noProof/>
        </w:rPr>
        <w:t>, S121--S145.</w:t>
      </w:r>
    </w:p>
    <w:p w14:paraId="6BCCC38A"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Black, S. E., Devereux, P. J., &amp; Salvanes, K. G. (2005). The more the merrier? The effect of family size and birth order on children’s education. </w:t>
      </w:r>
      <w:r w:rsidRPr="005A56C5">
        <w:rPr>
          <w:i/>
          <w:iCs/>
          <w:noProof/>
        </w:rPr>
        <w:t>The Quarterly Journal of Economics</w:t>
      </w:r>
      <w:r w:rsidRPr="005A56C5">
        <w:rPr>
          <w:noProof/>
        </w:rPr>
        <w:t>, 669–700.</w:t>
      </w:r>
    </w:p>
    <w:p w14:paraId="29766CC3"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Booth, A. L., &amp; Kee, H. J. (2009). Birth order matters: the effect of family size and birth order on educational attainment. </w:t>
      </w:r>
      <w:r w:rsidRPr="005A56C5">
        <w:rPr>
          <w:i/>
          <w:iCs/>
          <w:noProof/>
        </w:rPr>
        <w:t>Journal of Population Economics</w:t>
      </w:r>
      <w:r w:rsidRPr="005A56C5">
        <w:rPr>
          <w:noProof/>
        </w:rPr>
        <w:t xml:space="preserve">, </w:t>
      </w:r>
      <w:r w:rsidRPr="005A56C5">
        <w:rPr>
          <w:i/>
          <w:iCs/>
          <w:noProof/>
        </w:rPr>
        <w:t>22</w:t>
      </w:r>
      <w:r w:rsidRPr="005A56C5">
        <w:rPr>
          <w:noProof/>
        </w:rPr>
        <w:t>(2), 367–397.</w:t>
      </w:r>
    </w:p>
    <w:p w14:paraId="3F373069"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Brown, P. H., &amp; Park, A. (2002). Education and poverty in rural China. </w:t>
      </w:r>
      <w:r w:rsidRPr="005A56C5">
        <w:rPr>
          <w:i/>
          <w:iCs/>
          <w:noProof/>
        </w:rPr>
        <w:t>Economics of Education Review</w:t>
      </w:r>
      <w:r w:rsidRPr="005A56C5">
        <w:rPr>
          <w:noProof/>
        </w:rPr>
        <w:t xml:space="preserve">, </w:t>
      </w:r>
      <w:r w:rsidRPr="005A56C5">
        <w:rPr>
          <w:i/>
          <w:iCs/>
          <w:noProof/>
        </w:rPr>
        <w:t>21</w:t>
      </w:r>
      <w:r w:rsidRPr="005A56C5">
        <w:rPr>
          <w:noProof/>
        </w:rPr>
        <w:t>(6), 523–541.</w:t>
      </w:r>
    </w:p>
    <w:p w14:paraId="4348EF21"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Cairns, R. B., Cairns, B. D., &amp; Neckerman, H. J. (1989). Early school dropout: Configurations and determinants. </w:t>
      </w:r>
      <w:r w:rsidRPr="005A56C5">
        <w:rPr>
          <w:i/>
          <w:iCs/>
          <w:noProof/>
        </w:rPr>
        <w:t>Child Development</w:t>
      </w:r>
      <w:r w:rsidRPr="005A56C5">
        <w:rPr>
          <w:noProof/>
        </w:rPr>
        <w:t>, 1437–1452.</w:t>
      </w:r>
    </w:p>
    <w:p w14:paraId="600AADA9"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Cameron, A. C., &amp; Trivedi, P. K. (2005). </w:t>
      </w:r>
      <w:r w:rsidRPr="005A56C5">
        <w:rPr>
          <w:i/>
          <w:iCs/>
          <w:noProof/>
        </w:rPr>
        <w:t>Microeconometrics: methods and applications</w:t>
      </w:r>
      <w:r w:rsidRPr="005A56C5">
        <w:rPr>
          <w:noProof/>
        </w:rPr>
        <w:t>. Cambridge university press.</w:t>
      </w:r>
    </w:p>
    <w:p w14:paraId="14B52315"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Cameron, S. V, &amp; Heckman, J. J. (2001). The dynamics of educational attainment for black, hispanic, and white males. </w:t>
      </w:r>
      <w:r w:rsidRPr="005A56C5">
        <w:rPr>
          <w:i/>
          <w:iCs/>
          <w:noProof/>
        </w:rPr>
        <w:t>Journal of Political Economy</w:t>
      </w:r>
      <w:r w:rsidRPr="005A56C5">
        <w:rPr>
          <w:noProof/>
        </w:rPr>
        <w:t xml:space="preserve">, </w:t>
      </w:r>
      <w:r w:rsidRPr="005A56C5">
        <w:rPr>
          <w:i/>
          <w:iCs/>
          <w:noProof/>
        </w:rPr>
        <w:t>109</w:t>
      </w:r>
      <w:r w:rsidRPr="005A56C5">
        <w:rPr>
          <w:noProof/>
        </w:rPr>
        <w:t>(3), 455–499.</w:t>
      </w:r>
    </w:p>
    <w:p w14:paraId="040FABAF"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Carpenter, D. M., &amp; Ramirez, A. (2007). More than one gap: Dropout rate gaps between and among Black, Hispanic, and White students. </w:t>
      </w:r>
      <w:r w:rsidRPr="005A56C5">
        <w:rPr>
          <w:i/>
          <w:iCs/>
          <w:noProof/>
        </w:rPr>
        <w:t>Journal of Advanced Academics</w:t>
      </w:r>
      <w:r w:rsidRPr="005A56C5">
        <w:rPr>
          <w:noProof/>
        </w:rPr>
        <w:t xml:space="preserve">, </w:t>
      </w:r>
      <w:r w:rsidRPr="005A56C5">
        <w:rPr>
          <w:i/>
          <w:iCs/>
          <w:noProof/>
        </w:rPr>
        <w:t>19</w:t>
      </w:r>
      <w:r w:rsidRPr="005A56C5">
        <w:rPr>
          <w:noProof/>
        </w:rPr>
        <w:t>(1), 32–64.</w:t>
      </w:r>
    </w:p>
    <w:p w14:paraId="6839FDE3"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Cleves, M., Gould, W., Gutierrez, R., &amp; Marchenko, Y. (2010). </w:t>
      </w:r>
      <w:r w:rsidRPr="005A56C5">
        <w:rPr>
          <w:i/>
          <w:iCs/>
          <w:noProof/>
        </w:rPr>
        <w:t>An introduction to survival analysis using Stata</w:t>
      </w:r>
      <w:r w:rsidRPr="005A56C5">
        <w:rPr>
          <w:noProof/>
        </w:rPr>
        <w:t xml:space="preserve"> (3rd ed.). Stata Press.</w:t>
      </w:r>
    </w:p>
    <w:p w14:paraId="13CDD8D7"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Colclough, C., Rose, P., &amp; Tembon, M. (2000). Gender inequalities in primary schooling: The roles of poverty and adverse cultural practice. </w:t>
      </w:r>
      <w:r w:rsidRPr="005A56C5">
        <w:rPr>
          <w:i/>
          <w:iCs/>
          <w:noProof/>
        </w:rPr>
        <w:t>International Journal of Educational Development</w:t>
      </w:r>
      <w:r w:rsidRPr="005A56C5">
        <w:rPr>
          <w:noProof/>
        </w:rPr>
        <w:t xml:space="preserve">, </w:t>
      </w:r>
      <w:r w:rsidRPr="005A56C5">
        <w:rPr>
          <w:i/>
          <w:iCs/>
          <w:noProof/>
        </w:rPr>
        <w:t>20</w:t>
      </w:r>
      <w:r w:rsidRPr="005A56C5">
        <w:rPr>
          <w:noProof/>
        </w:rPr>
        <w:t>(1), 5–27.</w:t>
      </w:r>
    </w:p>
    <w:p w14:paraId="5B046EBF"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Collett, D. (2000). </w:t>
      </w:r>
      <w:r w:rsidRPr="005A56C5">
        <w:rPr>
          <w:i/>
          <w:iCs/>
          <w:noProof/>
        </w:rPr>
        <w:t>Modelling survival data in medical research</w:t>
      </w:r>
      <w:r w:rsidRPr="005A56C5">
        <w:rPr>
          <w:noProof/>
        </w:rPr>
        <w:t xml:space="preserve"> (2nd ed.). CRC Press LLC.</w:t>
      </w:r>
    </w:p>
    <w:p w14:paraId="54196988"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Corvalan, G. (1984). Education in the Mother Tongue and Educational Achievement in Paraguay. </w:t>
      </w:r>
      <w:r w:rsidRPr="005A56C5">
        <w:rPr>
          <w:i/>
          <w:iCs/>
          <w:noProof/>
        </w:rPr>
        <w:t>Prospects: Quarterly Review of Education</w:t>
      </w:r>
      <w:r w:rsidRPr="005A56C5">
        <w:rPr>
          <w:noProof/>
        </w:rPr>
        <w:t xml:space="preserve">, </w:t>
      </w:r>
      <w:r w:rsidRPr="005A56C5">
        <w:rPr>
          <w:i/>
          <w:iCs/>
          <w:noProof/>
        </w:rPr>
        <w:t>14</w:t>
      </w:r>
      <w:r w:rsidRPr="005A56C5">
        <w:rPr>
          <w:noProof/>
        </w:rPr>
        <w:t>(1), 95–106.</w:t>
      </w:r>
    </w:p>
    <w:p w14:paraId="6DF25F92"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DesJardins, S. L., Ahlburg, D. A., &amp; McCall, B. P. (1999). An event history model of student departure. </w:t>
      </w:r>
      <w:r w:rsidRPr="005A56C5">
        <w:rPr>
          <w:i/>
          <w:iCs/>
          <w:noProof/>
        </w:rPr>
        <w:t>Economics of Education Review</w:t>
      </w:r>
      <w:r w:rsidRPr="005A56C5">
        <w:rPr>
          <w:noProof/>
        </w:rPr>
        <w:t xml:space="preserve">, </w:t>
      </w:r>
      <w:r w:rsidRPr="005A56C5">
        <w:rPr>
          <w:i/>
          <w:iCs/>
          <w:noProof/>
        </w:rPr>
        <w:t>18</w:t>
      </w:r>
      <w:r w:rsidRPr="005A56C5">
        <w:rPr>
          <w:noProof/>
        </w:rPr>
        <w:t>(3), 375–390.</w:t>
      </w:r>
    </w:p>
    <w:p w14:paraId="064943BA"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DGEEC. (2012). Income and Expenditure and Living Standards Survey. Dirección General de Estadísticas, Encuestas y Censos. Retrieved from www.dgeec.gov.py</w:t>
      </w:r>
    </w:p>
    <w:p w14:paraId="43B7E866"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DGEEC. (2017). Encuesta Permanente de Hogares (EPH). Dirección General de Estadísticas, Encuestas y Censos.</w:t>
      </w:r>
    </w:p>
    <w:p w14:paraId="015B62E1"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Duncan, G. J. (1994). Families and neighbors as sources of disadvantage in the schooling decisions of white and black adolescents. </w:t>
      </w:r>
      <w:r w:rsidRPr="005A56C5">
        <w:rPr>
          <w:i/>
          <w:iCs/>
          <w:noProof/>
        </w:rPr>
        <w:t>American Journal of Education</w:t>
      </w:r>
      <w:r w:rsidRPr="005A56C5">
        <w:rPr>
          <w:noProof/>
        </w:rPr>
        <w:t>, 20–53.</w:t>
      </w:r>
    </w:p>
    <w:p w14:paraId="29ED12B4"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Glewwe, P., &amp; Jacoby, H. (1994). Student achievement and schooling choice in low-income countries: Evidence from Ghana. </w:t>
      </w:r>
      <w:r w:rsidRPr="005A56C5">
        <w:rPr>
          <w:i/>
          <w:iCs/>
          <w:noProof/>
        </w:rPr>
        <w:t>Journal of Human Resources</w:t>
      </w:r>
      <w:r w:rsidRPr="005A56C5">
        <w:rPr>
          <w:noProof/>
        </w:rPr>
        <w:t>, 843–864.</w:t>
      </w:r>
    </w:p>
    <w:p w14:paraId="06F34961"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Glewwe, P., &amp; Kremer, M. (2006). Schools, teachers, and education outcomes in developing countries. In </w:t>
      </w:r>
      <w:r w:rsidRPr="005A56C5">
        <w:rPr>
          <w:i/>
          <w:iCs/>
          <w:noProof/>
        </w:rPr>
        <w:t>Handbook of the Economics of Education</w:t>
      </w:r>
      <w:r w:rsidRPr="005A56C5">
        <w:rPr>
          <w:noProof/>
        </w:rPr>
        <w:t xml:space="preserve"> (Vol. 2, pp. </w:t>
      </w:r>
      <w:r w:rsidRPr="005A56C5">
        <w:rPr>
          <w:noProof/>
        </w:rPr>
        <w:lastRenderedPageBreak/>
        <w:t>945–1017). Elsevier.</w:t>
      </w:r>
    </w:p>
    <w:p w14:paraId="3E52BFE1"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Glewwe, P., Kremer, M., &amp; Moulin, S. (2009). Many children left behind? Textbooks and test scores in Kenya. </w:t>
      </w:r>
      <w:r w:rsidRPr="005A56C5">
        <w:rPr>
          <w:i/>
          <w:iCs/>
          <w:noProof/>
        </w:rPr>
        <w:t>American Economic Journal: Applied Economics</w:t>
      </w:r>
      <w:r w:rsidRPr="005A56C5">
        <w:rPr>
          <w:noProof/>
        </w:rPr>
        <w:t xml:space="preserve">, </w:t>
      </w:r>
      <w:r w:rsidRPr="005A56C5">
        <w:rPr>
          <w:i/>
          <w:iCs/>
          <w:noProof/>
        </w:rPr>
        <w:t>1</w:t>
      </w:r>
      <w:r w:rsidRPr="005A56C5">
        <w:rPr>
          <w:noProof/>
        </w:rPr>
        <w:t>(1), 112–135.</w:t>
      </w:r>
    </w:p>
    <w:p w14:paraId="0797EE53"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Gynan, S. N. (2001). Language planning and policy in Paraguay. </w:t>
      </w:r>
      <w:r w:rsidRPr="005A56C5">
        <w:rPr>
          <w:i/>
          <w:iCs/>
          <w:noProof/>
        </w:rPr>
        <w:t>Current Issues in Language Planning</w:t>
      </w:r>
      <w:r w:rsidRPr="005A56C5">
        <w:rPr>
          <w:noProof/>
        </w:rPr>
        <w:t xml:space="preserve">, </w:t>
      </w:r>
      <w:r w:rsidRPr="005A56C5">
        <w:rPr>
          <w:i/>
          <w:iCs/>
          <w:noProof/>
        </w:rPr>
        <w:t>2</w:t>
      </w:r>
      <w:r w:rsidRPr="005A56C5">
        <w:rPr>
          <w:noProof/>
        </w:rPr>
        <w:t>(1), 53–118.</w:t>
      </w:r>
    </w:p>
    <w:p w14:paraId="6A9E9E32"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Hunt, F. (2008). </w:t>
      </w:r>
      <w:r w:rsidRPr="005A56C5">
        <w:rPr>
          <w:i/>
          <w:iCs/>
          <w:noProof/>
        </w:rPr>
        <w:t>Dropping Out from School: A Cross Country Review of the Literature. Create Pathways to Access. Research Monograph, No. 16.</w:t>
      </w:r>
      <w:r w:rsidRPr="005A56C5">
        <w:rPr>
          <w:noProof/>
        </w:rPr>
        <w:t xml:space="preserve"> ERIC.</w:t>
      </w:r>
    </w:p>
    <w:p w14:paraId="6227DF45"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Kaplan, E. L., &amp; Meier, P. (1958). Nonparametric estimation from incomplete observations. </w:t>
      </w:r>
      <w:r w:rsidRPr="005A56C5">
        <w:rPr>
          <w:i/>
          <w:iCs/>
          <w:noProof/>
        </w:rPr>
        <w:t>Journal of the American Statistical Association</w:t>
      </w:r>
      <w:r w:rsidRPr="005A56C5">
        <w:rPr>
          <w:noProof/>
        </w:rPr>
        <w:t xml:space="preserve">, </w:t>
      </w:r>
      <w:r w:rsidRPr="005A56C5">
        <w:rPr>
          <w:i/>
          <w:iCs/>
          <w:noProof/>
        </w:rPr>
        <w:t>53</w:t>
      </w:r>
      <w:r w:rsidRPr="005A56C5">
        <w:rPr>
          <w:noProof/>
        </w:rPr>
        <w:t>(282), 457–481.</w:t>
      </w:r>
    </w:p>
    <w:p w14:paraId="2EAD449E"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Karl, L. A., Entwisle, D. R., &amp; Horsey, C. S. (1997). From First Grade Forward: Early Foundations of High School Dropout. </w:t>
      </w:r>
      <w:r w:rsidRPr="005A56C5">
        <w:rPr>
          <w:i/>
          <w:iCs/>
          <w:noProof/>
        </w:rPr>
        <w:t>Sociology of Education</w:t>
      </w:r>
      <w:r w:rsidRPr="005A56C5">
        <w:rPr>
          <w:noProof/>
        </w:rPr>
        <w:t xml:space="preserve">, </w:t>
      </w:r>
      <w:r w:rsidRPr="005A56C5">
        <w:rPr>
          <w:i/>
          <w:iCs/>
          <w:noProof/>
        </w:rPr>
        <w:t>70</w:t>
      </w:r>
      <w:r w:rsidRPr="005A56C5">
        <w:rPr>
          <w:noProof/>
        </w:rPr>
        <w:t>(2), 87–107.</w:t>
      </w:r>
    </w:p>
    <w:p w14:paraId="482E201D"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Lee, E. T., &amp; Wang, J. (2003). </w:t>
      </w:r>
      <w:r w:rsidRPr="005A56C5">
        <w:rPr>
          <w:i/>
          <w:iCs/>
          <w:noProof/>
        </w:rPr>
        <w:t>Statistical methods for survival data analysis</w:t>
      </w:r>
      <w:r w:rsidRPr="005A56C5">
        <w:rPr>
          <w:noProof/>
        </w:rPr>
        <w:t xml:space="preserve"> (Vol. 476). John Wiley &amp; Sons.</w:t>
      </w:r>
    </w:p>
    <w:p w14:paraId="2C92D3A6"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Miguel, E., &amp; Kremer, M. (2004). Worms: identifying impacts on education and health in the presence of treatment externalities. </w:t>
      </w:r>
      <w:r w:rsidRPr="005A56C5">
        <w:rPr>
          <w:i/>
          <w:iCs/>
          <w:noProof/>
        </w:rPr>
        <w:t>Econometrica</w:t>
      </w:r>
      <w:r w:rsidRPr="005A56C5">
        <w:rPr>
          <w:noProof/>
        </w:rPr>
        <w:t xml:space="preserve">, </w:t>
      </w:r>
      <w:r w:rsidRPr="005A56C5">
        <w:rPr>
          <w:i/>
          <w:iCs/>
          <w:noProof/>
        </w:rPr>
        <w:t>72</w:t>
      </w:r>
      <w:r w:rsidRPr="005A56C5">
        <w:rPr>
          <w:noProof/>
        </w:rPr>
        <w:t>(1), 159–217.</w:t>
      </w:r>
    </w:p>
    <w:p w14:paraId="17CE5C5A"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Mortimer, K. (2006). Guarani Académico or Jopará? Educator Perspectives and Ideological Debate in Paraguayan Bilingual Education. </w:t>
      </w:r>
      <w:r w:rsidRPr="005A56C5">
        <w:rPr>
          <w:i/>
          <w:iCs/>
          <w:noProof/>
        </w:rPr>
        <w:t>Working Papers in Educational Linguistics (WPEL)</w:t>
      </w:r>
      <w:r w:rsidRPr="005A56C5">
        <w:rPr>
          <w:noProof/>
        </w:rPr>
        <w:t xml:space="preserve">, </w:t>
      </w:r>
      <w:r w:rsidRPr="005A56C5">
        <w:rPr>
          <w:i/>
          <w:iCs/>
          <w:noProof/>
        </w:rPr>
        <w:t>21</w:t>
      </w:r>
      <w:r w:rsidRPr="005A56C5">
        <w:rPr>
          <w:noProof/>
        </w:rPr>
        <w:t>(2), 3.</w:t>
      </w:r>
    </w:p>
    <w:p w14:paraId="62B9A263"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Patrinos, H. A., Velez, E., &amp; Psacharopoulos, G. (1994). Language, education, and earnings in Asuncion, Paraguay. </w:t>
      </w:r>
      <w:r w:rsidRPr="005A56C5">
        <w:rPr>
          <w:i/>
          <w:iCs/>
          <w:noProof/>
        </w:rPr>
        <w:t>The Journal of Developing Areas</w:t>
      </w:r>
      <w:r w:rsidRPr="005A56C5">
        <w:rPr>
          <w:noProof/>
        </w:rPr>
        <w:t>, 57–68.</w:t>
      </w:r>
    </w:p>
    <w:p w14:paraId="0697AAED"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Plank, S. B., DeLuca, S., &amp; Estacion, A. (2008). High school dropout and the role of career and technical education: A survival analysis of surviving high school. </w:t>
      </w:r>
      <w:r w:rsidRPr="005A56C5">
        <w:rPr>
          <w:i/>
          <w:iCs/>
          <w:noProof/>
        </w:rPr>
        <w:t>Sociology of Education</w:t>
      </w:r>
      <w:r w:rsidRPr="005A56C5">
        <w:rPr>
          <w:noProof/>
        </w:rPr>
        <w:t xml:space="preserve">, </w:t>
      </w:r>
      <w:r w:rsidRPr="005A56C5">
        <w:rPr>
          <w:i/>
          <w:iCs/>
          <w:noProof/>
        </w:rPr>
        <w:t>81</w:t>
      </w:r>
      <w:r w:rsidRPr="005A56C5">
        <w:rPr>
          <w:noProof/>
        </w:rPr>
        <w:t>(4), 345–370.</w:t>
      </w:r>
    </w:p>
    <w:p w14:paraId="0384FC5A"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Pollitt, E., &amp; others. (1990). </w:t>
      </w:r>
      <w:r w:rsidRPr="005A56C5">
        <w:rPr>
          <w:i/>
          <w:iCs/>
          <w:noProof/>
        </w:rPr>
        <w:t>Malnutrition and Infection in the Classroom.</w:t>
      </w:r>
      <w:r w:rsidRPr="005A56C5">
        <w:rPr>
          <w:noProof/>
        </w:rPr>
        <w:t xml:space="preserve"> UNESCO, Division of Science, Technical and Environmental Education.</w:t>
      </w:r>
    </w:p>
    <w:p w14:paraId="1FD1A94B"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Psacharopoulos, G., Velez, E., &amp; Patrinos, H. A. (1994). Education and earnings in Paraguay. </w:t>
      </w:r>
      <w:r w:rsidRPr="005A56C5">
        <w:rPr>
          <w:i/>
          <w:iCs/>
          <w:noProof/>
        </w:rPr>
        <w:t>Economics of Education Review</w:t>
      </w:r>
      <w:r w:rsidRPr="005A56C5">
        <w:rPr>
          <w:noProof/>
        </w:rPr>
        <w:t xml:space="preserve">, </w:t>
      </w:r>
      <w:r w:rsidRPr="005A56C5">
        <w:rPr>
          <w:i/>
          <w:iCs/>
          <w:noProof/>
        </w:rPr>
        <w:t>13</w:t>
      </w:r>
      <w:r w:rsidRPr="005A56C5">
        <w:rPr>
          <w:noProof/>
        </w:rPr>
        <w:t>(4), 321–327.</w:t>
      </w:r>
    </w:p>
    <w:p w14:paraId="4958563F"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Rumberger, R. W. (1983). Dropping out of high school: The influence of race, sex, and family background. </w:t>
      </w:r>
      <w:r w:rsidRPr="005A56C5">
        <w:rPr>
          <w:i/>
          <w:iCs/>
          <w:noProof/>
        </w:rPr>
        <w:t>American Educational Research Journal</w:t>
      </w:r>
      <w:r w:rsidRPr="005A56C5">
        <w:rPr>
          <w:noProof/>
        </w:rPr>
        <w:t xml:space="preserve">, </w:t>
      </w:r>
      <w:r w:rsidRPr="005A56C5">
        <w:rPr>
          <w:i/>
          <w:iCs/>
          <w:noProof/>
        </w:rPr>
        <w:t>20</w:t>
      </w:r>
      <w:r w:rsidRPr="005A56C5">
        <w:rPr>
          <w:noProof/>
        </w:rPr>
        <w:t>(2), 199–220.</w:t>
      </w:r>
    </w:p>
    <w:p w14:paraId="5CF18AF9"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Rumberger, R. W. (1987). High school dropouts: A review of issues and evidence. </w:t>
      </w:r>
      <w:r w:rsidRPr="005A56C5">
        <w:rPr>
          <w:i/>
          <w:iCs/>
          <w:noProof/>
        </w:rPr>
        <w:t>Review of Educational Research</w:t>
      </w:r>
      <w:r w:rsidRPr="005A56C5">
        <w:rPr>
          <w:noProof/>
        </w:rPr>
        <w:t xml:space="preserve">, </w:t>
      </w:r>
      <w:r w:rsidRPr="005A56C5">
        <w:rPr>
          <w:i/>
          <w:iCs/>
          <w:noProof/>
        </w:rPr>
        <w:t>57</w:t>
      </w:r>
      <w:r w:rsidRPr="005A56C5">
        <w:rPr>
          <w:noProof/>
        </w:rPr>
        <w:t>(2), 101–121.</w:t>
      </w:r>
    </w:p>
    <w:p w14:paraId="396D555D"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Sabates, R., Akyeampong, K., Westbrook, J., &amp; Hunt, F. (2011). School dropout: Patterns, causes, changes and policies. </w:t>
      </w:r>
      <w:r w:rsidRPr="005A56C5">
        <w:rPr>
          <w:i/>
          <w:iCs/>
          <w:noProof/>
        </w:rPr>
        <w:t>Vienna: Paper Commissioned for the EFA Global Monitoring Report, The Hidden Crisis: Armed Conflict and Education</w:t>
      </w:r>
      <w:r w:rsidRPr="005A56C5">
        <w:rPr>
          <w:noProof/>
        </w:rPr>
        <w:t>.</w:t>
      </w:r>
    </w:p>
    <w:p w14:paraId="3270A1A2"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Sandoval, L. O. (2012). Reforma educativa y conservación social. Aspectos sociales del cambio educativo en Paraguay. </w:t>
      </w:r>
      <w:r w:rsidRPr="005A56C5">
        <w:rPr>
          <w:i/>
          <w:iCs/>
          <w:noProof/>
        </w:rPr>
        <w:t>Revista Latinoamericana de Estudios Educativo</w:t>
      </w:r>
      <w:r w:rsidRPr="005A56C5">
        <w:rPr>
          <w:noProof/>
        </w:rPr>
        <w:t xml:space="preserve">, </w:t>
      </w:r>
      <w:r w:rsidRPr="005A56C5">
        <w:rPr>
          <w:i/>
          <w:iCs/>
          <w:noProof/>
        </w:rPr>
        <w:t>42</w:t>
      </w:r>
      <w:r w:rsidRPr="005A56C5">
        <w:rPr>
          <w:noProof/>
        </w:rPr>
        <w:t>.</w:t>
      </w:r>
    </w:p>
    <w:p w14:paraId="25F59D51"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UNESCO. (1953). </w:t>
      </w:r>
      <w:r w:rsidRPr="005A56C5">
        <w:rPr>
          <w:i/>
          <w:iCs/>
          <w:noProof/>
        </w:rPr>
        <w:t>The Use of Vernacular Language in Education</w:t>
      </w:r>
      <w:r w:rsidRPr="005A56C5">
        <w:rPr>
          <w:noProof/>
        </w:rPr>
        <w:t>. Paris, France.</w:t>
      </w:r>
    </w:p>
    <w:p w14:paraId="5AA1019E" w14:textId="77777777" w:rsidR="005A56C5" w:rsidRPr="005A56C5" w:rsidRDefault="005A56C5" w:rsidP="005A56C5">
      <w:pPr>
        <w:widowControl w:val="0"/>
        <w:autoSpaceDE w:val="0"/>
        <w:autoSpaceDN w:val="0"/>
        <w:adjustRightInd w:val="0"/>
        <w:spacing w:line="240" w:lineRule="auto"/>
        <w:ind w:left="480" w:hanging="480"/>
        <w:rPr>
          <w:noProof/>
        </w:rPr>
      </w:pPr>
      <w:r w:rsidRPr="005A56C5">
        <w:rPr>
          <w:noProof/>
        </w:rPr>
        <w:t xml:space="preserve">UNESCO. (2008). </w:t>
      </w:r>
      <w:r w:rsidRPr="005A56C5">
        <w:rPr>
          <w:i/>
          <w:iCs/>
          <w:noProof/>
        </w:rPr>
        <w:t>Mother Tongue Matters: Local Language as a Key to Effective Learning</w:t>
      </w:r>
      <w:r w:rsidRPr="005A56C5">
        <w:rPr>
          <w:noProof/>
        </w:rPr>
        <w:t>. Paris, France.</w:t>
      </w:r>
    </w:p>
    <w:p w14:paraId="26BB7CA9" w14:textId="6DC7F864" w:rsidR="00945859" w:rsidRDefault="005A56C5" w:rsidP="005A56C5">
      <w:pPr>
        <w:spacing w:line="240" w:lineRule="auto"/>
        <w:rPr>
          <w:lang w:val="en-US" w:eastAsia="en-US"/>
        </w:rPr>
      </w:pPr>
      <w:r>
        <w:rPr>
          <w:lang w:val="en-US" w:eastAsia="en-US"/>
        </w:rPr>
        <w:fldChar w:fldCharType="end"/>
      </w:r>
    </w:p>
    <w:p w14:paraId="4DF18D5E" w14:textId="77777777" w:rsidR="00945859" w:rsidRDefault="00945859" w:rsidP="00945859">
      <w:pPr>
        <w:rPr>
          <w:lang w:val="en-US" w:eastAsia="en-US"/>
        </w:rPr>
        <w:sectPr w:rsidR="00945859" w:rsidSect="00074B81">
          <w:pgSz w:w="11901" w:h="16840" w:code="9"/>
          <w:pgMar w:top="1418" w:right="1701" w:bottom="1418" w:left="1701" w:header="709" w:footer="709" w:gutter="0"/>
          <w:cols w:space="708"/>
          <w:docGrid w:linePitch="360"/>
        </w:sectPr>
      </w:pPr>
    </w:p>
    <w:p w14:paraId="782C3DF1" w14:textId="54514C86" w:rsidR="00945859" w:rsidRPr="00945859" w:rsidRDefault="00945859" w:rsidP="00945859">
      <w:pPr>
        <w:rPr>
          <w:lang w:val="en-US" w:eastAsia="en-US"/>
        </w:rPr>
      </w:pPr>
    </w:p>
    <w:sectPr w:rsidR="00945859" w:rsidRPr="00945859"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64978" w14:textId="77777777" w:rsidR="00004B1D" w:rsidRDefault="00004B1D" w:rsidP="00AF2C92">
      <w:r>
        <w:separator/>
      </w:r>
    </w:p>
  </w:endnote>
  <w:endnote w:type="continuationSeparator" w:id="0">
    <w:p w14:paraId="2EC61058" w14:textId="77777777" w:rsidR="00004B1D" w:rsidRDefault="00004B1D"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A78E3" w14:textId="77777777" w:rsidR="00004B1D" w:rsidRDefault="00004B1D" w:rsidP="00AF2C92">
      <w:r>
        <w:separator/>
      </w:r>
    </w:p>
  </w:footnote>
  <w:footnote w:type="continuationSeparator" w:id="0">
    <w:p w14:paraId="6BD250B1" w14:textId="77777777" w:rsidR="00004B1D" w:rsidRDefault="00004B1D" w:rsidP="00AF2C92">
      <w:r>
        <w:continuationSeparator/>
      </w:r>
    </w:p>
  </w:footnote>
  <w:footnote w:id="1">
    <w:p w14:paraId="3960B4A0" w14:textId="07801DBB" w:rsidR="00395B47" w:rsidRPr="0020139C" w:rsidRDefault="00395B47">
      <w:pPr>
        <w:pStyle w:val="FootnoteText"/>
      </w:pPr>
      <w:r>
        <w:rPr>
          <w:rStyle w:val="FootnoteReference"/>
        </w:rPr>
        <w:footnoteRef/>
      </w:r>
      <w:r>
        <w:t xml:space="preserve"> </w:t>
      </w:r>
      <w:r w:rsidRPr="0020139C">
        <w:t xml:space="preserve">Several studies acknowledge the existence of educational attainment gaps associated with language differences in developing countries (Angrist &amp; Lavy, 1997; Glewwe &amp; Kremer, 2006; Patrinos, Velez, &amp; Psacharopoulos, 1994; Psacharopoulos, Velez, &amp; Patrinos, 1994). </w:t>
      </w:r>
    </w:p>
  </w:footnote>
  <w:footnote w:id="2">
    <w:p w14:paraId="5AAB3D73" w14:textId="5EC350E3" w:rsidR="00395B47" w:rsidRPr="00520890" w:rsidRDefault="00395B47" w:rsidP="00520890">
      <w:pPr>
        <w:pStyle w:val="FootnoteText"/>
      </w:pPr>
      <w:r>
        <w:rPr>
          <w:rStyle w:val="FootnoteReference"/>
        </w:rPr>
        <w:footnoteRef/>
      </w:r>
      <w:r>
        <w:t xml:space="preserve"> In fact,</w:t>
      </w:r>
      <w:r w:rsidRPr="0060483F">
        <w:t xml:space="preserve"> just </w:t>
      </w:r>
      <w:r>
        <w:t xml:space="preserve">about </w:t>
      </w:r>
      <w:r w:rsidRPr="0060483F">
        <w:t xml:space="preserve">2% of the Paraguayan population is ethnic indigenous, 40.3% of the total population speaks only Guaraní and about 30.4% are bilingual in Spanish and Guaraní, while monolingual Spanish speakers account for 26.8% of the population </w:t>
      </w:r>
      <w:r w:rsidRPr="0060483F">
        <w:fldChar w:fldCharType="begin" w:fldLock="1"/>
      </w:r>
      <w:r>
        <w:instrText>ADDIN CSL_CITATION {"citationItems":[{"id":"ITEM-1","itemData":{"author":[{"dropping-particle":"","family":"DGEEC","given":"","non-dropping-particle":"","parse-names":false,"suffix":""}],"id":"ITEM-1","issued":{"date-parts":[["2017"]]},"publisher":"Dirección General de Estadísticas, Encuestas y Censos","title":"Encuesta Permanente de Hogares (EPH)","type":"article"},"uris":["http://www.mendeley.com/documents/?uuid=6ede1889-9d6f-47a1-b84a-a20a5d14aeaf"]}],"mendeley":{"formattedCitation":"(DGEEC, 2017)","plainTextFormattedCitation":"(DGEEC, 2017)","previouslyFormattedCitation":"(DGEEC, 2017)"},"properties":{"noteIndex":0},"schema":"https://github.com/citation-style-language/schema/raw/master/csl-citation.json"}</w:instrText>
      </w:r>
      <w:r w:rsidRPr="0060483F">
        <w:fldChar w:fldCharType="separate"/>
      </w:r>
      <w:r w:rsidRPr="0060483F">
        <w:rPr>
          <w:noProof/>
        </w:rPr>
        <w:t>(DGEEC, 2017)</w:t>
      </w:r>
      <w:r w:rsidRPr="0060483F">
        <w:fldChar w:fldCharType="end"/>
      </w:r>
      <w:r w:rsidRPr="0060483F">
        <w:t>.</w:t>
      </w:r>
    </w:p>
  </w:footnote>
  <w:footnote w:id="3">
    <w:p w14:paraId="6A71AF43" w14:textId="0AD20603" w:rsidR="00395B47" w:rsidRPr="00DF7533" w:rsidRDefault="00395B47">
      <w:pPr>
        <w:pStyle w:val="FootnoteText"/>
      </w:pPr>
      <w:r>
        <w:rPr>
          <w:rStyle w:val="FootnoteReference"/>
        </w:rPr>
        <w:footnoteRef/>
      </w:r>
      <w:r>
        <w:t xml:space="preserve"> Statistics for </w:t>
      </w:r>
      <w:r w:rsidRPr="009201B2">
        <w:t>the population between 15 and 30 years old</w:t>
      </w:r>
      <w:r>
        <w:t xml:space="preserve"> obtained from the National Household Survey 2017 </w:t>
      </w:r>
      <w:r>
        <w:fldChar w:fldCharType="begin" w:fldLock="1"/>
      </w:r>
      <w:r w:rsidR="005A56C5">
        <w:instrText>ADDIN CSL_CITATION {"citationItems":[{"id":"ITEM-1","itemData":{"author":[{"dropping-particle":"","family":"DGEEC","given":"","non-dropping-particle":"","parse-names":false,"suffix":""}],"id":"ITEM-1","issued":{"date-parts":[["2017"]]},"publisher":"Dirección General de Estadísticas, Encuestas y Censos","title":"Encuesta Permanente de Hogares (EPH)","type":"article"},"uris":["http://www.mendeley.com/documents/?uuid=6ede1889-9d6f-47a1-b84a-a20a5d14aeaf"]}],"mendeley":{"formattedCitation":"(DGEEC, 2017)","plainTextFormattedCitation":"(DGEEC, 2017)","previouslyFormattedCitation":"(DGEEC, 2017)"},"properties":{"noteIndex":0},"schema":"https://github.com/citation-style-language/schema/raw/master/csl-citation.json"}</w:instrText>
      </w:r>
      <w:r>
        <w:fldChar w:fldCharType="separate"/>
      </w:r>
      <w:r w:rsidRPr="00DF7533">
        <w:rPr>
          <w:noProof/>
        </w:rPr>
        <w:t>(DGEEC, 2017)</w:t>
      </w:r>
      <w:r>
        <w:fldChar w:fldCharType="end"/>
      </w:r>
      <w:r>
        <w:t xml:space="preserve">. </w:t>
      </w:r>
    </w:p>
  </w:footnote>
  <w:footnote w:id="4">
    <w:p w14:paraId="31B2FAB9" w14:textId="66DB8383" w:rsidR="00395B47" w:rsidRPr="006440C3" w:rsidRDefault="00395B47" w:rsidP="003A4F32">
      <w:pPr>
        <w:pStyle w:val="FootnoteText"/>
        <w:rPr>
          <w:lang w:val="en-US"/>
        </w:rPr>
      </w:pPr>
      <w:r w:rsidRPr="00400AB1">
        <w:rPr>
          <w:rStyle w:val="FootnoteReference"/>
        </w:rPr>
        <w:footnoteRef/>
      </w:r>
      <w:r w:rsidRPr="006440C3">
        <w:t xml:space="preserve"> Despite thinking about the Hazard in terms of probability, technically it is not a probability function since the hazard can be greater than 1</w:t>
      </w:r>
      <w:r>
        <w:t xml:space="preserve"> </w:t>
      </w:r>
      <w:r>
        <w:fldChar w:fldCharType="begin" w:fldLock="1"/>
      </w:r>
      <w:r>
        <w:instrText>ADDIN CSL_CITATION {"citationItems":[{"id":"ITEM-1","itemData":{"author":[{"dropping-particle":"","family":"Allison","given":"Paul D","non-dropping-particle":"","parse-names":false,"suffix":""}],"id":"ITEM-1","issued":{"date-parts":[["2010"]]},"publisher":"Sas Institute","title":"Survival analysis using SAS: a practical guide","type":"book"},"uris":["http://www.mendeley.com/documents/?uuid=b165f2c0-8944-4e50-afaf-38427eb77130"]}],"mendeley":{"formattedCitation":"(Allison, 2010)","plainTextFormattedCitation":"(Allison, 2010)","previouslyFormattedCitation":"(Allison, 2010)"},"properties":{"noteIndex":0},"schema":"https://github.com/citation-style-language/schema/raw/master/csl-citation.json"}</w:instrText>
      </w:r>
      <w:r>
        <w:fldChar w:fldCharType="separate"/>
      </w:r>
      <w:r w:rsidRPr="006440C3">
        <w:rPr>
          <w:noProof/>
        </w:rPr>
        <w:t>(Allison, 2010)</w:t>
      </w:r>
      <w:r>
        <w:fldChar w:fldCharType="end"/>
      </w:r>
      <w:r>
        <w:t xml:space="preserve">. </w:t>
      </w:r>
    </w:p>
  </w:footnote>
  <w:footnote w:id="5">
    <w:p w14:paraId="432DA472" w14:textId="12E11EE9" w:rsidR="00395B47" w:rsidRPr="003A4F32" w:rsidRDefault="00395B47" w:rsidP="003A4F32">
      <w:pPr>
        <w:pStyle w:val="FootnoteText"/>
        <w:rPr>
          <w:lang w:val="en-US"/>
        </w:rPr>
      </w:pPr>
      <w:r w:rsidRPr="00400AB1">
        <w:rPr>
          <w:rStyle w:val="FootnoteReference"/>
        </w:rPr>
        <w:footnoteRef/>
      </w:r>
      <w:r w:rsidRPr="003A4F32">
        <w:t xml:space="preserve"> It is worth noting that primary school dropout does not deter students to come back to school at some future date.</w:t>
      </w:r>
    </w:p>
  </w:footnote>
  <w:footnote w:id="6">
    <w:p w14:paraId="593FC522" w14:textId="73793649" w:rsidR="00395B47" w:rsidRPr="00345661" w:rsidRDefault="00395B47">
      <w:pPr>
        <w:pStyle w:val="FootnoteText"/>
        <w:rPr>
          <w:lang w:val="en-US"/>
        </w:rPr>
      </w:pPr>
      <w:r w:rsidRPr="00400AB1">
        <w:rPr>
          <w:rStyle w:val="FootnoteReference"/>
        </w:rPr>
        <w:footnoteRef/>
      </w:r>
      <w:r>
        <w:t xml:space="preserve"> </w:t>
      </w:r>
      <w:r w:rsidRPr="00345661">
        <w:t>The figure depicts the cumulative hazard function for a Guaran</w:t>
      </w:r>
      <w:r>
        <w:t>í</w:t>
      </w:r>
      <w:r w:rsidRPr="00345661">
        <w:t xml:space="preserve"> with all covariates equal to zero.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6ED02AF"/>
    <w:multiLevelType w:val="hybridMultilevel"/>
    <w:tmpl w:val="D8C8ED2A"/>
    <w:lvl w:ilvl="0" w:tplc="20328B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1"/>
  </w:num>
  <w:num w:numId="15">
    <w:abstractNumId w:val="14"/>
  </w:num>
  <w:num w:numId="16">
    <w:abstractNumId w:val="16"/>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7"/>
  </w:num>
  <w:num w:numId="25">
    <w:abstractNumId w:val="18"/>
  </w:num>
  <w:num w:numId="26">
    <w:abstractNumId w:val="22"/>
  </w:num>
  <w:num w:numId="27">
    <w:abstractNumId w:val="23"/>
  </w:num>
  <w:num w:numId="28">
    <w:abstractNumId w:val="21"/>
  </w:num>
  <w:num w:numId="29">
    <w:abstractNumId w:val="13"/>
  </w:num>
  <w:num w:numId="30">
    <w:abstractNumId w:val="2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C6"/>
    <w:rsid w:val="00001899"/>
    <w:rsid w:val="000049AD"/>
    <w:rsid w:val="00004B1D"/>
    <w:rsid w:val="0000681B"/>
    <w:rsid w:val="000133C0"/>
    <w:rsid w:val="00014C4E"/>
    <w:rsid w:val="00017107"/>
    <w:rsid w:val="000202E2"/>
    <w:rsid w:val="00022441"/>
    <w:rsid w:val="0002261E"/>
    <w:rsid w:val="00024839"/>
    <w:rsid w:val="00026871"/>
    <w:rsid w:val="00027053"/>
    <w:rsid w:val="00035CB5"/>
    <w:rsid w:val="00037A98"/>
    <w:rsid w:val="000427FB"/>
    <w:rsid w:val="0004455E"/>
    <w:rsid w:val="00046CCB"/>
    <w:rsid w:val="00047CB5"/>
    <w:rsid w:val="00051FAA"/>
    <w:rsid w:val="000572A9"/>
    <w:rsid w:val="00061325"/>
    <w:rsid w:val="00062CFC"/>
    <w:rsid w:val="000733AC"/>
    <w:rsid w:val="00074B81"/>
    <w:rsid w:val="00074D22"/>
    <w:rsid w:val="00075081"/>
    <w:rsid w:val="0007528A"/>
    <w:rsid w:val="000811AB"/>
    <w:rsid w:val="00083C5F"/>
    <w:rsid w:val="0009172C"/>
    <w:rsid w:val="000930EC"/>
    <w:rsid w:val="00093167"/>
    <w:rsid w:val="00095E61"/>
    <w:rsid w:val="000966C1"/>
    <w:rsid w:val="000970AC"/>
    <w:rsid w:val="00097DD6"/>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26FDB"/>
    <w:rsid w:val="001324FE"/>
    <w:rsid w:val="00134A51"/>
    <w:rsid w:val="00140727"/>
    <w:rsid w:val="00160628"/>
    <w:rsid w:val="00161344"/>
    <w:rsid w:val="00162195"/>
    <w:rsid w:val="001621EA"/>
    <w:rsid w:val="0016322A"/>
    <w:rsid w:val="00165A21"/>
    <w:rsid w:val="001705CE"/>
    <w:rsid w:val="00171AB5"/>
    <w:rsid w:val="00176913"/>
    <w:rsid w:val="0017714B"/>
    <w:rsid w:val="001804DF"/>
    <w:rsid w:val="00181BDC"/>
    <w:rsid w:val="00181DB0"/>
    <w:rsid w:val="001829E3"/>
    <w:rsid w:val="001924C0"/>
    <w:rsid w:val="0019731E"/>
    <w:rsid w:val="001A09FE"/>
    <w:rsid w:val="001A3F5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3379"/>
    <w:rsid w:val="001D647F"/>
    <w:rsid w:val="001D6857"/>
    <w:rsid w:val="001E0572"/>
    <w:rsid w:val="001E0A67"/>
    <w:rsid w:val="001E1028"/>
    <w:rsid w:val="001E14E2"/>
    <w:rsid w:val="001E6302"/>
    <w:rsid w:val="001E7DCB"/>
    <w:rsid w:val="001F165A"/>
    <w:rsid w:val="001F166A"/>
    <w:rsid w:val="001F3411"/>
    <w:rsid w:val="001F4287"/>
    <w:rsid w:val="001F4DBA"/>
    <w:rsid w:val="0020090E"/>
    <w:rsid w:val="0020139C"/>
    <w:rsid w:val="0020415E"/>
    <w:rsid w:val="00204FF4"/>
    <w:rsid w:val="0021056E"/>
    <w:rsid w:val="0021075D"/>
    <w:rsid w:val="0021165A"/>
    <w:rsid w:val="00211BC9"/>
    <w:rsid w:val="0021620C"/>
    <w:rsid w:val="00216E78"/>
    <w:rsid w:val="00217275"/>
    <w:rsid w:val="002211DD"/>
    <w:rsid w:val="00236F4B"/>
    <w:rsid w:val="00242B0D"/>
    <w:rsid w:val="002467C6"/>
    <w:rsid w:val="0024692A"/>
    <w:rsid w:val="00252BBA"/>
    <w:rsid w:val="00253123"/>
    <w:rsid w:val="00261C12"/>
    <w:rsid w:val="00264001"/>
    <w:rsid w:val="00266354"/>
    <w:rsid w:val="00267A18"/>
    <w:rsid w:val="0027032B"/>
    <w:rsid w:val="00273462"/>
    <w:rsid w:val="0027395B"/>
    <w:rsid w:val="00275854"/>
    <w:rsid w:val="00283B41"/>
    <w:rsid w:val="00285F28"/>
    <w:rsid w:val="00286398"/>
    <w:rsid w:val="00296F31"/>
    <w:rsid w:val="002A3C42"/>
    <w:rsid w:val="002A59B4"/>
    <w:rsid w:val="002A5D75"/>
    <w:rsid w:val="002A6B3E"/>
    <w:rsid w:val="002B1B1A"/>
    <w:rsid w:val="002B7228"/>
    <w:rsid w:val="002C53EE"/>
    <w:rsid w:val="002C7DEF"/>
    <w:rsid w:val="002D0A2D"/>
    <w:rsid w:val="002D24F7"/>
    <w:rsid w:val="002D2799"/>
    <w:rsid w:val="002D2CD7"/>
    <w:rsid w:val="002D4DDC"/>
    <w:rsid w:val="002D4F75"/>
    <w:rsid w:val="002D6493"/>
    <w:rsid w:val="002D7AB6"/>
    <w:rsid w:val="002E02A0"/>
    <w:rsid w:val="002E06D0"/>
    <w:rsid w:val="002E3C27"/>
    <w:rsid w:val="002E403A"/>
    <w:rsid w:val="002E7F3A"/>
    <w:rsid w:val="002F4EDB"/>
    <w:rsid w:val="002F6054"/>
    <w:rsid w:val="002F7C91"/>
    <w:rsid w:val="00310E13"/>
    <w:rsid w:val="00315713"/>
    <w:rsid w:val="0031686C"/>
    <w:rsid w:val="00316FE0"/>
    <w:rsid w:val="003204D2"/>
    <w:rsid w:val="0032605E"/>
    <w:rsid w:val="003275D1"/>
    <w:rsid w:val="00330B2A"/>
    <w:rsid w:val="00331E17"/>
    <w:rsid w:val="00333063"/>
    <w:rsid w:val="00333335"/>
    <w:rsid w:val="003408E3"/>
    <w:rsid w:val="00343480"/>
    <w:rsid w:val="00345661"/>
    <w:rsid w:val="00345E89"/>
    <w:rsid w:val="00351165"/>
    <w:rsid w:val="003522A1"/>
    <w:rsid w:val="0035254B"/>
    <w:rsid w:val="00353555"/>
    <w:rsid w:val="003565D4"/>
    <w:rsid w:val="003607FB"/>
    <w:rsid w:val="00360FD5"/>
    <w:rsid w:val="0036340D"/>
    <w:rsid w:val="003634A5"/>
    <w:rsid w:val="00366868"/>
    <w:rsid w:val="00367506"/>
    <w:rsid w:val="00370085"/>
    <w:rsid w:val="0037033E"/>
    <w:rsid w:val="003744A7"/>
    <w:rsid w:val="00376235"/>
    <w:rsid w:val="003813C1"/>
    <w:rsid w:val="00381FB6"/>
    <w:rsid w:val="003836D3"/>
    <w:rsid w:val="00383A52"/>
    <w:rsid w:val="00391652"/>
    <w:rsid w:val="0039507F"/>
    <w:rsid w:val="00395B47"/>
    <w:rsid w:val="003A1260"/>
    <w:rsid w:val="003A295F"/>
    <w:rsid w:val="003A41DD"/>
    <w:rsid w:val="003A4F32"/>
    <w:rsid w:val="003A57AF"/>
    <w:rsid w:val="003A7033"/>
    <w:rsid w:val="003B47FE"/>
    <w:rsid w:val="003B5673"/>
    <w:rsid w:val="003B6287"/>
    <w:rsid w:val="003B62C9"/>
    <w:rsid w:val="003C590A"/>
    <w:rsid w:val="003C7176"/>
    <w:rsid w:val="003D0929"/>
    <w:rsid w:val="003D4729"/>
    <w:rsid w:val="003D7DD6"/>
    <w:rsid w:val="003E5AAF"/>
    <w:rsid w:val="003E600D"/>
    <w:rsid w:val="003E64DF"/>
    <w:rsid w:val="003E6A5D"/>
    <w:rsid w:val="003F193A"/>
    <w:rsid w:val="003F4207"/>
    <w:rsid w:val="003F5C46"/>
    <w:rsid w:val="003F7CBB"/>
    <w:rsid w:val="003F7D34"/>
    <w:rsid w:val="00400AB1"/>
    <w:rsid w:val="00400AC8"/>
    <w:rsid w:val="00412C8E"/>
    <w:rsid w:val="00414D3B"/>
    <w:rsid w:val="0041518D"/>
    <w:rsid w:val="0042221D"/>
    <w:rsid w:val="00424DD3"/>
    <w:rsid w:val="00425D8F"/>
    <w:rsid w:val="004269C5"/>
    <w:rsid w:val="00435939"/>
    <w:rsid w:val="00437CC7"/>
    <w:rsid w:val="00442B9C"/>
    <w:rsid w:val="00445EFA"/>
    <w:rsid w:val="0044738A"/>
    <w:rsid w:val="004473D3"/>
    <w:rsid w:val="00452231"/>
    <w:rsid w:val="00456321"/>
    <w:rsid w:val="00460C13"/>
    <w:rsid w:val="0046158C"/>
    <w:rsid w:val="00463228"/>
    <w:rsid w:val="00463782"/>
    <w:rsid w:val="004667E0"/>
    <w:rsid w:val="0046760E"/>
    <w:rsid w:val="00470E10"/>
    <w:rsid w:val="00477A97"/>
    <w:rsid w:val="00481343"/>
    <w:rsid w:val="00483262"/>
    <w:rsid w:val="0048549E"/>
    <w:rsid w:val="004930C6"/>
    <w:rsid w:val="00493347"/>
    <w:rsid w:val="00496092"/>
    <w:rsid w:val="004A08DB"/>
    <w:rsid w:val="004A25D0"/>
    <w:rsid w:val="004A25D5"/>
    <w:rsid w:val="004A37E8"/>
    <w:rsid w:val="004A7549"/>
    <w:rsid w:val="004B09D4"/>
    <w:rsid w:val="004B12C0"/>
    <w:rsid w:val="004B309D"/>
    <w:rsid w:val="004B330A"/>
    <w:rsid w:val="004B4206"/>
    <w:rsid w:val="004B51E1"/>
    <w:rsid w:val="004B62A8"/>
    <w:rsid w:val="004B6B79"/>
    <w:rsid w:val="004B7C8E"/>
    <w:rsid w:val="004C09D3"/>
    <w:rsid w:val="004C208C"/>
    <w:rsid w:val="004C3D3C"/>
    <w:rsid w:val="004C4ECF"/>
    <w:rsid w:val="004C53E0"/>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30C4"/>
    <w:rsid w:val="005031C5"/>
    <w:rsid w:val="005034BF"/>
    <w:rsid w:val="00504FDC"/>
    <w:rsid w:val="005120CC"/>
    <w:rsid w:val="00512B7B"/>
    <w:rsid w:val="005149A0"/>
    <w:rsid w:val="00514EA1"/>
    <w:rsid w:val="0051798B"/>
    <w:rsid w:val="00520890"/>
    <w:rsid w:val="00521F5A"/>
    <w:rsid w:val="00525E06"/>
    <w:rsid w:val="00526454"/>
    <w:rsid w:val="00531823"/>
    <w:rsid w:val="00534ECC"/>
    <w:rsid w:val="00535BD4"/>
    <w:rsid w:val="0053720D"/>
    <w:rsid w:val="00540EF5"/>
    <w:rsid w:val="00541BF3"/>
    <w:rsid w:val="00541CD3"/>
    <w:rsid w:val="005476FA"/>
    <w:rsid w:val="005541FC"/>
    <w:rsid w:val="0055595E"/>
    <w:rsid w:val="00557988"/>
    <w:rsid w:val="00562C49"/>
    <w:rsid w:val="00562DEF"/>
    <w:rsid w:val="0056321A"/>
    <w:rsid w:val="00563A35"/>
    <w:rsid w:val="00565C22"/>
    <w:rsid w:val="00566596"/>
    <w:rsid w:val="00567E1F"/>
    <w:rsid w:val="005741E9"/>
    <w:rsid w:val="005748CF"/>
    <w:rsid w:val="00584270"/>
    <w:rsid w:val="00584738"/>
    <w:rsid w:val="005920B0"/>
    <w:rsid w:val="0059380D"/>
    <w:rsid w:val="00595A8F"/>
    <w:rsid w:val="005977C2"/>
    <w:rsid w:val="00597BB0"/>
    <w:rsid w:val="00597BF2"/>
    <w:rsid w:val="005A1F54"/>
    <w:rsid w:val="005A3020"/>
    <w:rsid w:val="005A56C5"/>
    <w:rsid w:val="005B134E"/>
    <w:rsid w:val="005B2039"/>
    <w:rsid w:val="005B344F"/>
    <w:rsid w:val="005B3FBA"/>
    <w:rsid w:val="005B4A1D"/>
    <w:rsid w:val="005B5AF6"/>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F0C64"/>
    <w:rsid w:val="005F4091"/>
    <w:rsid w:val="005F57BA"/>
    <w:rsid w:val="005F5998"/>
    <w:rsid w:val="005F61E6"/>
    <w:rsid w:val="005F6C45"/>
    <w:rsid w:val="0060483F"/>
    <w:rsid w:val="00605A69"/>
    <w:rsid w:val="00606C54"/>
    <w:rsid w:val="00614375"/>
    <w:rsid w:val="00615B0A"/>
    <w:rsid w:val="006168CF"/>
    <w:rsid w:val="0062011B"/>
    <w:rsid w:val="00623608"/>
    <w:rsid w:val="00623DAA"/>
    <w:rsid w:val="00626DE0"/>
    <w:rsid w:val="00630901"/>
    <w:rsid w:val="00631F8E"/>
    <w:rsid w:val="0063552E"/>
    <w:rsid w:val="00636EE9"/>
    <w:rsid w:val="00640950"/>
    <w:rsid w:val="00641737"/>
    <w:rsid w:val="00641AE7"/>
    <w:rsid w:val="00642629"/>
    <w:rsid w:val="006440C3"/>
    <w:rsid w:val="00644B68"/>
    <w:rsid w:val="0064782B"/>
    <w:rsid w:val="0065293D"/>
    <w:rsid w:val="00653EFC"/>
    <w:rsid w:val="00654021"/>
    <w:rsid w:val="00661045"/>
    <w:rsid w:val="00666DA8"/>
    <w:rsid w:val="00671057"/>
    <w:rsid w:val="00675AAF"/>
    <w:rsid w:val="00676DCA"/>
    <w:rsid w:val="0068031A"/>
    <w:rsid w:val="00681B2F"/>
    <w:rsid w:val="00682A70"/>
    <w:rsid w:val="0068335F"/>
    <w:rsid w:val="00687217"/>
    <w:rsid w:val="00693302"/>
    <w:rsid w:val="006960CC"/>
    <w:rsid w:val="0069640B"/>
    <w:rsid w:val="006A1B83"/>
    <w:rsid w:val="006A21CD"/>
    <w:rsid w:val="006A5918"/>
    <w:rsid w:val="006B06A7"/>
    <w:rsid w:val="006B21B2"/>
    <w:rsid w:val="006B4A4A"/>
    <w:rsid w:val="006C19B2"/>
    <w:rsid w:val="006C3F50"/>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5E17"/>
    <w:rsid w:val="006F6B55"/>
    <w:rsid w:val="006F788D"/>
    <w:rsid w:val="006F78E1"/>
    <w:rsid w:val="00701072"/>
    <w:rsid w:val="00702054"/>
    <w:rsid w:val="007035A4"/>
    <w:rsid w:val="00704B6D"/>
    <w:rsid w:val="00711799"/>
    <w:rsid w:val="00712B78"/>
    <w:rsid w:val="0071393B"/>
    <w:rsid w:val="00713EE2"/>
    <w:rsid w:val="007177FC"/>
    <w:rsid w:val="00720C5E"/>
    <w:rsid w:val="00721701"/>
    <w:rsid w:val="007302D7"/>
    <w:rsid w:val="00731835"/>
    <w:rsid w:val="00731903"/>
    <w:rsid w:val="007341F8"/>
    <w:rsid w:val="00734372"/>
    <w:rsid w:val="00734EB8"/>
    <w:rsid w:val="00735F8B"/>
    <w:rsid w:val="0074090B"/>
    <w:rsid w:val="00742D1F"/>
    <w:rsid w:val="00743EBA"/>
    <w:rsid w:val="00744C8E"/>
    <w:rsid w:val="0074707E"/>
    <w:rsid w:val="007516DC"/>
    <w:rsid w:val="00752E58"/>
    <w:rsid w:val="007530BC"/>
    <w:rsid w:val="00754B80"/>
    <w:rsid w:val="00761918"/>
    <w:rsid w:val="00762F03"/>
    <w:rsid w:val="0076413B"/>
    <w:rsid w:val="007648AE"/>
    <w:rsid w:val="00764BF8"/>
    <w:rsid w:val="0076514D"/>
    <w:rsid w:val="00773D59"/>
    <w:rsid w:val="00781003"/>
    <w:rsid w:val="0078784B"/>
    <w:rsid w:val="007911FD"/>
    <w:rsid w:val="00793930"/>
    <w:rsid w:val="00793DD1"/>
    <w:rsid w:val="00794FEC"/>
    <w:rsid w:val="007A003E"/>
    <w:rsid w:val="007A1965"/>
    <w:rsid w:val="007A2ED1"/>
    <w:rsid w:val="007A45F2"/>
    <w:rsid w:val="007A4BE6"/>
    <w:rsid w:val="007A71B0"/>
    <w:rsid w:val="007B0DC6"/>
    <w:rsid w:val="007B1094"/>
    <w:rsid w:val="007B1762"/>
    <w:rsid w:val="007B3320"/>
    <w:rsid w:val="007C301F"/>
    <w:rsid w:val="007C4540"/>
    <w:rsid w:val="007C65AF"/>
    <w:rsid w:val="007D135D"/>
    <w:rsid w:val="007D6367"/>
    <w:rsid w:val="007D730F"/>
    <w:rsid w:val="007D7CD8"/>
    <w:rsid w:val="007E3AA7"/>
    <w:rsid w:val="007F64BB"/>
    <w:rsid w:val="007F737D"/>
    <w:rsid w:val="0080308E"/>
    <w:rsid w:val="0080408E"/>
    <w:rsid w:val="00805303"/>
    <w:rsid w:val="00806705"/>
    <w:rsid w:val="00806738"/>
    <w:rsid w:val="00815692"/>
    <w:rsid w:val="00821341"/>
    <w:rsid w:val="008216D5"/>
    <w:rsid w:val="008249CE"/>
    <w:rsid w:val="00831A50"/>
    <w:rsid w:val="00831B3C"/>
    <w:rsid w:val="00831C89"/>
    <w:rsid w:val="00832114"/>
    <w:rsid w:val="00834C46"/>
    <w:rsid w:val="00836BA4"/>
    <w:rsid w:val="0084093E"/>
    <w:rsid w:val="00841CE1"/>
    <w:rsid w:val="008473D8"/>
    <w:rsid w:val="008528DC"/>
    <w:rsid w:val="00852B8C"/>
    <w:rsid w:val="00852CF0"/>
    <w:rsid w:val="00854981"/>
    <w:rsid w:val="00855521"/>
    <w:rsid w:val="0086084B"/>
    <w:rsid w:val="00864B2E"/>
    <w:rsid w:val="00865963"/>
    <w:rsid w:val="00871C1D"/>
    <w:rsid w:val="0087450E"/>
    <w:rsid w:val="00875A82"/>
    <w:rsid w:val="00876CA3"/>
    <w:rsid w:val="008772FE"/>
    <w:rsid w:val="008775F1"/>
    <w:rsid w:val="008821AE"/>
    <w:rsid w:val="00883D3A"/>
    <w:rsid w:val="008854F7"/>
    <w:rsid w:val="00885A9D"/>
    <w:rsid w:val="008913B8"/>
    <w:rsid w:val="008929D2"/>
    <w:rsid w:val="00893636"/>
    <w:rsid w:val="00893B94"/>
    <w:rsid w:val="00896E9D"/>
    <w:rsid w:val="00896F11"/>
    <w:rsid w:val="008A1049"/>
    <w:rsid w:val="008A1C98"/>
    <w:rsid w:val="008A1E8F"/>
    <w:rsid w:val="008A322D"/>
    <w:rsid w:val="008A4D72"/>
    <w:rsid w:val="008A6285"/>
    <w:rsid w:val="008A63B2"/>
    <w:rsid w:val="008B345D"/>
    <w:rsid w:val="008C1FC2"/>
    <w:rsid w:val="008C2980"/>
    <w:rsid w:val="008C4DD6"/>
    <w:rsid w:val="008C5AFB"/>
    <w:rsid w:val="008D06DE"/>
    <w:rsid w:val="008D07FB"/>
    <w:rsid w:val="008D0C02"/>
    <w:rsid w:val="008D357D"/>
    <w:rsid w:val="008D435A"/>
    <w:rsid w:val="008E387B"/>
    <w:rsid w:val="008E6087"/>
    <w:rsid w:val="008E758D"/>
    <w:rsid w:val="008F10A7"/>
    <w:rsid w:val="008F755D"/>
    <w:rsid w:val="008F7A39"/>
    <w:rsid w:val="0090193F"/>
    <w:rsid w:val="009021E8"/>
    <w:rsid w:val="00904677"/>
    <w:rsid w:val="00904A6A"/>
    <w:rsid w:val="00905EE2"/>
    <w:rsid w:val="00911440"/>
    <w:rsid w:val="00911712"/>
    <w:rsid w:val="00911B27"/>
    <w:rsid w:val="009170BE"/>
    <w:rsid w:val="009201B2"/>
    <w:rsid w:val="00920B55"/>
    <w:rsid w:val="009262C9"/>
    <w:rsid w:val="0093010C"/>
    <w:rsid w:val="00930EB9"/>
    <w:rsid w:val="00933DC7"/>
    <w:rsid w:val="0093752A"/>
    <w:rsid w:val="009418F4"/>
    <w:rsid w:val="00942BBC"/>
    <w:rsid w:val="00944180"/>
    <w:rsid w:val="00944AA0"/>
    <w:rsid w:val="00945859"/>
    <w:rsid w:val="0094730E"/>
    <w:rsid w:val="00947DA2"/>
    <w:rsid w:val="00951177"/>
    <w:rsid w:val="009673E8"/>
    <w:rsid w:val="00974DB8"/>
    <w:rsid w:val="00980661"/>
    <w:rsid w:val="0098093B"/>
    <w:rsid w:val="009876D4"/>
    <w:rsid w:val="009914A5"/>
    <w:rsid w:val="0099548E"/>
    <w:rsid w:val="00996456"/>
    <w:rsid w:val="00996A12"/>
    <w:rsid w:val="00997B0F"/>
    <w:rsid w:val="009A0CC3"/>
    <w:rsid w:val="009A162E"/>
    <w:rsid w:val="009A1CAD"/>
    <w:rsid w:val="009A3440"/>
    <w:rsid w:val="009A5832"/>
    <w:rsid w:val="009A6649"/>
    <w:rsid w:val="009A6838"/>
    <w:rsid w:val="009B24B5"/>
    <w:rsid w:val="009B4EBC"/>
    <w:rsid w:val="009B5ABB"/>
    <w:rsid w:val="009B73CE"/>
    <w:rsid w:val="009C2461"/>
    <w:rsid w:val="009C5A15"/>
    <w:rsid w:val="009C6FE2"/>
    <w:rsid w:val="009C7674"/>
    <w:rsid w:val="009D004A"/>
    <w:rsid w:val="009D5880"/>
    <w:rsid w:val="009E1FD4"/>
    <w:rsid w:val="009E3B07"/>
    <w:rsid w:val="009E51D1"/>
    <w:rsid w:val="009E5531"/>
    <w:rsid w:val="009F171E"/>
    <w:rsid w:val="009F3D2F"/>
    <w:rsid w:val="009F56AC"/>
    <w:rsid w:val="009F7052"/>
    <w:rsid w:val="00A02668"/>
    <w:rsid w:val="00A02801"/>
    <w:rsid w:val="00A050BC"/>
    <w:rsid w:val="00A06A39"/>
    <w:rsid w:val="00A07F58"/>
    <w:rsid w:val="00A1135D"/>
    <w:rsid w:val="00A131CB"/>
    <w:rsid w:val="00A14847"/>
    <w:rsid w:val="00A16D6D"/>
    <w:rsid w:val="00A21383"/>
    <w:rsid w:val="00A2199F"/>
    <w:rsid w:val="00A21B31"/>
    <w:rsid w:val="00A222C6"/>
    <w:rsid w:val="00A2360E"/>
    <w:rsid w:val="00A26E0C"/>
    <w:rsid w:val="00A32FCB"/>
    <w:rsid w:val="00A34C25"/>
    <w:rsid w:val="00A3507D"/>
    <w:rsid w:val="00A3717A"/>
    <w:rsid w:val="00A40261"/>
    <w:rsid w:val="00A4088C"/>
    <w:rsid w:val="00A4456B"/>
    <w:rsid w:val="00A448D4"/>
    <w:rsid w:val="00A452E0"/>
    <w:rsid w:val="00A506DF"/>
    <w:rsid w:val="00A51EA5"/>
    <w:rsid w:val="00A53742"/>
    <w:rsid w:val="00A557A1"/>
    <w:rsid w:val="00A63059"/>
    <w:rsid w:val="00A63AE3"/>
    <w:rsid w:val="00A651A4"/>
    <w:rsid w:val="00A71361"/>
    <w:rsid w:val="00A746E2"/>
    <w:rsid w:val="00A76200"/>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4738"/>
    <w:rsid w:val="00B077FA"/>
    <w:rsid w:val="00B115E5"/>
    <w:rsid w:val="00B127D7"/>
    <w:rsid w:val="00B13B0C"/>
    <w:rsid w:val="00B14408"/>
    <w:rsid w:val="00B1453A"/>
    <w:rsid w:val="00B20F82"/>
    <w:rsid w:val="00B22E6E"/>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3B7"/>
    <w:rsid w:val="00B80F26"/>
    <w:rsid w:val="00B822BD"/>
    <w:rsid w:val="00B842F4"/>
    <w:rsid w:val="00B91A7B"/>
    <w:rsid w:val="00B929DD"/>
    <w:rsid w:val="00B93AF6"/>
    <w:rsid w:val="00B95405"/>
    <w:rsid w:val="00B963F1"/>
    <w:rsid w:val="00BA020A"/>
    <w:rsid w:val="00BB025A"/>
    <w:rsid w:val="00BB02A4"/>
    <w:rsid w:val="00BB1270"/>
    <w:rsid w:val="00BB1E44"/>
    <w:rsid w:val="00BB2FC1"/>
    <w:rsid w:val="00BB5267"/>
    <w:rsid w:val="00BB52B8"/>
    <w:rsid w:val="00BB59D8"/>
    <w:rsid w:val="00BB7E69"/>
    <w:rsid w:val="00BC0E51"/>
    <w:rsid w:val="00BC3C1F"/>
    <w:rsid w:val="00BC7CE7"/>
    <w:rsid w:val="00BD295E"/>
    <w:rsid w:val="00BD4664"/>
    <w:rsid w:val="00BE1193"/>
    <w:rsid w:val="00BF1874"/>
    <w:rsid w:val="00BF4849"/>
    <w:rsid w:val="00BF4EA7"/>
    <w:rsid w:val="00BF6525"/>
    <w:rsid w:val="00C00EDB"/>
    <w:rsid w:val="00C02863"/>
    <w:rsid w:val="00C0383A"/>
    <w:rsid w:val="00C04B61"/>
    <w:rsid w:val="00C067FF"/>
    <w:rsid w:val="00C12862"/>
    <w:rsid w:val="00C13D28"/>
    <w:rsid w:val="00C14585"/>
    <w:rsid w:val="00C165A0"/>
    <w:rsid w:val="00C216CE"/>
    <w:rsid w:val="00C2184F"/>
    <w:rsid w:val="00C22A78"/>
    <w:rsid w:val="00C23C7E"/>
    <w:rsid w:val="00C246C5"/>
    <w:rsid w:val="00C25A82"/>
    <w:rsid w:val="00C30A2A"/>
    <w:rsid w:val="00C33993"/>
    <w:rsid w:val="00C370A9"/>
    <w:rsid w:val="00C4069E"/>
    <w:rsid w:val="00C41ADC"/>
    <w:rsid w:val="00C44149"/>
    <w:rsid w:val="00C44410"/>
    <w:rsid w:val="00C44A15"/>
    <w:rsid w:val="00C4630A"/>
    <w:rsid w:val="00C523F0"/>
    <w:rsid w:val="00C526D2"/>
    <w:rsid w:val="00C53A91"/>
    <w:rsid w:val="00C5794E"/>
    <w:rsid w:val="00C60968"/>
    <w:rsid w:val="00C60B76"/>
    <w:rsid w:val="00C63D39"/>
    <w:rsid w:val="00C63EDD"/>
    <w:rsid w:val="00C65B36"/>
    <w:rsid w:val="00C7292E"/>
    <w:rsid w:val="00C74E88"/>
    <w:rsid w:val="00C77897"/>
    <w:rsid w:val="00C80924"/>
    <w:rsid w:val="00C81E15"/>
    <w:rsid w:val="00C8286B"/>
    <w:rsid w:val="00C905E7"/>
    <w:rsid w:val="00C947F8"/>
    <w:rsid w:val="00C9515F"/>
    <w:rsid w:val="00C963C5"/>
    <w:rsid w:val="00C97A14"/>
    <w:rsid w:val="00CA030C"/>
    <w:rsid w:val="00CA0A27"/>
    <w:rsid w:val="00CA1F41"/>
    <w:rsid w:val="00CA32EE"/>
    <w:rsid w:val="00CA5771"/>
    <w:rsid w:val="00CA6A1A"/>
    <w:rsid w:val="00CC1E75"/>
    <w:rsid w:val="00CC2E0E"/>
    <w:rsid w:val="00CC361C"/>
    <w:rsid w:val="00CC474B"/>
    <w:rsid w:val="00CC658C"/>
    <w:rsid w:val="00CC67BF"/>
    <w:rsid w:val="00CD0843"/>
    <w:rsid w:val="00CD4E31"/>
    <w:rsid w:val="00CD5A78"/>
    <w:rsid w:val="00CD7345"/>
    <w:rsid w:val="00CE20A8"/>
    <w:rsid w:val="00CE372E"/>
    <w:rsid w:val="00CE5334"/>
    <w:rsid w:val="00CF0A1B"/>
    <w:rsid w:val="00CF19F6"/>
    <w:rsid w:val="00CF2F4F"/>
    <w:rsid w:val="00CF536D"/>
    <w:rsid w:val="00D02E9D"/>
    <w:rsid w:val="00D04331"/>
    <w:rsid w:val="00D04AE5"/>
    <w:rsid w:val="00D10CB8"/>
    <w:rsid w:val="00D12806"/>
    <w:rsid w:val="00D12D44"/>
    <w:rsid w:val="00D15018"/>
    <w:rsid w:val="00D158AC"/>
    <w:rsid w:val="00D1694C"/>
    <w:rsid w:val="00D20F5E"/>
    <w:rsid w:val="00D23B76"/>
    <w:rsid w:val="00D24B4A"/>
    <w:rsid w:val="00D379A3"/>
    <w:rsid w:val="00D437F5"/>
    <w:rsid w:val="00D45FF3"/>
    <w:rsid w:val="00D512CF"/>
    <w:rsid w:val="00D528B9"/>
    <w:rsid w:val="00D53186"/>
    <w:rsid w:val="00D5487D"/>
    <w:rsid w:val="00D60140"/>
    <w:rsid w:val="00D6024A"/>
    <w:rsid w:val="00D608B5"/>
    <w:rsid w:val="00D64739"/>
    <w:rsid w:val="00D71F99"/>
    <w:rsid w:val="00D73CA4"/>
    <w:rsid w:val="00D73D71"/>
    <w:rsid w:val="00D74396"/>
    <w:rsid w:val="00D80284"/>
    <w:rsid w:val="00D806FA"/>
    <w:rsid w:val="00D80968"/>
    <w:rsid w:val="00D81F71"/>
    <w:rsid w:val="00D8642D"/>
    <w:rsid w:val="00D90A5E"/>
    <w:rsid w:val="00D91A68"/>
    <w:rsid w:val="00D95A68"/>
    <w:rsid w:val="00D95B30"/>
    <w:rsid w:val="00DA17C7"/>
    <w:rsid w:val="00DA6A9A"/>
    <w:rsid w:val="00DB1EFD"/>
    <w:rsid w:val="00DB3EAF"/>
    <w:rsid w:val="00DB46C6"/>
    <w:rsid w:val="00DB51BF"/>
    <w:rsid w:val="00DC3203"/>
    <w:rsid w:val="00DC3C99"/>
    <w:rsid w:val="00DC52F5"/>
    <w:rsid w:val="00DC5445"/>
    <w:rsid w:val="00DC5FD0"/>
    <w:rsid w:val="00DD0354"/>
    <w:rsid w:val="00DD27D7"/>
    <w:rsid w:val="00DD458C"/>
    <w:rsid w:val="00DD72E9"/>
    <w:rsid w:val="00DD7605"/>
    <w:rsid w:val="00DE093C"/>
    <w:rsid w:val="00DE2020"/>
    <w:rsid w:val="00DE3476"/>
    <w:rsid w:val="00DE7BEA"/>
    <w:rsid w:val="00DF31D5"/>
    <w:rsid w:val="00DF5B84"/>
    <w:rsid w:val="00DF6D5B"/>
    <w:rsid w:val="00DF7533"/>
    <w:rsid w:val="00DF771B"/>
    <w:rsid w:val="00DF7EE2"/>
    <w:rsid w:val="00E01BAA"/>
    <w:rsid w:val="00E0282A"/>
    <w:rsid w:val="00E02F9B"/>
    <w:rsid w:val="00E07E14"/>
    <w:rsid w:val="00E14F94"/>
    <w:rsid w:val="00E17336"/>
    <w:rsid w:val="00E17D15"/>
    <w:rsid w:val="00E222F0"/>
    <w:rsid w:val="00E22B95"/>
    <w:rsid w:val="00E30331"/>
    <w:rsid w:val="00E30BB8"/>
    <w:rsid w:val="00E31F9C"/>
    <w:rsid w:val="00E40488"/>
    <w:rsid w:val="00E414C1"/>
    <w:rsid w:val="00E50367"/>
    <w:rsid w:val="00E51ABA"/>
    <w:rsid w:val="00E524CB"/>
    <w:rsid w:val="00E6510B"/>
    <w:rsid w:val="00E65456"/>
    <w:rsid w:val="00E65A91"/>
    <w:rsid w:val="00E66188"/>
    <w:rsid w:val="00E664FB"/>
    <w:rsid w:val="00E672F0"/>
    <w:rsid w:val="00E70373"/>
    <w:rsid w:val="00E72E40"/>
    <w:rsid w:val="00E73665"/>
    <w:rsid w:val="00E73999"/>
    <w:rsid w:val="00E73BDC"/>
    <w:rsid w:val="00E73E9E"/>
    <w:rsid w:val="00E80A77"/>
    <w:rsid w:val="00E81660"/>
    <w:rsid w:val="00E854FE"/>
    <w:rsid w:val="00E906CC"/>
    <w:rsid w:val="00E939A0"/>
    <w:rsid w:val="00E97E4E"/>
    <w:rsid w:val="00EA1CC2"/>
    <w:rsid w:val="00EA2D76"/>
    <w:rsid w:val="00EA4644"/>
    <w:rsid w:val="00EA758A"/>
    <w:rsid w:val="00EB01B7"/>
    <w:rsid w:val="00EB096F"/>
    <w:rsid w:val="00EB199F"/>
    <w:rsid w:val="00EB21A4"/>
    <w:rsid w:val="00EB27C4"/>
    <w:rsid w:val="00EB5387"/>
    <w:rsid w:val="00EB5C10"/>
    <w:rsid w:val="00EB7322"/>
    <w:rsid w:val="00EB7768"/>
    <w:rsid w:val="00EC0FE9"/>
    <w:rsid w:val="00EC198B"/>
    <w:rsid w:val="00EC426D"/>
    <w:rsid w:val="00EC571B"/>
    <w:rsid w:val="00EC57D7"/>
    <w:rsid w:val="00EC6385"/>
    <w:rsid w:val="00ED1CF9"/>
    <w:rsid w:val="00ED1DE9"/>
    <w:rsid w:val="00ED23D4"/>
    <w:rsid w:val="00ED5E0B"/>
    <w:rsid w:val="00EE1E94"/>
    <w:rsid w:val="00EE37B6"/>
    <w:rsid w:val="00EF0F45"/>
    <w:rsid w:val="00EF7463"/>
    <w:rsid w:val="00EF7971"/>
    <w:rsid w:val="00F002EF"/>
    <w:rsid w:val="00F01EE9"/>
    <w:rsid w:val="00F04900"/>
    <w:rsid w:val="00F065A4"/>
    <w:rsid w:val="00F126B9"/>
    <w:rsid w:val="00F12715"/>
    <w:rsid w:val="00F142FF"/>
    <w:rsid w:val="00F144D5"/>
    <w:rsid w:val="00F146F0"/>
    <w:rsid w:val="00F15039"/>
    <w:rsid w:val="00F20FF3"/>
    <w:rsid w:val="00F2190B"/>
    <w:rsid w:val="00F228B5"/>
    <w:rsid w:val="00F23732"/>
    <w:rsid w:val="00F2389C"/>
    <w:rsid w:val="00F245B7"/>
    <w:rsid w:val="00F25C67"/>
    <w:rsid w:val="00F30DFF"/>
    <w:rsid w:val="00F32B80"/>
    <w:rsid w:val="00F340EB"/>
    <w:rsid w:val="00F34432"/>
    <w:rsid w:val="00F35285"/>
    <w:rsid w:val="00F43115"/>
    <w:rsid w:val="00F43B9D"/>
    <w:rsid w:val="00F44D5E"/>
    <w:rsid w:val="00F53A35"/>
    <w:rsid w:val="00F55A3D"/>
    <w:rsid w:val="00F5744B"/>
    <w:rsid w:val="00F61209"/>
    <w:rsid w:val="00F6259E"/>
    <w:rsid w:val="00F65DD4"/>
    <w:rsid w:val="00F672B2"/>
    <w:rsid w:val="00F72AD8"/>
    <w:rsid w:val="00F735C8"/>
    <w:rsid w:val="00F83973"/>
    <w:rsid w:val="00F87FA3"/>
    <w:rsid w:val="00F93D8C"/>
    <w:rsid w:val="00FA3102"/>
    <w:rsid w:val="00FA48D4"/>
    <w:rsid w:val="00FA54FA"/>
    <w:rsid w:val="00FA6D39"/>
    <w:rsid w:val="00FB227E"/>
    <w:rsid w:val="00FB26C6"/>
    <w:rsid w:val="00FB30F2"/>
    <w:rsid w:val="00FB3D61"/>
    <w:rsid w:val="00FB44CE"/>
    <w:rsid w:val="00FB5009"/>
    <w:rsid w:val="00FB76AB"/>
    <w:rsid w:val="00FC1766"/>
    <w:rsid w:val="00FC219D"/>
    <w:rsid w:val="00FC680C"/>
    <w:rsid w:val="00FD03FE"/>
    <w:rsid w:val="00FD126E"/>
    <w:rsid w:val="00FD3C36"/>
    <w:rsid w:val="00FD4D81"/>
    <w:rsid w:val="00FD7498"/>
    <w:rsid w:val="00FD7FB3"/>
    <w:rsid w:val="00FE43C6"/>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42930"/>
  <w14:defaultImageDpi w14:val="330"/>
  <w15:docId w15:val="{E2F71356-ACDA-4D31-9B9B-C254F4C2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3A4F32"/>
    <w:pPr>
      <w:spacing w:line="240" w:lineRule="auto"/>
      <w:ind w:left="284" w:hanging="284"/>
    </w:pPr>
    <w:rPr>
      <w:sz w:val="18"/>
      <w:szCs w:val="18"/>
    </w:rPr>
  </w:style>
  <w:style w:type="character" w:customStyle="1" w:styleId="FootnoteTextChar">
    <w:name w:val="Footnote Text Char"/>
    <w:basedOn w:val="DefaultParagraphFont"/>
    <w:link w:val="FootnoteText"/>
    <w:rsid w:val="003A4F32"/>
    <w:rPr>
      <w:sz w:val="18"/>
      <w:szCs w:val="18"/>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nhideWhenUsed/>
    <w:rsid w:val="00A222C6"/>
    <w:rPr>
      <w:color w:val="0000FF" w:themeColor="hyperlink"/>
      <w:u w:val="single"/>
    </w:rPr>
  </w:style>
  <w:style w:type="character" w:customStyle="1" w:styleId="UnresolvedMention">
    <w:name w:val="Unresolved Mention"/>
    <w:basedOn w:val="DefaultParagraphFont"/>
    <w:uiPriority w:val="99"/>
    <w:semiHidden/>
    <w:unhideWhenUsed/>
    <w:rsid w:val="00A222C6"/>
    <w:rPr>
      <w:color w:val="808080"/>
      <w:shd w:val="clear" w:color="auto" w:fill="E6E6E6"/>
    </w:rPr>
  </w:style>
  <w:style w:type="paragraph" w:styleId="HTMLPreformatted">
    <w:name w:val="HTML Preformatted"/>
    <w:basedOn w:val="Normal"/>
    <w:link w:val="HTMLPreformattedChar"/>
    <w:uiPriority w:val="99"/>
    <w:unhideWhenUsed/>
    <w:rsid w:val="00D04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D04AE5"/>
    <w:rPr>
      <w:rFonts w:ascii="Courier New" w:hAnsi="Courier New" w:cs="Courier New"/>
      <w:lang w:val="en-US" w:eastAsia="en-US"/>
    </w:rPr>
  </w:style>
  <w:style w:type="paragraph" w:styleId="BalloonText">
    <w:name w:val="Balloon Text"/>
    <w:basedOn w:val="Normal"/>
    <w:link w:val="BalloonTextChar"/>
    <w:semiHidden/>
    <w:unhideWhenUsed/>
    <w:rsid w:val="00DE093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DE093C"/>
    <w:rPr>
      <w:rFonts w:ascii="Segoe UI" w:hAnsi="Segoe UI" w:cs="Segoe UI"/>
      <w:sz w:val="18"/>
      <w:szCs w:val="18"/>
    </w:rPr>
  </w:style>
  <w:style w:type="character" w:styleId="PlaceholderText">
    <w:name w:val="Placeholder Text"/>
    <w:basedOn w:val="DefaultParagraphFont"/>
    <w:semiHidden/>
    <w:rsid w:val="00400AC8"/>
    <w:rPr>
      <w:color w:val="808080"/>
    </w:rPr>
  </w:style>
  <w:style w:type="paragraph" w:styleId="Caption">
    <w:name w:val="caption"/>
    <w:basedOn w:val="Normal"/>
    <w:next w:val="Normal"/>
    <w:unhideWhenUsed/>
    <w:rsid w:val="0086084B"/>
    <w:pPr>
      <w:spacing w:after="200" w:line="240" w:lineRule="auto"/>
    </w:pPr>
    <w:rPr>
      <w:i/>
      <w:iCs/>
      <w:color w:val="1F497D" w:themeColor="text2"/>
      <w:sz w:val="18"/>
      <w:szCs w:val="18"/>
    </w:rPr>
  </w:style>
  <w:style w:type="table" w:styleId="TableGrid">
    <w:name w:val="Table Grid"/>
    <w:basedOn w:val="TableNormal"/>
    <w:rsid w:val="00345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itle">
    <w:name w:val="Section Title"/>
    <w:basedOn w:val="Normal"/>
    <w:uiPriority w:val="2"/>
    <w:rsid w:val="00945859"/>
    <w:pPr>
      <w:pageBreakBefore/>
      <w:ind w:firstLine="720"/>
      <w:jc w:val="center"/>
      <w:outlineLvl w:val="0"/>
    </w:pPr>
    <w:rPr>
      <w:rFonts w:eastAsia="SimSun"/>
      <w:kern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545174">
      <w:bodyDiv w:val="1"/>
      <w:marLeft w:val="0"/>
      <w:marRight w:val="0"/>
      <w:marTop w:val="0"/>
      <w:marBottom w:val="0"/>
      <w:divBdr>
        <w:top w:val="none" w:sz="0" w:space="0" w:color="auto"/>
        <w:left w:val="none" w:sz="0" w:space="0" w:color="auto"/>
        <w:bottom w:val="none" w:sz="0" w:space="0" w:color="auto"/>
        <w:right w:val="none" w:sz="0" w:space="0" w:color="auto"/>
      </w:divBdr>
    </w:div>
    <w:div w:id="735588746">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64459022">
      <w:bodyDiv w:val="1"/>
      <w:marLeft w:val="0"/>
      <w:marRight w:val="0"/>
      <w:marTop w:val="0"/>
      <w:marBottom w:val="0"/>
      <w:divBdr>
        <w:top w:val="none" w:sz="0" w:space="0" w:color="auto"/>
        <w:left w:val="none" w:sz="0" w:space="0" w:color="auto"/>
        <w:bottom w:val="none" w:sz="0" w:space="0" w:color="auto"/>
        <w:right w:val="none" w:sz="0" w:space="0" w:color="auto"/>
      </w:divBdr>
    </w:div>
    <w:div w:id="977228062">
      <w:bodyDiv w:val="1"/>
      <w:marLeft w:val="0"/>
      <w:marRight w:val="0"/>
      <w:marTop w:val="0"/>
      <w:marBottom w:val="0"/>
      <w:divBdr>
        <w:top w:val="none" w:sz="0" w:space="0" w:color="auto"/>
        <w:left w:val="none" w:sz="0" w:space="0" w:color="auto"/>
        <w:bottom w:val="none" w:sz="0" w:space="0" w:color="auto"/>
        <w:right w:val="none" w:sz="0" w:space="0" w:color="auto"/>
      </w:divBdr>
    </w:div>
    <w:div w:id="1422919862">
      <w:bodyDiv w:val="1"/>
      <w:marLeft w:val="0"/>
      <w:marRight w:val="0"/>
      <w:marTop w:val="0"/>
      <w:marBottom w:val="0"/>
      <w:divBdr>
        <w:top w:val="none" w:sz="0" w:space="0" w:color="auto"/>
        <w:left w:val="none" w:sz="0" w:space="0" w:color="auto"/>
        <w:bottom w:val="none" w:sz="0" w:space="0" w:color="auto"/>
        <w:right w:val="none" w:sz="0" w:space="0" w:color="auto"/>
      </w:divBdr>
    </w:div>
    <w:div w:id="1538466049">
      <w:bodyDiv w:val="1"/>
      <w:marLeft w:val="0"/>
      <w:marRight w:val="0"/>
      <w:marTop w:val="0"/>
      <w:marBottom w:val="0"/>
      <w:divBdr>
        <w:top w:val="none" w:sz="0" w:space="0" w:color="auto"/>
        <w:left w:val="none" w:sz="0" w:space="0" w:color="auto"/>
        <w:bottom w:val="none" w:sz="0" w:space="0" w:color="auto"/>
        <w:right w:val="none" w:sz="0" w:space="0" w:color="auto"/>
      </w:divBdr>
    </w:div>
    <w:div w:id="176777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image" Target="media/image15.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19.wmf"/><Relationship Id="rId50" Type="http://schemas.openxmlformats.org/officeDocument/2006/relationships/oleObject" Target="embeddings/oleObject21.bin"/><Relationship Id="rId55" Type="http://schemas.openxmlformats.org/officeDocument/2006/relationships/image" Target="media/image23.e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0.bin"/><Relationship Id="rId41" Type="http://schemas.openxmlformats.org/officeDocument/2006/relationships/image" Target="media/image16.wmf"/><Relationship Id="rId54" Type="http://schemas.openxmlformats.org/officeDocument/2006/relationships/oleObject" Target="embeddings/oleObject23.bin"/><Relationship Id="rId62" Type="http://schemas.openxmlformats.org/officeDocument/2006/relationships/oleObject" Target="embeddings/oleObject2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oleObject" Target="embeddings/oleObject12.bin"/><Relationship Id="rId37" Type="http://schemas.openxmlformats.org/officeDocument/2006/relationships/image" Target="media/image14.wmf"/><Relationship Id="rId40" Type="http://schemas.openxmlformats.org/officeDocument/2006/relationships/oleObject" Target="embeddings/oleObject16.bin"/><Relationship Id="rId45" Type="http://schemas.openxmlformats.org/officeDocument/2006/relationships/image" Target="media/image18.wmf"/><Relationship Id="rId53" Type="http://schemas.openxmlformats.org/officeDocument/2006/relationships/image" Target="media/image22.emf"/><Relationship Id="rId58" Type="http://schemas.openxmlformats.org/officeDocument/2006/relationships/oleObject" Target="embeddings/oleObject25.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oleObject" Target="embeddings/oleObject14.bin"/><Relationship Id="rId49" Type="http://schemas.openxmlformats.org/officeDocument/2006/relationships/image" Target="media/image20.wmf"/><Relationship Id="rId57" Type="http://schemas.openxmlformats.org/officeDocument/2006/relationships/image" Target="media/image24.emf"/><Relationship Id="rId61" Type="http://schemas.openxmlformats.org/officeDocument/2006/relationships/image" Target="media/image26.emf"/><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image" Target="media/image11.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4" Type="http://schemas.openxmlformats.org/officeDocument/2006/relationships/settings" Target="settings.xml"/><Relationship Id="rId9" Type="http://schemas.openxmlformats.org/officeDocument/2006/relationships/hyperlink" Target="mailto:lyligayoso@gmail.com"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theme" Target="theme/theme1.xml"/><Relationship Id="rId8" Type="http://schemas.openxmlformats.org/officeDocument/2006/relationships/hyperlink" Target="mailto:lgayoso@cedeh.org.py" TargetMode="External"/><Relationship Id="rId51" Type="http://schemas.openxmlformats.org/officeDocument/2006/relationships/image" Target="media/image21.e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2.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lig\Documents\Manuscripts%20for%20publication\Survival\Surviv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48AD0-8764-4534-8A67-2A3AE9F66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Survival</Template>
  <TotalTime>1</TotalTime>
  <Pages>34</Pages>
  <Words>17553</Words>
  <Characters>100053</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117372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subject/>
  <dc:creator>Lyliana Gayoso</dc:creator>
  <cp:keywords/>
  <dc:description/>
  <cp:lastModifiedBy>Ervin, Paul</cp:lastModifiedBy>
  <cp:revision>2</cp:revision>
  <cp:lastPrinted>2018-10-01T20:05:00Z</cp:lastPrinted>
  <dcterms:created xsi:type="dcterms:W3CDTF">2018-11-26T19:27:00Z</dcterms:created>
  <dcterms:modified xsi:type="dcterms:W3CDTF">2018-11-26T19:27:00Z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e06ee241-9ad9-3599-a005-5e8d8aedab31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