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9D00E" w14:textId="3DFFBC07" w:rsidR="00BF03A7" w:rsidRDefault="00BF03A7" w:rsidP="00B30F74">
      <w:pPr>
        <w:pStyle w:val="Title"/>
      </w:pPr>
      <w:bookmarkStart w:id="0" w:name="_Hlk138433640"/>
      <w:bookmarkEnd w:id="0"/>
      <w:r w:rsidRPr="00B30F74">
        <w:t>Methodology</w:t>
      </w:r>
      <w:r w:rsidRPr="007962DB">
        <w:t xml:space="preserve"> </w:t>
      </w:r>
      <w:r w:rsidR="0050413E">
        <w:t>2</w:t>
      </w:r>
      <w:r w:rsidRPr="007962DB">
        <w:t xml:space="preserve">. </w:t>
      </w:r>
      <w:r w:rsidR="0050413E">
        <w:t>System drought indicator for users with complex supply portfolios</w:t>
      </w:r>
    </w:p>
    <w:p w14:paraId="16DD2C3E" w14:textId="10CFACF2" w:rsidR="00627948" w:rsidRPr="00C001AC" w:rsidRDefault="00627948" w:rsidP="00627948">
      <w:pPr>
        <w:rPr>
          <w:i/>
        </w:rPr>
      </w:pPr>
      <w:r w:rsidRPr="00C001AC">
        <w:rPr>
          <w:i/>
        </w:rPr>
        <w:t xml:space="preserve">Authors: Alvar Escriva-Bou, Michael </w:t>
      </w:r>
      <w:proofErr w:type="spellStart"/>
      <w:r w:rsidRPr="00C001AC">
        <w:rPr>
          <w:i/>
        </w:rPr>
        <w:t>Dettinger</w:t>
      </w:r>
      <w:proofErr w:type="spellEnd"/>
      <w:r w:rsidRPr="00C001AC">
        <w:rPr>
          <w:i/>
        </w:rPr>
        <w:t xml:space="preserve">, </w:t>
      </w:r>
      <w:r w:rsidR="00C001AC" w:rsidRPr="00C001AC">
        <w:rPr>
          <w:i/>
        </w:rPr>
        <w:t>Jeff Mount</w:t>
      </w:r>
      <w:r w:rsidRPr="00C001AC">
        <w:rPr>
          <w:i/>
        </w:rPr>
        <w:t>…</w:t>
      </w:r>
    </w:p>
    <w:p w14:paraId="1F5B1FFE" w14:textId="24393321" w:rsidR="004D6641" w:rsidRPr="005B77DC" w:rsidRDefault="00BF03A7" w:rsidP="005B77DC">
      <w:pPr>
        <w:pStyle w:val="Heading1"/>
      </w:pPr>
      <w:r w:rsidRPr="005B77DC">
        <w:t>Introduction</w:t>
      </w:r>
    </w:p>
    <w:p w14:paraId="01EEF171" w14:textId="77777777" w:rsidR="00F315C3" w:rsidRDefault="00F315C3" w:rsidP="007962DB">
      <w:r>
        <w:t>In California many water users, especially cities and irrigations districts, have complex supply portfolios—they get water from different water sources and manage these sources to minimize supply shortages. The goal of this document is to provide a methodology to develop drought indicators for these types of users.</w:t>
      </w:r>
    </w:p>
    <w:p w14:paraId="38DCC261" w14:textId="49AD46C2" w:rsidR="00F315C3" w:rsidRDefault="00F315C3" w:rsidP="007962DB">
      <w:commentRangeStart w:id="1"/>
      <w:r>
        <w:t>In the following sections we first…</w:t>
      </w:r>
      <w:commentRangeEnd w:id="1"/>
      <w:r>
        <w:rPr>
          <w:rStyle w:val="CommentReference"/>
        </w:rPr>
        <w:commentReference w:id="1"/>
      </w:r>
    </w:p>
    <w:p w14:paraId="2FC6E5C0" w14:textId="66CF68A7" w:rsidR="00977D16" w:rsidRDefault="00977D16" w:rsidP="00F315C3">
      <w:pPr>
        <w:pStyle w:val="Heading1"/>
      </w:pPr>
      <w:r>
        <w:t>Overview of the methodology</w:t>
      </w:r>
    </w:p>
    <w:p w14:paraId="0D9BAA54" w14:textId="4F642648" w:rsidR="002E5F7B" w:rsidRDefault="002E5F7B" w:rsidP="00977D16">
      <w:r>
        <w:t xml:space="preserve">The main goal is to obtain a drought indicator for users with different water sources—or a complex supply portfolio—that </w:t>
      </w:r>
      <w:r w:rsidR="00124E6B">
        <w:t>informs about</w:t>
      </w:r>
      <w:r>
        <w:t xml:space="preserve"> the water shortages caused by overall drought conditions</w:t>
      </w:r>
      <w:r w:rsidR="00124E6B">
        <w:t xml:space="preserve"> (or by the composite drought conditions considering each of the sources)</w:t>
      </w:r>
      <w:r>
        <w:t xml:space="preserve">. To obtain such indicator, it is essential to identify the different water supply sources, develop indicators that </w:t>
      </w:r>
      <w:r w:rsidR="00124E6B">
        <w:t>estimate</w:t>
      </w:r>
      <w:r>
        <w:t xml:space="preserve"> how much water is available from each source, but also to explicitly account for management decisions. For instance, in many regions of California, groundwater serves as a backup source, so when less surface water is available, water users pump more groundwater—worsening groundwater drought status, but mitigating the lack of available supplies.</w:t>
      </w:r>
      <w:r w:rsidR="007E2B1B">
        <w:t xml:space="preserve"> These types of management decisions have to be explicitly considered in the methodology.</w:t>
      </w:r>
    </w:p>
    <w:p w14:paraId="263D9D96" w14:textId="24A1831F" w:rsidR="002E5F7B" w:rsidRDefault="00124E6B" w:rsidP="00977D16">
      <w:r>
        <w:t>As d</w:t>
      </w:r>
      <w:r w:rsidR="002E5F7B" w:rsidRPr="002E5F7B">
        <w:t xml:space="preserve">rought can be simply—but carefully—defined as “insufficient water to meet needs” </w:t>
      </w:r>
      <w:r>
        <w:fldChar w:fldCharType="begin"/>
      </w:r>
      <w:r>
        <w:instrText xml:space="preserve"> ADDIN ZOTERO_ITEM CSL_CITATION {"citationID":"cHAXM0PY","properties":{"formattedCitation":"(Redmond, 2002)","plainCitation":"(Redmond, 2002)","noteIndex":0},"citationItems":[{"id":16,"uris":["http://zotero.org/users/local/zvpmpIAu/items/7C5F9R98"],"itemData":{"id":16,"type":"article-journal","container-title":"Bulletin of the American Meteorological Society","ISSN":"0003-0007","issue":"8","journalAbbreviation":"Bulletin of the American Meteorological Society","note":"publisher: JSTOR","page":"1143-1147","title":"The depiction of drought: A commentary","volume":"83","author":[{"family":"Redmond","given":"Kelly T"}],"issued":{"date-parts":[["2002"]]}}}],"schema":"https://github.com/citation-style-language/schema/raw/master/csl-citation.json"} </w:instrText>
      </w:r>
      <w:r>
        <w:fldChar w:fldCharType="separate"/>
      </w:r>
      <w:r>
        <w:rPr>
          <w:noProof/>
        </w:rPr>
        <w:t>(Redmond, 2002)</w:t>
      </w:r>
      <w:r>
        <w:fldChar w:fldCharType="end"/>
      </w:r>
      <w:r>
        <w:t xml:space="preserve">, we base our drought indicator for users with complex </w:t>
      </w:r>
      <w:r w:rsidR="007E2B1B">
        <w:t xml:space="preserve">portfolios </w:t>
      </w:r>
      <w:r>
        <w:t>in the concept of water shortage or water deficit: the difference between demands and supplies</w:t>
      </w:r>
      <w:r w:rsidR="00AC2CC1">
        <w:t xml:space="preserve"> (</w:t>
      </w:r>
      <w:r w:rsidR="00AC2CC1">
        <w:fldChar w:fldCharType="begin"/>
      </w:r>
      <w:r w:rsidR="00AC2CC1">
        <w:instrText xml:space="preserve"> REF _Ref138523427 \h </w:instrText>
      </w:r>
      <w:r w:rsidR="00AC2CC1">
        <w:fldChar w:fldCharType="separate"/>
      </w:r>
      <w:r w:rsidR="001E28B5">
        <w:t xml:space="preserve">Equation </w:t>
      </w:r>
      <w:r w:rsidR="001E28B5">
        <w:rPr>
          <w:noProof/>
        </w:rPr>
        <w:t>1</w:t>
      </w:r>
      <w:r w:rsidR="00AC2CC1">
        <w:fldChar w:fldCharType="end"/>
      </w:r>
      <w:r w:rsidR="00AC2CC1">
        <w:t>).</w:t>
      </w:r>
      <w:r>
        <w:t xml:space="preserve"> </w:t>
      </w:r>
    </w:p>
    <w:p w14:paraId="0F461123" w14:textId="10F9A581" w:rsidR="00124E6B" w:rsidRDefault="00AC2CC1" w:rsidP="00AC2CC1">
      <w:pPr>
        <w:pStyle w:val="Caption"/>
        <w:tabs>
          <w:tab w:val="center" w:pos="5040"/>
        </w:tabs>
      </w:pPr>
      <w:bookmarkStart w:id="2" w:name="_Ref138523427"/>
      <w:r>
        <w:t xml:space="preserve">Equation </w:t>
      </w:r>
      <w:r w:rsidR="006276AB">
        <w:rPr>
          <w:noProof/>
        </w:rPr>
        <w:fldChar w:fldCharType="begin"/>
      </w:r>
      <w:r w:rsidR="006276AB">
        <w:rPr>
          <w:noProof/>
        </w:rPr>
        <w:instrText xml:space="preserve"> SEQ Equation \* ARABIC </w:instrText>
      </w:r>
      <w:r w:rsidR="006276AB">
        <w:rPr>
          <w:noProof/>
        </w:rPr>
        <w:fldChar w:fldCharType="separate"/>
      </w:r>
      <w:r w:rsidR="001E28B5">
        <w:rPr>
          <w:noProof/>
        </w:rPr>
        <w:t>1</w:t>
      </w:r>
      <w:r w:rsidR="006276AB">
        <w:rPr>
          <w:noProof/>
        </w:rPr>
        <w:fldChar w:fldCharType="end"/>
      </w:r>
      <w:bookmarkEnd w:id="2"/>
      <w:r>
        <w:tab/>
      </w:r>
      <m:oMath>
        <m:r>
          <m:rPr>
            <m:sty m:val="bi"/>
          </m:rPr>
          <w:rPr>
            <w:rFonts w:ascii="Cambria Math" w:hAnsi="Cambria Math"/>
          </w:rPr>
          <m:t>Water shortage=Expected demand-Expected supply</m:t>
        </m:r>
      </m:oMath>
    </w:p>
    <w:p w14:paraId="088A60FE" w14:textId="412B431A" w:rsidR="00313294" w:rsidRDefault="00313294" w:rsidP="00977D16">
      <w:r>
        <w:t>Assuming that agricultural acreage and outdoor</w:t>
      </w:r>
      <w:r w:rsidR="001F0754">
        <w:t xml:space="preserve"> use</w:t>
      </w:r>
      <w:r w:rsidR="002F7F31">
        <w:t xml:space="preserve"> in cities</w:t>
      </w:r>
      <w:r>
        <w:t xml:space="preserve"> is constant, changes in potential evapotranspiration are going to lead to different expected demands each year</w:t>
      </w:r>
      <w:r w:rsidR="00627948">
        <w:t>—or conversely, the same amount of water can result in varying irrigated acreage</w:t>
      </w:r>
      <w:r>
        <w:t>. So</w:t>
      </w:r>
      <w:r w:rsidR="006F4E6D">
        <w:t>, we assume these change in demands might increase or reduce shortages—</w:t>
      </w:r>
      <w:r w:rsidR="006F4E6D" w:rsidRPr="00627948">
        <w:rPr>
          <w:i/>
        </w:rPr>
        <w:t>ceteris paribus</w:t>
      </w:r>
      <w:r w:rsidR="006F4E6D">
        <w:t>. Therefore, we use the historical series of evapotranspiration to obtain the demand anomaly (obtained as the relative change in annual demands), that we can apply later to the average demands</w:t>
      </w:r>
      <w:r w:rsidR="001F0754">
        <w:t xml:space="preserve"> to obtain the expected demand</w:t>
      </w:r>
      <w:r w:rsidR="006F4E6D">
        <w:t xml:space="preserve"> (</w:t>
      </w:r>
      <w:r w:rsidR="006F4E6D">
        <w:fldChar w:fldCharType="begin"/>
      </w:r>
      <w:r w:rsidR="006F4E6D">
        <w:instrText xml:space="preserve"> REF _Ref138581432 \h </w:instrText>
      </w:r>
      <w:r w:rsidR="006F4E6D">
        <w:fldChar w:fldCharType="separate"/>
      </w:r>
      <w:r w:rsidR="001E28B5">
        <w:t xml:space="preserve">Equation </w:t>
      </w:r>
      <w:r w:rsidR="001E28B5">
        <w:rPr>
          <w:noProof/>
        </w:rPr>
        <w:t>2</w:t>
      </w:r>
      <w:r w:rsidR="006F4E6D">
        <w:fldChar w:fldCharType="end"/>
      </w:r>
      <w:r w:rsidR="006F4E6D">
        <w:t>).</w:t>
      </w:r>
    </w:p>
    <w:p w14:paraId="0F1237BE" w14:textId="20DFCD33" w:rsidR="006F4E6D" w:rsidRDefault="006F4E6D" w:rsidP="006F4E6D">
      <w:pPr>
        <w:pStyle w:val="Caption"/>
        <w:tabs>
          <w:tab w:val="center" w:pos="5040"/>
        </w:tabs>
      </w:pPr>
      <w:bookmarkStart w:id="3" w:name="_Ref138581432"/>
      <w:bookmarkStart w:id="4" w:name="OLE_LINK12"/>
      <w:r>
        <w:t xml:space="preserve">Equation </w:t>
      </w:r>
      <w:r>
        <w:rPr>
          <w:noProof/>
        </w:rPr>
        <w:fldChar w:fldCharType="begin"/>
      </w:r>
      <w:r>
        <w:rPr>
          <w:noProof/>
        </w:rPr>
        <w:instrText xml:space="preserve"> SEQ Equation \* ARABIC </w:instrText>
      </w:r>
      <w:r>
        <w:rPr>
          <w:noProof/>
        </w:rPr>
        <w:fldChar w:fldCharType="separate"/>
      </w:r>
      <w:r w:rsidR="001E28B5">
        <w:rPr>
          <w:noProof/>
        </w:rPr>
        <w:t>2</w:t>
      </w:r>
      <w:r>
        <w:rPr>
          <w:noProof/>
        </w:rPr>
        <w:fldChar w:fldCharType="end"/>
      </w:r>
      <w:bookmarkEnd w:id="3"/>
      <w:r>
        <w:tab/>
      </w:r>
      <m:oMath>
        <m:r>
          <m:rPr>
            <m:sty m:val="bi"/>
          </m:rPr>
          <w:rPr>
            <w:rFonts w:ascii="Cambria Math" w:hAnsi="Cambria Math"/>
          </w:rPr>
          <m:t>Expected demand=Average demand ∙Demand anomaly</m:t>
        </m:r>
      </m:oMath>
    </w:p>
    <w:bookmarkEnd w:id="4"/>
    <w:p w14:paraId="116832C5" w14:textId="77777777" w:rsidR="006417ED" w:rsidRDefault="006417ED">
      <w:pPr>
        <w:spacing w:after="0"/>
      </w:pPr>
      <w:r>
        <w:br w:type="page"/>
      </w:r>
    </w:p>
    <w:p w14:paraId="20021855" w14:textId="5892C23A" w:rsidR="00A704CF" w:rsidRDefault="00335BBA" w:rsidP="00977D16">
      <w:r>
        <w:lastRenderedPageBreak/>
        <w:t>Then</w:t>
      </w:r>
      <w:r w:rsidR="007E2B1B">
        <w:t>, the expected supply can be obtained as the sum of all the supplies from different sources</w:t>
      </w:r>
      <w:r w:rsidR="00A704CF">
        <w:t xml:space="preserve"> (</w:t>
      </w:r>
      <w:r w:rsidR="006F4E6D">
        <w:fldChar w:fldCharType="begin"/>
      </w:r>
      <w:r w:rsidR="006F4E6D">
        <w:instrText xml:space="preserve"> REF _Ref138581472 \h </w:instrText>
      </w:r>
      <w:r w:rsidR="006F4E6D">
        <w:fldChar w:fldCharType="separate"/>
      </w:r>
      <w:r w:rsidR="001E28B5">
        <w:t xml:space="preserve">Equation </w:t>
      </w:r>
      <w:r w:rsidR="001E28B5">
        <w:rPr>
          <w:noProof/>
        </w:rPr>
        <w:t>3</w:t>
      </w:r>
      <w:r w:rsidR="006F4E6D">
        <w:fldChar w:fldCharType="end"/>
      </w:r>
      <w:r w:rsidR="00A704CF">
        <w:t>)</w:t>
      </w:r>
      <w:r w:rsidR="007E2B1B">
        <w:t>.</w:t>
      </w:r>
    </w:p>
    <w:p w14:paraId="1EABC28C" w14:textId="29A2A0CE" w:rsidR="00A704CF" w:rsidRDefault="00A704CF" w:rsidP="00A704CF">
      <w:pPr>
        <w:pStyle w:val="Caption"/>
        <w:tabs>
          <w:tab w:val="center" w:pos="5040"/>
        </w:tabs>
      </w:pPr>
      <w:bookmarkStart w:id="5" w:name="_Ref138581472"/>
      <w:r>
        <w:t xml:space="preserve">Equation </w:t>
      </w:r>
      <w:r>
        <w:rPr>
          <w:noProof/>
        </w:rPr>
        <w:fldChar w:fldCharType="begin"/>
      </w:r>
      <w:r>
        <w:rPr>
          <w:noProof/>
        </w:rPr>
        <w:instrText xml:space="preserve"> SEQ Equation \* ARABIC </w:instrText>
      </w:r>
      <w:r>
        <w:rPr>
          <w:noProof/>
        </w:rPr>
        <w:fldChar w:fldCharType="separate"/>
      </w:r>
      <w:r w:rsidR="001E28B5">
        <w:rPr>
          <w:noProof/>
        </w:rPr>
        <w:t>3</w:t>
      </w:r>
      <w:r>
        <w:rPr>
          <w:noProof/>
        </w:rPr>
        <w:fldChar w:fldCharType="end"/>
      </w:r>
      <w:bookmarkEnd w:id="5"/>
      <w:r>
        <w:tab/>
      </w:r>
      <m:oMath>
        <m:r>
          <m:rPr>
            <m:sty m:val="bi"/>
          </m:rPr>
          <w:rPr>
            <w:rFonts w:ascii="Cambria Math" w:hAnsi="Cambria Math"/>
          </w:rPr>
          <m:t>Expected supply= Supply source 1+Supply source 2+Supply source 3…</m:t>
        </m:r>
      </m:oMath>
    </w:p>
    <w:p w14:paraId="47BC5B8B" w14:textId="772D8551" w:rsidR="00A704CF" w:rsidRDefault="006F4E6D" w:rsidP="00977D16">
      <w:r>
        <w:t>To estimate the supply from each source we</w:t>
      </w:r>
      <w:r w:rsidR="00A704CF">
        <w:t xml:space="preserve"> use the </w:t>
      </w:r>
      <w:r w:rsidR="007E2B1B">
        <w:t xml:space="preserve">indicators defined in the document </w:t>
      </w:r>
      <w:r w:rsidR="00A704CF">
        <w:t>“</w:t>
      </w:r>
      <w:r w:rsidR="007E2B1B" w:rsidRPr="001F0754">
        <w:rPr>
          <w:i/>
        </w:rPr>
        <w:t>Methodology 1. User-oriented</w:t>
      </w:r>
      <w:r w:rsidR="00A704CF" w:rsidRPr="001F0754">
        <w:rPr>
          <w:i/>
        </w:rPr>
        <w:t xml:space="preserve"> drought indicators in California</w:t>
      </w:r>
      <w:r w:rsidR="00A704CF">
        <w:t>”</w:t>
      </w:r>
      <w:r>
        <w:t xml:space="preserve">. As shown </w:t>
      </w:r>
      <w:r w:rsidR="001F0754">
        <w:t>in that document</w:t>
      </w:r>
      <w:r>
        <w:t>, we can</w:t>
      </w:r>
      <w:r w:rsidR="00A704CF">
        <w:t xml:space="preserve"> estimate surface water supplies from local sources and from imports</w:t>
      </w:r>
      <w:r>
        <w:t xml:space="preserve"> using the Surface Water Drought Indicator (SWDI)</w:t>
      </w:r>
      <w:r w:rsidR="00A704CF">
        <w:t>, as well as groundwater supplies. As we will show in the case studies below, we need to assign some priority to the water supply sources (usually surface supplies would be used first), and also define how the supply sources that are used as back up source adapt to the primary sources—in our case, how groundwater is used to mitigate surface water shortages.</w:t>
      </w:r>
      <w:r>
        <w:t xml:space="preserve"> Specifically, to obtain </w:t>
      </w:r>
      <w:r w:rsidR="00335BBA">
        <w:t>groundwater supplies we calibrate the model by using actual surface supplies (the less surface supplies the more groundwater is needed to mitigate the shortage) and the groundwater indicator.</w:t>
      </w:r>
    </w:p>
    <w:p w14:paraId="5539DCD4" w14:textId="0359D1F3" w:rsidR="00A704CF" w:rsidRDefault="006F4E6D" w:rsidP="00977D16">
      <w:r>
        <w:t>Fin</w:t>
      </w:r>
      <w:r w:rsidR="00335BBA">
        <w:t xml:space="preserve">ally, if groundwater pumping is not limited, we are not going to see any supply shortage, and it is not clear how drought is limiting water availability. In California, this has happened in many basins resulting in significant groundwater depletion, which caused wells to go dry, land subsidence and other important problems </w:t>
      </w:r>
      <w:r w:rsidR="00335BBA">
        <w:fldChar w:fldCharType="begin"/>
      </w:r>
      <w:r w:rsidR="00335BBA">
        <w:instrText xml:space="preserve"> ADDIN ZOTERO_ITEM CSL_CITATION {"citationID":"TYdqSDdl","properties":{"formattedCitation":"(Hanak et al., 2019)","plainCitation":"(Hanak et al., 2019)","noteIndex":0},"citationItems":[{"id":8,"uris":["http://zotero.org/users/local/zvpmpIAu/items/IAUXV5PV"],"itemData":{"id":8,"type":"article-journal","container-title":"Public Policy Institute of California","journalAbbreviation":"Public Policy Institute of California","title":"Water and the future of the San Joaquin Valley","volume":"100","author":[{"family":"Hanak","given":"Ellen"},{"family":"Escriva-Bou","given":"Alvar"},{"family":"Gray","given":"Brian"},{"family":"Green","given":"Sarge"},{"family":"Harter","given":"Thomas"},{"family":"Jezdimirovic","given":"Jelena"},{"family":"Lund","given":"Jay"},{"family":"Medellín-Azuara","given":"Josué"},{"family":"Moyle","given":"Peter"},{"family":"Seavy","given":"Nathaniel"}],"issued":{"date-parts":[["2019"]]}}}],"schema":"https://github.com/citation-style-language/schema/raw/master/csl-citation.json"} </w:instrText>
      </w:r>
      <w:r w:rsidR="00335BBA">
        <w:fldChar w:fldCharType="separate"/>
      </w:r>
      <w:r w:rsidR="00335BBA">
        <w:rPr>
          <w:noProof/>
        </w:rPr>
        <w:t>(Hanak et al., 2019)</w:t>
      </w:r>
      <w:r w:rsidR="00335BBA">
        <w:fldChar w:fldCharType="end"/>
      </w:r>
      <w:r w:rsidR="00335BBA">
        <w:t>.</w:t>
      </w:r>
      <w:r w:rsidR="001F0754">
        <w:t xml:space="preserve"> To account for this fact, we obtain how much of the groundwater pumping is causing groundwater overdraft, and the unsustainable groundwater use will be added to the shortages. As we show below, we </w:t>
      </w:r>
      <w:r w:rsidR="00627948">
        <w:t>obtain a</w:t>
      </w:r>
      <w:r w:rsidR="001F0754">
        <w:t xml:space="preserve"> linear regression of annual pumping and groundwater level changes to obtain the “sustainable pumping”.</w:t>
      </w:r>
    </w:p>
    <w:p w14:paraId="49B48B68" w14:textId="234FDB0D" w:rsidR="000737A0" w:rsidRDefault="000737A0" w:rsidP="00977D16">
      <w:r>
        <w:t>Once we obtain estimated shortages, we can obtain a system drought indicator based on the probability of these shortages—using the same percentile-based approach we before</w:t>
      </w:r>
      <w:r w:rsidR="00C001AC">
        <w:t>.</w:t>
      </w:r>
    </w:p>
    <w:p w14:paraId="1FE4DD1B" w14:textId="10CEC030" w:rsidR="001F0754" w:rsidRDefault="001F0754" w:rsidP="00F315C3">
      <w:pPr>
        <w:pStyle w:val="Heading1"/>
      </w:pPr>
      <w:r>
        <w:t>System drought indicator for the San Joaquin River hydrologic region</w:t>
      </w:r>
    </w:p>
    <w:p w14:paraId="2808A4D3" w14:textId="210307BA" w:rsidR="00627948" w:rsidRDefault="001F0754" w:rsidP="00627948">
      <w:r>
        <w:t xml:space="preserve">In this section we describe in more detail how we apply this methodology </w:t>
      </w:r>
      <w:r w:rsidR="000737A0">
        <w:t xml:space="preserve">to </w:t>
      </w:r>
      <w:r>
        <w:t>the San Joaquin River hydrologic region (SJR).</w:t>
      </w:r>
      <w:r w:rsidR="00627948">
        <w:t xml:space="preserve"> The SJR is located in central California (</w:t>
      </w:r>
      <w:r w:rsidR="00627948">
        <w:fldChar w:fldCharType="begin"/>
      </w:r>
      <w:r w:rsidR="00627948">
        <w:instrText xml:space="preserve"> REF _Ref138608244 \h </w:instrText>
      </w:r>
      <w:r w:rsidR="00627948">
        <w:fldChar w:fldCharType="separate"/>
      </w:r>
      <w:r w:rsidR="001E28B5" w:rsidRPr="002B398A">
        <w:t xml:space="preserve">Figure </w:t>
      </w:r>
      <w:r w:rsidR="001E28B5">
        <w:rPr>
          <w:noProof/>
        </w:rPr>
        <w:t>1</w:t>
      </w:r>
      <w:r w:rsidR="00627948">
        <w:fldChar w:fldCharType="end"/>
      </w:r>
      <w:r w:rsidR="00627948">
        <w:t>), and it’s one of the most important agricultural regions of the state.</w:t>
      </w:r>
    </w:p>
    <w:p w14:paraId="764DB386" w14:textId="306741D3" w:rsidR="00C001AC" w:rsidRDefault="00C001AC" w:rsidP="00627948">
      <w:commentRangeStart w:id="6"/>
      <w:r>
        <w:t>We first obtain the supply portfolio, and then we show what indicators we used…</w:t>
      </w:r>
      <w:commentRangeEnd w:id="6"/>
      <w:r>
        <w:rPr>
          <w:rStyle w:val="CommentReference"/>
        </w:rPr>
        <w:commentReference w:id="6"/>
      </w:r>
    </w:p>
    <w:p w14:paraId="324CFDE9" w14:textId="7565D63E" w:rsidR="00627948" w:rsidRPr="002B398A" w:rsidRDefault="00627948" w:rsidP="00627948">
      <w:pPr>
        <w:pStyle w:val="Caption"/>
      </w:pPr>
      <w:bookmarkStart w:id="7" w:name="_Ref138608244"/>
      <w:r w:rsidRPr="002B398A">
        <w:lastRenderedPageBreak/>
        <w:t xml:space="preserve">Figure </w:t>
      </w:r>
      <w:fldSimple w:instr=" SEQ Figure \* ARABIC ">
        <w:r w:rsidR="001E28B5">
          <w:rPr>
            <w:noProof/>
          </w:rPr>
          <w:t>1</w:t>
        </w:r>
      </w:fldSimple>
      <w:bookmarkEnd w:id="7"/>
      <w:r>
        <w:t>: Localization of the San Joaquin River hydrologic region</w:t>
      </w:r>
    </w:p>
    <w:p w14:paraId="4EB59C1A" w14:textId="77777777" w:rsidR="00627948" w:rsidRDefault="00627948" w:rsidP="00627948">
      <w:r w:rsidRPr="00F74ECE">
        <w:rPr>
          <w:noProof/>
        </w:rPr>
        <w:drawing>
          <wp:inline distT="0" distB="0" distL="0" distR="0" wp14:anchorId="2F42589A" wp14:editId="1F4DCFFC">
            <wp:extent cx="3962400" cy="4295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5692" cy="4331654"/>
                    </a:xfrm>
                    <a:prstGeom prst="rect">
                      <a:avLst/>
                    </a:prstGeom>
                  </pic:spPr>
                </pic:pic>
              </a:graphicData>
            </a:graphic>
          </wp:inline>
        </w:drawing>
      </w:r>
    </w:p>
    <w:p w14:paraId="28325DB9" w14:textId="5AA9BFD3" w:rsidR="00627948" w:rsidRDefault="00A37016" w:rsidP="00627948">
      <w:pPr>
        <w:pStyle w:val="Caption"/>
        <w:spacing w:before="0"/>
      </w:pPr>
      <w:r>
        <w:t>Notes</w:t>
      </w:r>
      <w:r w:rsidR="00627948">
        <w:t xml:space="preserve">: </w:t>
      </w:r>
      <w:r w:rsidR="00627948" w:rsidRPr="00781F75">
        <w:rPr>
          <w:b w:val="0"/>
        </w:rPr>
        <w:t>California Department of Water Resources, California’s Groundwater Update 2013</w:t>
      </w:r>
    </w:p>
    <w:p w14:paraId="6B2F6ECD" w14:textId="77777777" w:rsidR="00C001AC" w:rsidRPr="00C6352C" w:rsidRDefault="00C001AC" w:rsidP="00C001AC">
      <w:pPr>
        <w:pStyle w:val="Heading2"/>
      </w:pPr>
      <w:r w:rsidRPr="00C6352C">
        <w:t>Water portfolio of the San Joaquin River hydrologic region</w:t>
      </w:r>
    </w:p>
    <w:p w14:paraId="6EA3051F" w14:textId="3C270844" w:rsidR="00C001AC" w:rsidRDefault="00C001AC" w:rsidP="00C001AC">
      <w:r>
        <w:t xml:space="preserve">We use data from the California’s Department of Water Resources Water Data Portfolios </w:t>
      </w:r>
      <w:r>
        <w:fldChar w:fldCharType="begin"/>
      </w:r>
      <w:r w:rsidR="004145BA">
        <w:instrText xml:space="preserve"> ADDIN ZOTERO_ITEM CSL_CITATION {"citationID":"rxeW2VAE","properties":{"formattedCitation":"(California Department of Water Resources, n.d.)","plainCitation":"(California Department of Water Resources, n.d.)","noteIndex":0},"citationItems":[{"id":9,"uris":["http://zotero.org/users/local/zvpmpIAu/items/223ZPKSE"],"itemData":{"id":9,"type":"webpage","abstract":"The California Water Plan provides an accounting of all water that enters and leaves the state and how it is used and exchanged between the regions. This is important to all water planning activities. Water portfolio data provides information for comparison about how water uses and sources of supply can vary between wet, average, and dry hydrologic conditions for each of the California hydrologic regions.","language":"en","title":"Water Data Portfolios","URL":"https://water.ca.gov/Programs/California-Water-Plan/Water-Portfolios","author":[{"family":"California Department of Water Resources","given":""}],"accessed":{"date-parts":[["2023",6,23]]}}}],"schema":"https://github.com/citation-style-language/schema/raw/master/csl-citation.json"} </w:instrText>
      </w:r>
      <w:r>
        <w:fldChar w:fldCharType="separate"/>
      </w:r>
      <w:r>
        <w:rPr>
          <w:noProof/>
        </w:rPr>
        <w:t>(California Department of Water Resources, n.d.)</w:t>
      </w:r>
      <w:r>
        <w:fldChar w:fldCharType="end"/>
      </w:r>
      <w:r>
        <w:t xml:space="preserve"> to obtain the supply portfolio for the 2002-19 period.</w:t>
      </w:r>
      <w:r>
        <w:rPr>
          <w:rStyle w:val="FootnoteReference"/>
        </w:rPr>
        <w:footnoteReference w:id="1"/>
      </w:r>
      <w:r>
        <w:t xml:space="preserve"> The data provided by DWR focuses on the type of supply provider, differentiating between water supplied by local suppliers from local sources, federal supplies (the Central Valley Project, or CVP), state supplies (State Water Project, or SWP), groundwater pumping, and categories that are not relevant in the SJR</w:t>
      </w:r>
      <w:r w:rsidR="00487F80">
        <w:t xml:space="preserve"> (</w:t>
      </w:r>
      <w:r w:rsidR="00487F80">
        <w:fldChar w:fldCharType="begin"/>
      </w:r>
      <w:r w:rsidR="00487F80">
        <w:instrText xml:space="preserve"> REF _Ref138434049 \h </w:instrText>
      </w:r>
      <w:r w:rsidR="00487F80">
        <w:fldChar w:fldCharType="separate"/>
      </w:r>
      <w:r w:rsidR="001E28B5" w:rsidRPr="007962DB">
        <w:t xml:space="preserve">Figure </w:t>
      </w:r>
      <w:r w:rsidR="001E28B5">
        <w:rPr>
          <w:noProof/>
        </w:rPr>
        <w:t>2</w:t>
      </w:r>
      <w:r w:rsidR="00487F80">
        <w:fldChar w:fldCharType="end"/>
      </w:r>
      <w:r w:rsidR="00487F80">
        <w:t xml:space="preserve"> top panel)</w:t>
      </w:r>
      <w:r>
        <w:t>.</w:t>
      </w:r>
    </w:p>
    <w:p w14:paraId="15BAAF0D" w14:textId="5805ACD4" w:rsidR="00C001AC" w:rsidRDefault="00C001AC" w:rsidP="00C001AC">
      <w:r>
        <w:t xml:space="preserve">An important part of the CVP supplies and all of the SWP supplies in the valley come from exports from the Delta, which rely on water storage and flows not only from the SJR, but also importantly from the Sacramento River hydrologic region </w:t>
      </w:r>
      <w:r>
        <w:fldChar w:fldCharType="begin"/>
      </w:r>
      <w:r>
        <w:instrText xml:space="preserve"> ADDIN ZOTERO_ITEM CSL_CITATION {"citationID":"Q2b7a0b0","properties":{"formattedCitation":"(Gartrell et al., 2017)","plainCitation":"(Gartrell et al., 2017)","noteIndex":0},"citationItems":[{"id":13,"uris":["http://zotero.org/users/local/zvpmpIAu/items/ZN4QJQE5"],"itemData":{"id":13,"type":"article-journal","container-title":"Public Policy Institute of California","journalAbbreviation":"Public Policy Institute of California","title":"A new approach to accounting for environmental water","author":[{"family":"Gartrell","given":"Greg"},{"family":"Mount","given":"Jeffrey"},{"family":"Hanak","given":"Ellen"},{"family":"Gray","given":"Brian"}],"issued":{"date-parts":[["2017"]]}}}],"schema":"https://github.com/citation-style-language/schema/raw/master/csl-citation.json"} </w:instrText>
      </w:r>
      <w:r>
        <w:fldChar w:fldCharType="separate"/>
      </w:r>
      <w:r>
        <w:rPr>
          <w:noProof/>
        </w:rPr>
        <w:t>(Gartrell et al., 2017)</w:t>
      </w:r>
      <w:r>
        <w:fldChar w:fldCharType="end"/>
      </w:r>
      <w:r>
        <w:t xml:space="preserve">. But some CVP supplies also come from local reservoirs. Therefore, we used additional data </w:t>
      </w:r>
      <w:r w:rsidR="00487F80">
        <w:t xml:space="preserve">for </w:t>
      </w:r>
      <w:hyperlink r:id="rId12" w:history="1">
        <w:r w:rsidR="00487F80" w:rsidRPr="00487F80">
          <w:rPr>
            <w:rStyle w:val="Hyperlink"/>
          </w:rPr>
          <w:t xml:space="preserve">CVP deliveries </w:t>
        </w:r>
        <w:r w:rsidRPr="00487F80">
          <w:rPr>
            <w:rStyle w:val="Hyperlink"/>
          </w:rPr>
          <w:t xml:space="preserve">from </w:t>
        </w:r>
        <w:r w:rsidR="00487F80" w:rsidRPr="00487F80">
          <w:rPr>
            <w:rStyle w:val="Hyperlink"/>
          </w:rPr>
          <w:t>the USBR</w:t>
        </w:r>
      </w:hyperlink>
      <w:r w:rsidR="00487F80">
        <w:t xml:space="preserve"> </w:t>
      </w:r>
      <w:r>
        <w:t>to separate</w:t>
      </w:r>
      <w:r w:rsidR="0082273F">
        <w:t xml:space="preserve"> DWR’s</w:t>
      </w:r>
      <w:r>
        <w:t xml:space="preserve"> federal sources </w:t>
      </w:r>
      <w:r w:rsidR="00487F80">
        <w:t>imported through the Delta from local sources (</w:t>
      </w:r>
      <w:r w:rsidR="00487F80">
        <w:fldChar w:fldCharType="begin"/>
      </w:r>
      <w:r w:rsidR="00487F80">
        <w:instrText xml:space="preserve"> REF _Ref138434049 \h </w:instrText>
      </w:r>
      <w:r w:rsidR="00487F80">
        <w:fldChar w:fldCharType="separate"/>
      </w:r>
      <w:r w:rsidR="001E28B5" w:rsidRPr="007962DB">
        <w:t xml:space="preserve">Figure </w:t>
      </w:r>
      <w:r w:rsidR="001E28B5">
        <w:rPr>
          <w:noProof/>
        </w:rPr>
        <w:t>2</w:t>
      </w:r>
      <w:r w:rsidR="00487F80">
        <w:fldChar w:fldCharType="end"/>
      </w:r>
      <w:r w:rsidR="00487F80">
        <w:t xml:space="preserve"> bottom panel).</w:t>
      </w:r>
    </w:p>
    <w:p w14:paraId="7F48B9C7" w14:textId="77777777" w:rsidR="00C001AC" w:rsidRDefault="00C001AC" w:rsidP="00C001AC"/>
    <w:p w14:paraId="240C05B3" w14:textId="7BC28D77" w:rsidR="00C001AC" w:rsidRPr="007962DB" w:rsidRDefault="00C001AC" w:rsidP="00C001AC">
      <w:pPr>
        <w:pStyle w:val="Caption"/>
      </w:pPr>
      <w:bookmarkStart w:id="8" w:name="_Ref138434049"/>
      <w:bookmarkStart w:id="9" w:name="OLE_LINK1"/>
      <w:bookmarkStart w:id="10" w:name="OLE_LINK2"/>
      <w:r w:rsidRPr="007962DB">
        <w:lastRenderedPageBreak/>
        <w:t xml:space="preserve">Figure </w:t>
      </w:r>
      <w:fldSimple w:instr=" SEQ Figure \* ARABIC ">
        <w:r w:rsidR="001E28B5">
          <w:rPr>
            <w:noProof/>
          </w:rPr>
          <w:t>2</w:t>
        </w:r>
      </w:fldSimple>
      <w:bookmarkEnd w:id="8"/>
      <w:r w:rsidRPr="007962DB">
        <w:t xml:space="preserve">. </w:t>
      </w:r>
      <w:r>
        <w:t>Water supply portfolio by supply provider (top panel) and by water source (bottom panel) for the San Joaquin River hydrologic region</w:t>
      </w:r>
    </w:p>
    <w:p w14:paraId="7C4367FC" w14:textId="77777777" w:rsidR="00C001AC" w:rsidRDefault="00C001AC" w:rsidP="00C001AC">
      <w:r>
        <w:rPr>
          <w:noProof/>
        </w:rPr>
        <w:drawing>
          <wp:inline distT="0" distB="0" distL="0" distR="0" wp14:anchorId="1A9B3491" wp14:editId="3D4A5631">
            <wp:extent cx="5943600" cy="2728595"/>
            <wp:effectExtent l="0" t="0" r="0" b="1905"/>
            <wp:docPr id="8" name="Chart 8">
              <a:extLst xmlns:a="http://schemas.openxmlformats.org/drawingml/2006/main">
                <a:ext uri="{FF2B5EF4-FFF2-40B4-BE49-F238E27FC236}">
                  <a16:creationId xmlns:a16="http://schemas.microsoft.com/office/drawing/2014/main" id="{1B73F6F4-0896-4848-B9B2-C4A72BAB2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F92515" w14:textId="77777777" w:rsidR="00C001AC" w:rsidRDefault="00C001AC" w:rsidP="00C001AC">
      <w:r>
        <w:rPr>
          <w:noProof/>
        </w:rPr>
        <w:drawing>
          <wp:inline distT="0" distB="0" distL="0" distR="0" wp14:anchorId="5A8418AE" wp14:editId="2B359FE8">
            <wp:extent cx="5943600" cy="2728595"/>
            <wp:effectExtent l="0" t="0" r="0" b="1905"/>
            <wp:docPr id="9" name="Chart 9">
              <a:extLst xmlns:a="http://schemas.openxmlformats.org/drawingml/2006/main">
                <a:ext uri="{FF2B5EF4-FFF2-40B4-BE49-F238E27FC236}">
                  <a16:creationId xmlns:a16="http://schemas.microsoft.com/office/drawing/2014/main" id="{A73217D7-5EC5-924D-B042-9BB3C4AAF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1107E42" w14:textId="77777777" w:rsidR="00C001AC" w:rsidRDefault="00C001AC" w:rsidP="00C001AC">
      <w:pPr>
        <w:pStyle w:val="Caption"/>
        <w:spacing w:after="0"/>
      </w:pPr>
      <w:r>
        <w:t xml:space="preserve">Source: </w:t>
      </w:r>
      <w:r w:rsidRPr="002B398A">
        <w:rPr>
          <w:b w:val="0"/>
        </w:rPr>
        <w:t xml:space="preserve">Developed by the authors using </w:t>
      </w:r>
      <w:r>
        <w:rPr>
          <w:b w:val="0"/>
        </w:rPr>
        <w:t>data from DWR’s Water Data Portfolios</w:t>
      </w:r>
    </w:p>
    <w:p w14:paraId="60C86578" w14:textId="2AAC719C" w:rsidR="00C001AC" w:rsidRDefault="00C001AC" w:rsidP="00C001AC">
      <w:pPr>
        <w:pStyle w:val="Caption"/>
        <w:spacing w:before="0"/>
      </w:pPr>
      <w:r>
        <w:t xml:space="preserve">Notes: </w:t>
      </w:r>
      <w:r w:rsidR="00487F80">
        <w:rPr>
          <w:b w:val="0"/>
        </w:rPr>
        <w:t>Top panel: A</w:t>
      </w:r>
      <w:r>
        <w:rPr>
          <w:b w:val="0"/>
        </w:rPr>
        <w:t>s we only focus on direct supplies, we didn’t consider return flows and reuse. We also removed minor sources of water for the San Joaquin River hydrologic region. Local supplies refer to supplies developed by local utilities, federal to the Central Valley Project supplies including imports from the Delta and supplies from local sources in the valley, and SWP refers to the State Water project.</w:t>
      </w:r>
      <w:r w:rsidR="00487F80">
        <w:rPr>
          <w:b w:val="0"/>
        </w:rPr>
        <w:t xml:space="preserve"> Bottom panel: </w:t>
      </w:r>
      <w:r w:rsidR="0082273F">
        <w:rPr>
          <w:b w:val="0"/>
        </w:rPr>
        <w:t xml:space="preserve">Local sources include CVP </w:t>
      </w:r>
      <w:r w:rsidR="0002148B">
        <w:rPr>
          <w:b w:val="0"/>
        </w:rPr>
        <w:t>deliveries from the Madera Canal and Mil</w:t>
      </w:r>
      <w:r w:rsidR="009F7703">
        <w:rPr>
          <w:b w:val="0"/>
        </w:rPr>
        <w:t>l</w:t>
      </w:r>
      <w:r w:rsidR="0002148B">
        <w:rPr>
          <w:b w:val="0"/>
        </w:rPr>
        <w:t>erton Lake Branch, as well as deliveries from the Friant-Kern Canal, while imports include the remaining federal supplies plus the deliveries from the SWP.</w:t>
      </w:r>
    </w:p>
    <w:bookmarkEnd w:id="9"/>
    <w:bookmarkEnd w:id="10"/>
    <w:p w14:paraId="13FF2F41" w14:textId="0CDB11A9" w:rsidR="00487F80" w:rsidRDefault="00487F80" w:rsidP="00487F80">
      <w:r>
        <w:t xml:space="preserve">As </w:t>
      </w:r>
      <w:r>
        <w:fldChar w:fldCharType="begin"/>
      </w:r>
      <w:r>
        <w:instrText xml:space="preserve"> REF _Ref138434049 \h </w:instrText>
      </w:r>
      <w:r>
        <w:fldChar w:fldCharType="separate"/>
      </w:r>
      <w:r w:rsidR="001E28B5" w:rsidRPr="007962DB">
        <w:t xml:space="preserve">Figure </w:t>
      </w:r>
      <w:r w:rsidR="001E28B5">
        <w:rPr>
          <w:noProof/>
        </w:rPr>
        <w:t>2</w:t>
      </w:r>
      <w:r>
        <w:fldChar w:fldCharType="end"/>
      </w:r>
      <w:r>
        <w:t xml:space="preserve"> shows, total supplies vary significantly across years. The variability in total supplies comes especially from three different factors. First, during wet years (like 2011 or 2019) water availability in soils during the growing season increase, decreasing demands from external supplies. Second, higher temperatures (and other effects) increase evapotranspiration, raising </w:t>
      </w:r>
      <w:r>
        <w:lastRenderedPageBreak/>
        <w:t>water demands. Climate change is making this effect more and more important recently, although there is still some interannual variability.</w:t>
      </w:r>
      <w:r w:rsidR="0002148B">
        <w:t xml:space="preserve"> The assessment of the demand anomalies is trying to capture these two effects at least partially.</w:t>
      </w:r>
      <w:r>
        <w:t xml:space="preserve"> Finally, </w:t>
      </w:r>
      <w:r w:rsidR="0002148B">
        <w:t xml:space="preserve">the third factor that affects overall supplies is that </w:t>
      </w:r>
      <w:r>
        <w:t xml:space="preserve">droughts reduce overall water availability, reducing total supplies. This was </w:t>
      </w:r>
      <w:r w:rsidR="0002148B">
        <w:t xml:space="preserve">especially </w:t>
      </w:r>
      <w:r>
        <w:t>relevant</w:t>
      </w:r>
      <w:r w:rsidR="0002148B">
        <w:t xml:space="preserve"> in 2014 and 2015.</w:t>
      </w:r>
    </w:p>
    <w:p w14:paraId="6E6D3438" w14:textId="0BEB5186" w:rsidR="0002148B" w:rsidRDefault="0002148B" w:rsidP="00487F80">
      <w:r>
        <w:t>But even more relevant the variability of total supplies is the variability for each of the supply sources. Surface supplies, both from local reservoirs and from imports, decline significantly during droughts—see 2014 and 2015 as the most relevant example—while groundwater pumping increases to mitigate these shortages.</w:t>
      </w:r>
    </w:p>
    <w:p w14:paraId="0161B1E4" w14:textId="316371D3" w:rsidR="0002148B" w:rsidRPr="00C6352C" w:rsidRDefault="0002148B" w:rsidP="0002148B">
      <w:pPr>
        <w:pStyle w:val="Heading2"/>
      </w:pPr>
      <w:r>
        <w:t xml:space="preserve">Estimating </w:t>
      </w:r>
      <w:r w:rsidR="006417ED">
        <w:t>supplies, demands and shortages</w:t>
      </w:r>
    </w:p>
    <w:p w14:paraId="2EF3A635" w14:textId="378E70B6" w:rsidR="00C6352C" w:rsidRDefault="00C6352C" w:rsidP="001F0754">
      <w:r>
        <w:t>As described earlier, we obtain estimated supplies from each water source based on the drought indicators, but we also account for changes in demands, and for unsustainable groundwater use to obtain the system indicator</w:t>
      </w:r>
      <w:r w:rsidR="000737A0">
        <w:t xml:space="preserve"> (</w:t>
      </w:r>
      <w:r w:rsidR="000737A0">
        <w:fldChar w:fldCharType="begin"/>
      </w:r>
      <w:r w:rsidR="000737A0">
        <w:instrText xml:space="preserve"> REF _Ref138607279 \h </w:instrText>
      </w:r>
      <w:r w:rsidR="000737A0">
        <w:fldChar w:fldCharType="separate"/>
      </w:r>
      <w:r w:rsidR="001E28B5" w:rsidRPr="007962DB">
        <w:t xml:space="preserve">Figure </w:t>
      </w:r>
      <w:r w:rsidR="001E28B5">
        <w:rPr>
          <w:noProof/>
        </w:rPr>
        <w:t>3</w:t>
      </w:r>
      <w:r w:rsidR="000737A0">
        <w:fldChar w:fldCharType="end"/>
      </w:r>
      <w:r w:rsidR="000737A0">
        <w:t>)</w:t>
      </w:r>
      <w:r>
        <w:t>.</w:t>
      </w:r>
    </w:p>
    <w:p w14:paraId="7D7AAF59" w14:textId="3B89EAD9" w:rsidR="00C6352C" w:rsidRPr="007962DB" w:rsidRDefault="00C6352C" w:rsidP="00C6352C">
      <w:pPr>
        <w:pStyle w:val="Caption"/>
      </w:pPr>
      <w:bookmarkStart w:id="11" w:name="_Ref138607279"/>
      <w:r w:rsidRPr="007962DB">
        <w:t xml:space="preserve">Figure </w:t>
      </w:r>
      <w:fldSimple w:instr=" SEQ Figure \* ARABIC ">
        <w:r w:rsidR="001E28B5">
          <w:rPr>
            <w:noProof/>
          </w:rPr>
          <w:t>3</w:t>
        </w:r>
      </w:fldSimple>
      <w:bookmarkEnd w:id="11"/>
      <w:r w:rsidRPr="007962DB">
        <w:t xml:space="preserve">. </w:t>
      </w:r>
      <w:r w:rsidR="000737A0">
        <w:t>Drought indicators used to obtain the system drought indicator for the San Joaquin River hydrologic region</w:t>
      </w:r>
    </w:p>
    <w:p w14:paraId="043F727E" w14:textId="0EBE6B45" w:rsidR="00C6352C" w:rsidRDefault="008F4FEF" w:rsidP="00C6352C">
      <w:r w:rsidRPr="008F4FEF">
        <w:rPr>
          <w:noProof/>
        </w:rPr>
        <w:drawing>
          <wp:inline distT="0" distB="0" distL="0" distR="0" wp14:anchorId="3A25EA4B" wp14:editId="1B674FDF">
            <wp:extent cx="5943600" cy="271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9705"/>
                    </a:xfrm>
                    <a:prstGeom prst="rect">
                      <a:avLst/>
                    </a:prstGeom>
                  </pic:spPr>
                </pic:pic>
              </a:graphicData>
            </a:graphic>
          </wp:inline>
        </w:drawing>
      </w:r>
    </w:p>
    <w:p w14:paraId="2744897F" w14:textId="4ACDC079" w:rsidR="00C6352C" w:rsidRDefault="00A37016" w:rsidP="000737A0">
      <w:pPr>
        <w:pStyle w:val="Caption"/>
        <w:keepNext w:val="0"/>
        <w:spacing w:before="0"/>
      </w:pPr>
      <w:r>
        <w:t>Notes</w:t>
      </w:r>
      <w:r w:rsidR="00C6352C">
        <w:t xml:space="preserve">: </w:t>
      </w:r>
      <w:r w:rsidR="000737A0">
        <w:rPr>
          <w:b w:val="0"/>
        </w:rPr>
        <w:t>Developed by the authors</w:t>
      </w:r>
      <w:r w:rsidR="00C6352C">
        <w:rPr>
          <w:b w:val="0"/>
        </w:rPr>
        <w:t>.</w:t>
      </w:r>
    </w:p>
    <w:p w14:paraId="76E9530E" w14:textId="11D199A8" w:rsidR="004C762C" w:rsidRDefault="006417ED" w:rsidP="006417ED">
      <w:pPr>
        <w:pStyle w:val="Heading3"/>
      </w:pPr>
      <w:r>
        <w:t>Estimating supplies using drought indicators</w:t>
      </w:r>
    </w:p>
    <w:p w14:paraId="310070B6" w14:textId="3B7EFB72" w:rsidR="006417ED" w:rsidRDefault="006417ED" w:rsidP="006417ED">
      <w:pPr>
        <w:pStyle w:val="Heading4"/>
      </w:pPr>
      <w:r>
        <w:t>Local Surface Supplies</w:t>
      </w:r>
    </w:p>
    <w:p w14:paraId="271E570F" w14:textId="17D1D14F" w:rsidR="006417ED" w:rsidRDefault="006417ED" w:rsidP="006417ED">
      <w:r>
        <w:t>As we showed in the “</w:t>
      </w:r>
      <w:r w:rsidRPr="001F0754">
        <w:rPr>
          <w:i/>
        </w:rPr>
        <w:t>Methodology 1. User-oriented drought indicators in California</w:t>
      </w:r>
      <w:r>
        <w:t>”, surface supplies are correlated with the Surface Water Drought Indicator.</w:t>
      </w:r>
      <w:r w:rsidR="00256AB6">
        <w:t xml:space="preserve"> </w:t>
      </w:r>
      <w:r w:rsidR="00AA7167">
        <w:t xml:space="preserve">As </w:t>
      </w:r>
      <w:r w:rsidR="00AA7167">
        <w:fldChar w:fldCharType="begin"/>
      </w:r>
      <w:r w:rsidR="00AA7167">
        <w:instrText xml:space="preserve"> REF _Ref138622942 \h </w:instrText>
      </w:r>
      <w:r w:rsidR="00AA7167">
        <w:fldChar w:fldCharType="separate"/>
      </w:r>
      <w:r w:rsidR="001E28B5" w:rsidRPr="007962DB">
        <w:t xml:space="preserve">Figure </w:t>
      </w:r>
      <w:r w:rsidR="001E28B5">
        <w:rPr>
          <w:noProof/>
        </w:rPr>
        <w:t>4</w:t>
      </w:r>
      <w:r w:rsidR="00AA7167">
        <w:fldChar w:fldCharType="end"/>
      </w:r>
      <w:r w:rsidR="00AA7167">
        <w:t xml:space="preserve"> shows, the relationship is roughly linear for dryer years, while above the median (percentile </w:t>
      </w:r>
      <w:proofErr w:type="gramStart"/>
      <w:r w:rsidR="00AA7167">
        <w:t>=  0.5</w:t>
      </w:r>
      <w:proofErr w:type="gramEnd"/>
      <w:r w:rsidR="00AA7167">
        <w:t>) it plateaus, even declining a little for the wetter years. This might be explained because during wet years, precipitation directly helps maintaining soil moisture, reducing the need for additional irrigation in some parts of the year.</w:t>
      </w:r>
    </w:p>
    <w:p w14:paraId="211F62A3" w14:textId="77777777" w:rsidR="00AA7167" w:rsidRPr="006417ED" w:rsidRDefault="00AA7167" w:rsidP="006417ED"/>
    <w:p w14:paraId="1AB353E5" w14:textId="37712A6F" w:rsidR="00AA7167" w:rsidRPr="007962DB" w:rsidRDefault="00AA7167" w:rsidP="00AA7167">
      <w:pPr>
        <w:pStyle w:val="Caption"/>
      </w:pPr>
      <w:bookmarkStart w:id="12" w:name="_Ref138622942"/>
      <w:bookmarkStart w:id="13" w:name="OLE_LINK3"/>
      <w:bookmarkStart w:id="14" w:name="OLE_LINK4"/>
      <w:bookmarkStart w:id="15" w:name="OLE_LINK5"/>
      <w:r w:rsidRPr="007962DB">
        <w:lastRenderedPageBreak/>
        <w:t xml:space="preserve">Figure </w:t>
      </w:r>
      <w:fldSimple w:instr=" SEQ Figure \* ARABIC ">
        <w:r w:rsidR="001E28B5">
          <w:rPr>
            <w:noProof/>
          </w:rPr>
          <w:t>4</w:t>
        </w:r>
      </w:fldSimple>
      <w:bookmarkEnd w:id="12"/>
      <w:r w:rsidRPr="007962DB">
        <w:t xml:space="preserve">. </w:t>
      </w:r>
      <w:r>
        <w:t>Relationship between local surface deliveries in the SJR and the Surface Water Drought Indicator</w:t>
      </w:r>
    </w:p>
    <w:p w14:paraId="42699CCE" w14:textId="310300E8" w:rsidR="00AA7167" w:rsidRDefault="00AA7167" w:rsidP="00AA7167">
      <w:r>
        <w:rPr>
          <w:noProof/>
        </w:rPr>
        <w:drawing>
          <wp:inline distT="0" distB="0" distL="0" distR="0" wp14:anchorId="5B46A011" wp14:editId="609F119C">
            <wp:extent cx="5630333" cy="2743200"/>
            <wp:effectExtent l="0" t="0" r="0" b="0"/>
            <wp:docPr id="1" name="Chart 1">
              <a:extLst xmlns:a="http://schemas.openxmlformats.org/drawingml/2006/main">
                <a:ext uri="{FF2B5EF4-FFF2-40B4-BE49-F238E27FC236}">
                  <a16:creationId xmlns:a16="http://schemas.microsoft.com/office/drawing/2014/main" id="{7A0BF295-6908-684C-B4C1-B725ECE914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B15D2E" w14:textId="1B4B1648" w:rsidR="00AA7167" w:rsidRDefault="00AA7167" w:rsidP="00AA7167">
      <w:pPr>
        <w:pStyle w:val="Caption"/>
        <w:spacing w:after="0"/>
      </w:pPr>
      <w:r>
        <w:t xml:space="preserve">Source: </w:t>
      </w:r>
      <w:r w:rsidRPr="002B398A">
        <w:rPr>
          <w:b w:val="0"/>
        </w:rPr>
        <w:t xml:space="preserve">Developed by the authors using </w:t>
      </w:r>
      <w:r>
        <w:rPr>
          <w:b w:val="0"/>
        </w:rPr>
        <w:t>the results of the SWDI and data from DWR’s Water Data Portfolios (updated with CVP data) for the local surface supplies. Data is for the water years 2002-19, excluding 2017.</w:t>
      </w:r>
    </w:p>
    <w:p w14:paraId="77509F73" w14:textId="3C0D00A8" w:rsidR="00AA7167" w:rsidRDefault="00AA7167" w:rsidP="00AA7167">
      <w:pPr>
        <w:pStyle w:val="Caption"/>
        <w:spacing w:before="0"/>
        <w:rPr>
          <w:b w:val="0"/>
        </w:rPr>
      </w:pPr>
      <w:r>
        <w:t xml:space="preserve">Notes: </w:t>
      </w:r>
      <w:r>
        <w:rPr>
          <w:b w:val="0"/>
        </w:rPr>
        <w:t>The x-axis (SWDI) shows the average of the monthly SWDI over the water year, while the y-axis presents the surface deliveries over the water year.</w:t>
      </w:r>
    </w:p>
    <w:bookmarkEnd w:id="13"/>
    <w:bookmarkEnd w:id="14"/>
    <w:bookmarkEnd w:id="15"/>
    <w:p w14:paraId="7B8F386F" w14:textId="53FD8942" w:rsidR="00CE0419" w:rsidRDefault="00AA7167" w:rsidP="00AA7167">
      <w:r>
        <w:t>Using this relationship, we adjusted a regression with two variables</w:t>
      </w:r>
      <w:r w:rsidR="00CE0419">
        <w:t>—SWDI and the logarithm of SWDI—that help fitting the non-linear relationship. For the 2002-19 period, we obtain a coefficient of determination</w:t>
      </w:r>
      <w:r w:rsidR="006276AB">
        <w:t xml:space="preserve"> for the local surface supplies</w:t>
      </w:r>
      <w:r w:rsidR="00CE0419">
        <w:t>, R</w:t>
      </w:r>
      <w:r w:rsidR="00CE0419">
        <w:rPr>
          <w:vertAlign w:val="superscript"/>
        </w:rPr>
        <w:t>2</w:t>
      </w:r>
      <w:r w:rsidR="00CE0419">
        <w:t>, of 0.76.</w:t>
      </w:r>
      <w:r w:rsidR="001E28B5">
        <w:t xml:space="preserve"> </w:t>
      </w:r>
    </w:p>
    <w:p w14:paraId="6C55C05D" w14:textId="1B406A6E" w:rsidR="0018265B" w:rsidRPr="007962DB" w:rsidRDefault="0018265B" w:rsidP="0018265B">
      <w:pPr>
        <w:pStyle w:val="Caption"/>
      </w:pPr>
      <w:r w:rsidRPr="007962DB">
        <w:t xml:space="preserve">Figure </w:t>
      </w:r>
      <w:fldSimple w:instr=" SEQ Figure \* ARABIC ">
        <w:r w:rsidR="001E28B5">
          <w:rPr>
            <w:noProof/>
          </w:rPr>
          <w:t>5</w:t>
        </w:r>
      </w:fldSimple>
      <w:r w:rsidRPr="007962DB">
        <w:t xml:space="preserve">. </w:t>
      </w:r>
      <w:r w:rsidR="001E28B5">
        <w:t>Comparison of actual local surface deliveries and estimated local deliveries</w:t>
      </w:r>
    </w:p>
    <w:p w14:paraId="30C1A892" w14:textId="29C4CE7B" w:rsidR="0018265B" w:rsidRDefault="0018265B" w:rsidP="0018265B">
      <w:r>
        <w:rPr>
          <w:noProof/>
        </w:rPr>
        <w:drawing>
          <wp:inline distT="0" distB="0" distL="0" distR="0" wp14:anchorId="7E320AF6" wp14:editId="517381CF">
            <wp:extent cx="4572000" cy="2743200"/>
            <wp:effectExtent l="0" t="0" r="0" b="0"/>
            <wp:docPr id="17" name="Chart 17">
              <a:extLst xmlns:a="http://schemas.openxmlformats.org/drawingml/2006/main">
                <a:ext uri="{FF2B5EF4-FFF2-40B4-BE49-F238E27FC236}">
                  <a16:creationId xmlns:a16="http://schemas.microsoft.com/office/drawing/2014/main" id="{3C3ADCDC-F86C-2642-97FC-003B032577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6CBB63" w14:textId="6F76443D" w:rsidR="0018265B" w:rsidRPr="005B3721" w:rsidRDefault="00A37016" w:rsidP="001E28B5">
      <w:pPr>
        <w:pStyle w:val="Caption"/>
        <w:spacing w:before="0"/>
        <w:rPr>
          <w:b w:val="0"/>
        </w:rPr>
      </w:pPr>
      <w:r>
        <w:t>Notes</w:t>
      </w:r>
      <w:r w:rsidR="0018265B">
        <w:t xml:space="preserve">: </w:t>
      </w:r>
      <w:r w:rsidR="0018265B" w:rsidRPr="005B3721">
        <w:rPr>
          <w:b w:val="0"/>
        </w:rPr>
        <w:t xml:space="preserve">Developed by the authors using the results of </w:t>
      </w:r>
      <w:r w:rsidR="001E28B5" w:rsidRPr="005B3721">
        <w:rPr>
          <w:b w:val="0"/>
        </w:rPr>
        <w:t>regression.</w:t>
      </w:r>
    </w:p>
    <w:p w14:paraId="091DB794" w14:textId="77777777" w:rsidR="0018265B" w:rsidRDefault="0018265B" w:rsidP="00AA7167"/>
    <w:p w14:paraId="43D22982" w14:textId="5562775D" w:rsidR="00CE0419" w:rsidRDefault="00CE0419" w:rsidP="00CE0419">
      <w:pPr>
        <w:pStyle w:val="Heading4"/>
      </w:pPr>
      <w:r>
        <w:lastRenderedPageBreak/>
        <w:t>Delta imports</w:t>
      </w:r>
    </w:p>
    <w:p w14:paraId="708F2C20" w14:textId="1D6E8AC2" w:rsidR="00CE0419" w:rsidRDefault="00CE0419" w:rsidP="00CE0419">
      <w:r>
        <w:t xml:space="preserve">Similarly, we correlate the deliveries from Delta imports with the SWDI of the Delta exporting basins. As </w:t>
      </w:r>
      <w:r>
        <w:fldChar w:fldCharType="begin"/>
      </w:r>
      <w:r>
        <w:instrText xml:space="preserve"> REF _Ref138623756 \h </w:instrText>
      </w:r>
      <w:r>
        <w:fldChar w:fldCharType="separate"/>
      </w:r>
      <w:r w:rsidR="001E28B5" w:rsidRPr="007962DB">
        <w:t xml:space="preserve">Figure </w:t>
      </w:r>
      <w:r w:rsidR="001E28B5">
        <w:rPr>
          <w:noProof/>
        </w:rPr>
        <w:t>6</w:t>
      </w:r>
      <w:r>
        <w:fldChar w:fldCharType="end"/>
      </w:r>
      <w:r>
        <w:t xml:space="preserve"> shows, the relationship is quite clear, although non-linear. The plateau can be explained in this case because of infrastructure constraints—there is only so much pumping </w:t>
      </w:r>
      <w:r w:rsidR="006276AB">
        <w:t xml:space="preserve">and conveyance </w:t>
      </w:r>
      <w:r>
        <w:t>capacity</w:t>
      </w:r>
      <w:r w:rsidR="006276AB">
        <w:t xml:space="preserve"> in the CVP and SWP.</w:t>
      </w:r>
    </w:p>
    <w:p w14:paraId="7E8FE661" w14:textId="49E887E5" w:rsidR="00CE0419" w:rsidRPr="007962DB" w:rsidRDefault="00CE0419" w:rsidP="00CE0419">
      <w:pPr>
        <w:pStyle w:val="Caption"/>
      </w:pPr>
      <w:bookmarkStart w:id="16" w:name="_Ref138623756"/>
      <w:r w:rsidRPr="007962DB">
        <w:t xml:space="preserve">Figure </w:t>
      </w:r>
      <w:fldSimple w:instr=" SEQ Figure \* ARABIC ">
        <w:r w:rsidR="001E28B5">
          <w:rPr>
            <w:noProof/>
          </w:rPr>
          <w:t>6</w:t>
        </w:r>
      </w:fldSimple>
      <w:bookmarkEnd w:id="16"/>
      <w:r w:rsidRPr="007962DB">
        <w:t xml:space="preserve">. </w:t>
      </w:r>
      <w:r>
        <w:t>Relationship between Delta imports in the SJR and the Surface Water Drought Indicator of the Delta exporting basins</w:t>
      </w:r>
    </w:p>
    <w:p w14:paraId="71860980" w14:textId="0BD3ECEB" w:rsidR="00CE0419" w:rsidRDefault="00CE0419" w:rsidP="00CE0419">
      <w:r>
        <w:rPr>
          <w:noProof/>
        </w:rPr>
        <w:drawing>
          <wp:inline distT="0" distB="0" distL="0" distR="0" wp14:anchorId="5C34B54E" wp14:editId="5747D0DE">
            <wp:extent cx="4572000" cy="2743200"/>
            <wp:effectExtent l="0" t="0" r="0" b="0"/>
            <wp:docPr id="15" name="Chart 15">
              <a:extLst xmlns:a="http://schemas.openxmlformats.org/drawingml/2006/main">
                <a:ext uri="{FF2B5EF4-FFF2-40B4-BE49-F238E27FC236}">
                  <a16:creationId xmlns:a16="http://schemas.microsoft.com/office/drawing/2014/main" id="{3732EE9F-3D40-1A4C-9D33-9A56E95BFF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2773DA" w14:textId="63094351" w:rsidR="00CE0419" w:rsidRDefault="00CE0419" w:rsidP="00CE0419">
      <w:pPr>
        <w:pStyle w:val="Caption"/>
        <w:spacing w:after="0"/>
      </w:pPr>
      <w:r>
        <w:t xml:space="preserve">Source: </w:t>
      </w:r>
      <w:r w:rsidRPr="002B398A">
        <w:rPr>
          <w:b w:val="0"/>
        </w:rPr>
        <w:t xml:space="preserve">Developed by the authors using </w:t>
      </w:r>
      <w:r>
        <w:rPr>
          <w:b w:val="0"/>
        </w:rPr>
        <w:t>the results of the SWDI and data from DWR’s Water Data Portfolios (updated with CVP data) for Delta imports. Data is for the water years 2002-19, excluding 2017.</w:t>
      </w:r>
    </w:p>
    <w:p w14:paraId="0A9451E2" w14:textId="3486C388" w:rsidR="00CE0419" w:rsidRDefault="00CE0419" w:rsidP="00CE0419">
      <w:pPr>
        <w:pStyle w:val="Caption"/>
        <w:spacing w:before="0"/>
        <w:rPr>
          <w:b w:val="0"/>
        </w:rPr>
      </w:pPr>
      <w:r>
        <w:t xml:space="preserve">Notes: </w:t>
      </w:r>
      <w:r>
        <w:rPr>
          <w:b w:val="0"/>
        </w:rPr>
        <w:t>The x-axis (SWDI) shows the average of the monthly SWDI over the water year, while the y-axis presents the surface deliveries from Delta imports over the water year.</w:t>
      </w:r>
    </w:p>
    <w:p w14:paraId="4F34FDB2" w14:textId="3C3C7375" w:rsidR="001E28B5" w:rsidRDefault="001E28B5" w:rsidP="001E28B5">
      <w:r>
        <w:t>Analogously to the previous section, we adjusted a regression with two variables—SWDI of the exporting basins and the logarithm of SWDI of the exporting basins—that help fitting the non-linear relationship. For the 2002-19 period, we obtain a coefficient of determination for the deliveries from Delta imports, R</w:t>
      </w:r>
      <w:r>
        <w:rPr>
          <w:vertAlign w:val="superscript"/>
        </w:rPr>
        <w:t>2</w:t>
      </w:r>
      <w:r>
        <w:t xml:space="preserve">, of 0.77. </w:t>
      </w:r>
      <w:r>
        <w:fldChar w:fldCharType="begin"/>
      </w:r>
      <w:r>
        <w:instrText xml:space="preserve"> REF _Ref138675887 \h </w:instrText>
      </w:r>
      <w:r>
        <w:fldChar w:fldCharType="separate"/>
      </w:r>
      <w:r w:rsidRPr="007962DB">
        <w:t xml:space="preserve">Figure </w:t>
      </w:r>
      <w:r>
        <w:rPr>
          <w:noProof/>
        </w:rPr>
        <w:t>7</w:t>
      </w:r>
      <w:r>
        <w:fldChar w:fldCharType="end"/>
      </w:r>
      <w:r>
        <w:t xml:space="preserve"> shows the result of the adjustment.</w:t>
      </w:r>
    </w:p>
    <w:p w14:paraId="5FD365EE" w14:textId="7CB62BF5" w:rsidR="001E28B5" w:rsidRPr="007962DB" w:rsidRDefault="001E28B5" w:rsidP="001E28B5">
      <w:pPr>
        <w:pStyle w:val="Caption"/>
      </w:pPr>
      <w:bookmarkStart w:id="17" w:name="_Ref138675887"/>
      <w:bookmarkStart w:id="18" w:name="OLE_LINK6"/>
      <w:bookmarkStart w:id="19" w:name="OLE_LINK7"/>
      <w:r w:rsidRPr="007962DB">
        <w:lastRenderedPageBreak/>
        <w:t xml:space="preserve">Figure </w:t>
      </w:r>
      <w:fldSimple w:instr=" SEQ Figure \* ARABIC ">
        <w:r>
          <w:rPr>
            <w:noProof/>
          </w:rPr>
          <w:t>7</w:t>
        </w:r>
      </w:fldSimple>
      <w:bookmarkEnd w:id="17"/>
      <w:r w:rsidRPr="007962DB">
        <w:t xml:space="preserve">. </w:t>
      </w:r>
      <w:r>
        <w:t>Comparison of actual deliveries from Delta imports and estimated deliveries from Delta imports</w:t>
      </w:r>
    </w:p>
    <w:p w14:paraId="4BFA47BB" w14:textId="22CC0C9A" w:rsidR="001E28B5" w:rsidRDefault="001E28B5" w:rsidP="001E28B5">
      <w:r>
        <w:rPr>
          <w:noProof/>
        </w:rPr>
        <w:drawing>
          <wp:inline distT="0" distB="0" distL="0" distR="0" wp14:anchorId="090C4238" wp14:editId="7924B959">
            <wp:extent cx="4572000" cy="2743200"/>
            <wp:effectExtent l="0" t="0" r="0" b="0"/>
            <wp:docPr id="19" name="Chart 19">
              <a:extLst xmlns:a="http://schemas.openxmlformats.org/drawingml/2006/main">
                <a:ext uri="{FF2B5EF4-FFF2-40B4-BE49-F238E27FC236}">
                  <a16:creationId xmlns:a16="http://schemas.microsoft.com/office/drawing/2014/main" id="{C9A87428-3B53-524D-BB1E-741BF4E1A7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9EBCD4" w14:textId="489EFB5C" w:rsidR="001E28B5" w:rsidRPr="005B3721" w:rsidRDefault="00A37016" w:rsidP="001E28B5">
      <w:pPr>
        <w:pStyle w:val="Caption"/>
        <w:spacing w:before="0"/>
        <w:rPr>
          <w:b w:val="0"/>
        </w:rPr>
      </w:pPr>
      <w:r>
        <w:t>Notes</w:t>
      </w:r>
      <w:r w:rsidR="001E28B5">
        <w:t xml:space="preserve">: </w:t>
      </w:r>
      <w:r w:rsidR="001E28B5" w:rsidRPr="005B3721">
        <w:rPr>
          <w:b w:val="0"/>
        </w:rPr>
        <w:t>Developed by the authors using the results of regression.</w:t>
      </w:r>
    </w:p>
    <w:bookmarkEnd w:id="18"/>
    <w:bookmarkEnd w:id="19"/>
    <w:p w14:paraId="1F157B76" w14:textId="1B4636BB" w:rsidR="006276AB" w:rsidRDefault="006276AB" w:rsidP="006276AB">
      <w:pPr>
        <w:pStyle w:val="Heading4"/>
      </w:pPr>
      <w:r>
        <w:t>Groundwater pumping</w:t>
      </w:r>
    </w:p>
    <w:p w14:paraId="1E6EAE5A" w14:textId="1436F24D" w:rsidR="0018265B" w:rsidRDefault="00042DA4" w:rsidP="006276AB">
      <w:r>
        <w:t xml:space="preserve">Groundwater pumping is used as a backup source in the SJR, </w:t>
      </w:r>
      <w:r w:rsidR="00C8009C">
        <w:t xml:space="preserve">so </w:t>
      </w:r>
      <w:r w:rsidR="0018265B">
        <w:t>while drought conditions can affect its use (for instance limiting pumping where groundwater declined affecting wells), actually it is used more during droughts to mitigate surface water shortages. Therefore, this management decision has to be considered.</w:t>
      </w:r>
      <w:r w:rsidR="009F7703">
        <w:t xml:space="preserve"> </w:t>
      </w:r>
    </w:p>
    <w:p w14:paraId="772351D0" w14:textId="057E0573" w:rsidR="009F7703" w:rsidRDefault="007B5B83">
      <w:pPr>
        <w:spacing w:after="0"/>
        <w:rPr>
          <w:b/>
          <w:i/>
          <w:iCs/>
          <w:color w:val="44546A" w:themeColor="text2"/>
          <w:sz w:val="20"/>
          <w:szCs w:val="18"/>
        </w:rPr>
      </w:pPr>
      <w:r>
        <w:fldChar w:fldCharType="begin"/>
      </w:r>
      <w:r>
        <w:instrText xml:space="preserve"> REF _Ref138676886 \h </w:instrText>
      </w:r>
      <w:r>
        <w:fldChar w:fldCharType="separate"/>
      </w:r>
      <w:r w:rsidRPr="007962DB">
        <w:t xml:space="preserve">Figure </w:t>
      </w:r>
      <w:r>
        <w:rPr>
          <w:noProof/>
        </w:rPr>
        <w:t>8</w:t>
      </w:r>
      <w:r>
        <w:fldChar w:fldCharType="end"/>
      </w:r>
      <w:r>
        <w:t xml:space="preserve"> shows the how especially during water with low surface deliveries, pumping increases significantly, although the relationship is less clear in “normal” years. To address this limitation, we also include the relationship between the groundwater pumping indicator—which represents the annual change in groundwater level, informing about the intensity of annual groundwater pumping—and annual groundwater deliveries. In this case, the relationship is not so clear for lower values of the groundwater pumping indicator, but it performs better in years with lesser changes of groundwater levels. </w:t>
      </w:r>
      <w:r w:rsidR="009F7703">
        <w:br w:type="page"/>
      </w:r>
    </w:p>
    <w:p w14:paraId="6C681360" w14:textId="4B3CBD17" w:rsidR="001E28B5" w:rsidRPr="007962DB" w:rsidRDefault="001E28B5" w:rsidP="001E28B5">
      <w:pPr>
        <w:pStyle w:val="Caption"/>
      </w:pPr>
      <w:bookmarkStart w:id="20" w:name="_Ref138676886"/>
      <w:r w:rsidRPr="007962DB">
        <w:lastRenderedPageBreak/>
        <w:t xml:space="preserve">Figure </w:t>
      </w:r>
      <w:fldSimple w:instr=" SEQ Figure \* ARABIC ">
        <w:r w:rsidR="007B5B83">
          <w:rPr>
            <w:noProof/>
          </w:rPr>
          <w:t>8</w:t>
        </w:r>
      </w:fldSimple>
      <w:bookmarkEnd w:id="20"/>
      <w:r w:rsidRPr="007962DB">
        <w:t xml:space="preserve">. </w:t>
      </w:r>
      <w:r>
        <w:t xml:space="preserve">Relationship between </w:t>
      </w:r>
      <w:r w:rsidR="007B5B83">
        <w:t xml:space="preserve">surface deliveries and </w:t>
      </w:r>
      <w:r w:rsidR="009F7703">
        <w:t xml:space="preserve">groundwater pumping (top) and </w:t>
      </w:r>
      <w:r w:rsidR="007B5B83">
        <w:t>between the groundwater pumping indicator and groundwater pumping (bottom)</w:t>
      </w:r>
    </w:p>
    <w:p w14:paraId="6FBC3FA9" w14:textId="19DC1614" w:rsidR="001E28B5" w:rsidRDefault="009F7703" w:rsidP="001E28B5">
      <w:r>
        <w:rPr>
          <w:noProof/>
        </w:rPr>
        <w:drawing>
          <wp:inline distT="0" distB="0" distL="0" distR="0" wp14:anchorId="235BFFAA" wp14:editId="1C7238E6">
            <wp:extent cx="4749800" cy="2686050"/>
            <wp:effectExtent l="0" t="0" r="0" b="0"/>
            <wp:docPr id="21" name="Chart 21">
              <a:extLst xmlns:a="http://schemas.openxmlformats.org/drawingml/2006/main">
                <a:ext uri="{FF2B5EF4-FFF2-40B4-BE49-F238E27FC236}">
                  <a16:creationId xmlns:a16="http://schemas.microsoft.com/office/drawing/2014/main" id="{2881CBA0-3BA6-4E4C-83E2-D2FFA01A1F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47C220" w14:textId="01C1EEE7" w:rsidR="009F7703" w:rsidRDefault="009F7703" w:rsidP="001E28B5">
      <w:r>
        <w:rPr>
          <w:noProof/>
        </w:rPr>
        <w:drawing>
          <wp:inline distT="0" distB="0" distL="0" distR="0" wp14:anchorId="07F6C141" wp14:editId="16759B99">
            <wp:extent cx="4749800" cy="2743200"/>
            <wp:effectExtent l="0" t="0" r="0" b="0"/>
            <wp:docPr id="22" name="Chart 22">
              <a:extLst xmlns:a="http://schemas.openxmlformats.org/drawingml/2006/main">
                <a:ext uri="{FF2B5EF4-FFF2-40B4-BE49-F238E27FC236}">
                  <a16:creationId xmlns:a16="http://schemas.microsoft.com/office/drawing/2014/main" id="{9F2554D7-9121-8A41-AC3C-BF70F2B7D2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E324EA" w14:textId="50DE7BA3" w:rsidR="001E28B5" w:rsidRDefault="001E28B5" w:rsidP="001E28B5">
      <w:pPr>
        <w:pStyle w:val="Caption"/>
        <w:spacing w:after="0"/>
      </w:pPr>
      <w:r>
        <w:t xml:space="preserve">Source: </w:t>
      </w:r>
      <w:r w:rsidRPr="002B398A">
        <w:rPr>
          <w:b w:val="0"/>
        </w:rPr>
        <w:t xml:space="preserve">Developed by the authors using </w:t>
      </w:r>
      <w:r>
        <w:rPr>
          <w:b w:val="0"/>
        </w:rPr>
        <w:t>the results of the DWR’s Water Data Portfolios</w:t>
      </w:r>
      <w:r w:rsidR="009F7703">
        <w:rPr>
          <w:b w:val="0"/>
        </w:rPr>
        <w:t xml:space="preserve"> and the Groundwater Pumping Indicator</w:t>
      </w:r>
      <w:r>
        <w:rPr>
          <w:b w:val="0"/>
        </w:rPr>
        <w:t>. Data is for the water years 2002-19, excluding 2017.</w:t>
      </w:r>
    </w:p>
    <w:p w14:paraId="5C0BFBD9" w14:textId="4487F4FA" w:rsidR="001E28B5" w:rsidRDefault="001E28B5" w:rsidP="001E28B5">
      <w:pPr>
        <w:pStyle w:val="Caption"/>
        <w:spacing w:before="0"/>
        <w:rPr>
          <w:b w:val="0"/>
        </w:rPr>
      </w:pPr>
      <w:r>
        <w:t xml:space="preserve">Notes: </w:t>
      </w:r>
      <w:r>
        <w:rPr>
          <w:b w:val="0"/>
        </w:rPr>
        <w:t>T</w:t>
      </w:r>
      <w:r w:rsidR="009F7703">
        <w:rPr>
          <w:b w:val="0"/>
        </w:rPr>
        <w:t>op panel: t</w:t>
      </w:r>
      <w:r>
        <w:rPr>
          <w:b w:val="0"/>
        </w:rPr>
        <w:t xml:space="preserve">he x-axis shows the </w:t>
      </w:r>
      <w:r w:rsidR="009F7703">
        <w:rPr>
          <w:b w:val="0"/>
        </w:rPr>
        <w:t>sum of the surface deliveries both from local sources and Delta imports. Bottom panel: the x-axis</w:t>
      </w:r>
      <w:r w:rsidR="007B5B83">
        <w:rPr>
          <w:b w:val="0"/>
        </w:rPr>
        <w:t xml:space="preserve"> shows the annual average of the monthly groundwater pumping indicator, which shows the annual change in groundwater levels, which is correlated with pumping intensity.</w:t>
      </w:r>
    </w:p>
    <w:p w14:paraId="59DF04B2" w14:textId="29FF75FD" w:rsidR="00AA7167" w:rsidRPr="00CE0419" w:rsidRDefault="007B5B83" w:rsidP="00AA7167">
      <w:r>
        <w:t>Therefore, for groundwater pumping we use a two-variable regression, including the estimated surface deliveries (sum of local surface supplies and Delta imports) obtained in the previous sections and the annual average of the groundwater pumping indicator. With these two variables, and for the 2002-19 period, we obtain a coefficient of determination for groundwater deliveries, R</w:t>
      </w:r>
      <w:r>
        <w:rPr>
          <w:vertAlign w:val="superscript"/>
        </w:rPr>
        <w:t>2</w:t>
      </w:r>
      <w:r>
        <w:t xml:space="preserve">, of 0.88. </w:t>
      </w:r>
      <w:r>
        <w:fldChar w:fldCharType="begin"/>
      </w:r>
      <w:r>
        <w:instrText xml:space="preserve"> REF _Ref138677592 \h </w:instrText>
      </w:r>
      <w:r>
        <w:fldChar w:fldCharType="separate"/>
      </w:r>
      <w:r w:rsidRPr="007962DB">
        <w:t xml:space="preserve">Figure </w:t>
      </w:r>
      <w:r>
        <w:rPr>
          <w:noProof/>
        </w:rPr>
        <w:t>9</w:t>
      </w:r>
      <w:r>
        <w:fldChar w:fldCharType="end"/>
      </w:r>
      <w:r>
        <w:t xml:space="preserve"> shows the result of the adjustment.</w:t>
      </w:r>
    </w:p>
    <w:p w14:paraId="0816BC2B" w14:textId="1EF86C8E" w:rsidR="007B5B83" w:rsidRPr="007962DB" w:rsidRDefault="007B5B83" w:rsidP="007B5B83">
      <w:pPr>
        <w:pStyle w:val="Caption"/>
      </w:pPr>
      <w:bookmarkStart w:id="21" w:name="_Ref138677592"/>
      <w:bookmarkStart w:id="22" w:name="OLE_LINK8"/>
      <w:bookmarkStart w:id="23" w:name="OLE_LINK9"/>
      <w:r w:rsidRPr="007962DB">
        <w:lastRenderedPageBreak/>
        <w:t xml:space="preserve">Figure </w:t>
      </w:r>
      <w:fldSimple w:instr=" SEQ Figure \* ARABIC ">
        <w:r>
          <w:rPr>
            <w:noProof/>
          </w:rPr>
          <w:t>9</w:t>
        </w:r>
      </w:fldSimple>
      <w:bookmarkEnd w:id="21"/>
      <w:r w:rsidRPr="007962DB">
        <w:t xml:space="preserve">. </w:t>
      </w:r>
      <w:r>
        <w:t>Comparison of actual groundwater deliveries and estimated groundwater deliveries</w:t>
      </w:r>
    </w:p>
    <w:p w14:paraId="6B3D791D" w14:textId="69E98CD3" w:rsidR="007B5B83" w:rsidRDefault="007B5B83" w:rsidP="007B5B83">
      <w:r>
        <w:rPr>
          <w:noProof/>
        </w:rPr>
        <w:drawing>
          <wp:inline distT="0" distB="0" distL="0" distR="0" wp14:anchorId="3FCC70AA" wp14:editId="30F6D59B">
            <wp:extent cx="4572000" cy="2743200"/>
            <wp:effectExtent l="0" t="0" r="0" b="0"/>
            <wp:docPr id="24" name="Chart 24">
              <a:extLst xmlns:a="http://schemas.openxmlformats.org/drawingml/2006/main">
                <a:ext uri="{FF2B5EF4-FFF2-40B4-BE49-F238E27FC236}">
                  <a16:creationId xmlns:a16="http://schemas.microsoft.com/office/drawing/2014/main" id="{3FE7C5E8-DF57-CA44-B111-F7E1259AAE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5C2FEB" w14:textId="12920743" w:rsidR="007B5B83" w:rsidRDefault="00A37016" w:rsidP="007B5B83">
      <w:pPr>
        <w:pStyle w:val="Caption"/>
        <w:spacing w:before="0"/>
      </w:pPr>
      <w:r>
        <w:t>Notes</w:t>
      </w:r>
      <w:r w:rsidR="007B5B83">
        <w:t xml:space="preserve">: </w:t>
      </w:r>
      <w:r w:rsidR="007B5B83" w:rsidRPr="005B3721">
        <w:rPr>
          <w:b w:val="0"/>
        </w:rPr>
        <w:t>Developed by the authors using the results of regression.</w:t>
      </w:r>
    </w:p>
    <w:bookmarkEnd w:id="22"/>
    <w:bookmarkEnd w:id="23"/>
    <w:p w14:paraId="26DBE1B1" w14:textId="0E8AACA4" w:rsidR="00E248E4" w:rsidRDefault="00E248E4" w:rsidP="00E248E4">
      <w:pPr>
        <w:pStyle w:val="Heading4"/>
      </w:pPr>
      <w:r>
        <w:t>Combined supplies from different sources</w:t>
      </w:r>
    </w:p>
    <w:p w14:paraId="790DD9AE" w14:textId="3912C86E" w:rsidR="00CD135C" w:rsidRPr="00CD135C" w:rsidRDefault="002B62D8" w:rsidP="00CD135C">
      <w:r>
        <w:t>When combining the three sources of water we can compare the actual total deliveries with the results of the regression (</w:t>
      </w:r>
      <w:r>
        <w:fldChar w:fldCharType="begin"/>
      </w:r>
      <w:r>
        <w:instrText xml:space="preserve"> REF _Ref142154521 \h </w:instrText>
      </w:r>
      <w:r>
        <w:fldChar w:fldCharType="separate"/>
      </w:r>
      <w:r w:rsidRPr="007962DB">
        <w:t xml:space="preserve">Figure </w:t>
      </w:r>
      <w:r>
        <w:rPr>
          <w:noProof/>
        </w:rPr>
        <w:t>10</w:t>
      </w:r>
      <w:r>
        <w:fldChar w:fldCharType="end"/>
      </w:r>
      <w:r>
        <w:t xml:space="preserve">). The figure shows a good fit for total deliveries, but what is also important, fits the management decisions by adjusting groundwater pumping to the reduction in surface deliveries and vice versa. </w:t>
      </w:r>
    </w:p>
    <w:p w14:paraId="0FBEF1F1" w14:textId="34FF2D02" w:rsidR="00CD135C" w:rsidRPr="007962DB" w:rsidRDefault="00CD135C" w:rsidP="00CD135C">
      <w:pPr>
        <w:pStyle w:val="Caption"/>
      </w:pPr>
      <w:bookmarkStart w:id="24" w:name="_Ref142154521"/>
      <w:bookmarkStart w:id="25" w:name="OLE_LINK10"/>
      <w:bookmarkStart w:id="26" w:name="OLE_LINK11"/>
      <w:r w:rsidRPr="007962DB">
        <w:t xml:space="preserve">Figure </w:t>
      </w:r>
      <w:fldSimple w:instr=" SEQ Figure \* ARABIC ">
        <w:r>
          <w:rPr>
            <w:noProof/>
          </w:rPr>
          <w:t>10</w:t>
        </w:r>
      </w:fldSimple>
      <w:bookmarkEnd w:id="24"/>
      <w:r w:rsidRPr="007962DB">
        <w:t xml:space="preserve">. </w:t>
      </w:r>
      <w:r>
        <w:t>Comparison of actual deliveries and estimated deliveries</w:t>
      </w:r>
      <w:r w:rsidR="002B62D8">
        <w:t xml:space="preserve"> from the different sources</w:t>
      </w:r>
    </w:p>
    <w:p w14:paraId="2B547063" w14:textId="1A5C0E79" w:rsidR="00CD135C" w:rsidRDefault="002B62D8" w:rsidP="00CD135C">
      <w:r>
        <w:rPr>
          <w:noProof/>
        </w:rPr>
        <w:drawing>
          <wp:inline distT="0" distB="0" distL="0" distR="0" wp14:anchorId="58A3E61D" wp14:editId="46C3B89E">
            <wp:extent cx="5943600" cy="3132667"/>
            <wp:effectExtent l="0" t="0" r="0" b="4445"/>
            <wp:docPr id="3" name="Chart 3">
              <a:extLst xmlns:a="http://schemas.openxmlformats.org/drawingml/2006/main">
                <a:ext uri="{FF2B5EF4-FFF2-40B4-BE49-F238E27FC236}">
                  <a16:creationId xmlns:a16="http://schemas.microsoft.com/office/drawing/2014/main" id="{574CDFE5-08D3-1B4B-A45D-34BC3BA57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1684487" w14:textId="13542C47" w:rsidR="00CD135C" w:rsidRPr="005B3721" w:rsidRDefault="00A37016" w:rsidP="004145BA">
      <w:pPr>
        <w:pStyle w:val="Caption"/>
        <w:keepNext w:val="0"/>
        <w:spacing w:before="0"/>
        <w:rPr>
          <w:b w:val="0"/>
        </w:rPr>
      </w:pPr>
      <w:r>
        <w:t>Notes</w:t>
      </w:r>
      <w:r w:rsidR="00CD135C">
        <w:t xml:space="preserve">: </w:t>
      </w:r>
      <w:r w:rsidR="00CD135C" w:rsidRPr="005B3721">
        <w:rPr>
          <w:b w:val="0"/>
        </w:rPr>
        <w:t>Developed by the authors using the results of regression</w:t>
      </w:r>
      <w:r w:rsidR="002B62D8" w:rsidRPr="005B3721">
        <w:rPr>
          <w:b w:val="0"/>
        </w:rPr>
        <w:t>s</w:t>
      </w:r>
    </w:p>
    <w:bookmarkEnd w:id="25"/>
    <w:bookmarkEnd w:id="26"/>
    <w:p w14:paraId="18AB3E52" w14:textId="4C065422" w:rsidR="004145BA" w:rsidRDefault="004145BA" w:rsidP="004145BA">
      <w:pPr>
        <w:pStyle w:val="Heading3"/>
      </w:pPr>
      <w:r>
        <w:lastRenderedPageBreak/>
        <w:t>Estimating demand anomalies</w:t>
      </w:r>
    </w:p>
    <w:p w14:paraId="29D66FC0" w14:textId="00513919" w:rsidR="004145BA" w:rsidRDefault="004145BA" w:rsidP="004145BA">
      <w:r>
        <w:t>In places where water is mostly used for water irrigation like in the SJR, differences in evapotranspirati</w:t>
      </w:r>
      <w:r w:rsidR="00843BF5">
        <w:t>on</w:t>
      </w:r>
      <w:r>
        <w:t xml:space="preserve"> </w:t>
      </w:r>
      <w:r w:rsidR="00843BF5">
        <w:t>can impact crop demands significantly</w:t>
      </w:r>
      <w:r>
        <w:t xml:space="preserve"> </w:t>
      </w:r>
      <w:r>
        <w:fldChar w:fldCharType="begin"/>
      </w:r>
      <w:r>
        <w:instrText xml:space="preserve"> ADDIN ZOTERO_ITEM CSL_CITATION {"citationID":"2bpA1BnG","properties":{"formattedCitation":"(Albano et al., 2022)","plainCitation":"(Albano et al., 2022)","noteIndex":0},"citationItems":[{"id":17,"uris":["http://zotero.org/users/local/zvpmpIAu/items/SPA6F6YR"],"itemData":{"id":17,"type":"article-journal","abstract":"Abstract Increased atmospheric evaporative demand has important implications for humans and ecosystems in water-scarce lands. While temperature plays a significant role in driving evaporative demand and its trend, other climate variables are also influential and their contributions to recent trends in evaporative demand are unknown. We address this gap with an assessment of recent (1980–2020) trends in annual reference evapotranspiration (ETo) and its drivers across the continental United States based on five gridded datasets. In doing so, we characterize the structural uncertainty of ETo trends and decompose the relative influences of temperature, wind speed, solar radiation, and humidity. Results highlight large and robust changes in ETo across much of the western United States, centered on the Rio Grande region where ETo increased 135–235 mm during 1980–2020. The largest uncertainties in ETo trends are in the central and eastern United States and surrounding the Upper Colorado River. Trend decomposition highlights the strong and widespread influence of temperature, which contributes to 57% of observed ETo trends, on average. ETo increases are mitigated by increases in specific humidity in non-water-limited regions, while small decreases in specific humidity and increases in wind speed and solar radiation magnify ETo increases across the West. Our results show increases in ETo across the West that are already emerging outside the range of variability observed 20–40 years ago. Our results suggest that twenty-first-century land and water managers need to plan for an already increasing influence of evaporative demand on water availability and wildfire risks. Significance Statement Increased atmospheric thirst due to climate warming has the potential to decrease water availability and increase wildfire risks in water-scarce regions. Here, we identified how much atmospheric thirst has changed across the continental United States over the past 40 years, what climate variables are driving the change, and how consistent these changes are among five data sources. We found that atmospheric thirst is consistently emerging outside the range experienced in the late twentieth century in some western regions with 57% of the change driven by temperature. Importantly, we demonstrate that increased atmospheric thirst has already become a persistent forcing of western landscapes and water supplies toward drought and will be an essential consideration for land and water management planning going forward.","container-title":"Journal of Hydrometeorology","DOI":"10.1175/JHM-D-21-0163.1","ISSN":"1525-7541, 1525-755X","issue":"4","language":"EN","note":"publisher: American Meteorological Society\nsection: Journal of Hydrometeorology","page":"505-519","source":"journals.ametsoc.org","title":"A Multidataset Assessment of Climatic Drivers and Uncertainties of Recent Trends in Evaporative Demand across the Continental United States","volume":"23","author":[{"family":"Albano","given":"Christine M."},{"family":"Abatzoglou","given":"John T."},{"family":"McEvoy","given":"Daniel J."},{"family":"Huntington","given":"Justin L."},{"family":"Morton","given":"Charles G."},{"family":"Dettinger","given":"Michael D."},{"family":"Ott","given":"Thomas J."}],"issued":{"date-parts":[["2022",4,1]]}}}],"schema":"https://github.com/citation-style-language/schema/raw/master/csl-citation.json"} </w:instrText>
      </w:r>
      <w:r>
        <w:fldChar w:fldCharType="separate"/>
      </w:r>
      <w:r>
        <w:rPr>
          <w:noProof/>
        </w:rPr>
        <w:t>(Albano et al., 2022)</w:t>
      </w:r>
      <w:r>
        <w:fldChar w:fldCharType="end"/>
      </w:r>
      <w:r>
        <w:t>. This means that similar deliveries can irrigate more or less acreage depending on the evapotranspiration</w:t>
      </w:r>
      <w:r w:rsidR="00843BF5">
        <w:t>. Therefore, it is important to account for the role of warming-induced drought stress.</w:t>
      </w:r>
    </w:p>
    <w:p w14:paraId="397157B2" w14:textId="390E99FA" w:rsidR="00843BF5" w:rsidRPr="004145BA" w:rsidRDefault="00843BF5" w:rsidP="004145BA">
      <w:r>
        <w:t xml:space="preserve">To account for changes in </w:t>
      </w:r>
      <w:proofErr w:type="spellStart"/>
      <w:r>
        <w:t>evapotranspirative</w:t>
      </w:r>
      <w:proofErr w:type="spellEnd"/>
      <w:r>
        <w:t xml:space="preserve"> demands, we obtain the deviation (in percentage) of the annual evapotranspiration with respect to the average evapotranspiration</w:t>
      </w:r>
      <w:r w:rsidR="00F43783">
        <w:t xml:space="preserve"> (</w:t>
      </w:r>
      <w:r w:rsidR="00F43783">
        <w:fldChar w:fldCharType="begin"/>
      </w:r>
      <w:r w:rsidR="00F43783">
        <w:instrText xml:space="preserve"> REF _Ref142157264 \h </w:instrText>
      </w:r>
      <w:r w:rsidR="00F43783">
        <w:fldChar w:fldCharType="separate"/>
      </w:r>
      <w:r w:rsidR="00F43783" w:rsidRPr="007962DB">
        <w:t xml:space="preserve">Figure </w:t>
      </w:r>
      <w:r w:rsidR="00F43783">
        <w:rPr>
          <w:noProof/>
        </w:rPr>
        <w:t>11</w:t>
      </w:r>
      <w:r w:rsidR="00F43783">
        <w:fldChar w:fldCharType="end"/>
      </w:r>
      <w:r w:rsidR="00F43783">
        <w:t>)</w:t>
      </w:r>
      <w:r>
        <w:t>.</w:t>
      </w:r>
    </w:p>
    <w:p w14:paraId="34AAB92C" w14:textId="5C9AD9BD" w:rsidR="003D25DA" w:rsidRPr="007962DB" w:rsidRDefault="003D25DA" w:rsidP="003D25DA">
      <w:pPr>
        <w:pStyle w:val="Caption"/>
      </w:pPr>
      <w:bookmarkStart w:id="27" w:name="_Ref142157264"/>
      <w:bookmarkStart w:id="28" w:name="OLE_LINK13"/>
      <w:bookmarkStart w:id="29" w:name="OLE_LINK14"/>
      <w:r w:rsidRPr="007962DB">
        <w:t xml:space="preserve">Figure </w:t>
      </w:r>
      <w:fldSimple w:instr=" SEQ Figure \* ARABIC ">
        <w:r>
          <w:rPr>
            <w:noProof/>
          </w:rPr>
          <w:t>11</w:t>
        </w:r>
      </w:fldSimple>
      <w:bookmarkEnd w:id="27"/>
      <w:r w:rsidRPr="007962DB">
        <w:t xml:space="preserve">. </w:t>
      </w:r>
      <w:r>
        <w:t>Deviation in annual evapotranspiration</w:t>
      </w:r>
    </w:p>
    <w:p w14:paraId="148E94D8" w14:textId="28AC7918" w:rsidR="003D25DA" w:rsidRPr="00E03019" w:rsidRDefault="00E03019" w:rsidP="003D25DA">
      <w:pPr>
        <w:rPr>
          <w:b/>
        </w:rPr>
      </w:pPr>
      <w:r>
        <w:rPr>
          <w:noProof/>
        </w:rPr>
        <w:drawing>
          <wp:inline distT="0" distB="0" distL="0" distR="0" wp14:anchorId="7BAE4CBB" wp14:editId="29373A49">
            <wp:extent cx="5943600" cy="2711450"/>
            <wp:effectExtent l="0" t="0" r="0" b="0"/>
            <wp:docPr id="7" name="Chart 7">
              <a:extLst xmlns:a="http://schemas.openxmlformats.org/drawingml/2006/main">
                <a:ext uri="{FF2B5EF4-FFF2-40B4-BE49-F238E27FC236}">
                  <a16:creationId xmlns:a16="http://schemas.microsoft.com/office/drawing/2014/main" id="{0A3E4E5E-C2EB-484D-8041-8B4336C093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F0DD5D" w14:textId="7168D369" w:rsidR="003D25DA" w:rsidRPr="005B3721" w:rsidRDefault="00A37016" w:rsidP="003D25DA">
      <w:pPr>
        <w:pStyle w:val="Caption"/>
        <w:keepNext w:val="0"/>
        <w:spacing w:before="0"/>
        <w:rPr>
          <w:b w:val="0"/>
        </w:rPr>
      </w:pPr>
      <w:r>
        <w:t>Notes</w:t>
      </w:r>
      <w:r w:rsidR="003D25DA">
        <w:t xml:space="preserve">: </w:t>
      </w:r>
      <w:r w:rsidR="003D25DA" w:rsidRPr="005B3721">
        <w:rPr>
          <w:b w:val="0"/>
        </w:rPr>
        <w:t xml:space="preserve">Estimated by the authors as the </w:t>
      </w:r>
      <w:r w:rsidR="00F43783" w:rsidRPr="005B3721">
        <w:rPr>
          <w:b w:val="0"/>
        </w:rPr>
        <w:t>ratio of the annual evapotranspiration in the water year with respect to the average annual evapotranspiration</w:t>
      </w:r>
    </w:p>
    <w:bookmarkEnd w:id="28"/>
    <w:bookmarkEnd w:id="29"/>
    <w:p w14:paraId="0035E0DE" w14:textId="7DBCFFB7" w:rsidR="00F43783" w:rsidRDefault="00F43783" w:rsidP="00F43783">
      <w:r>
        <w:t xml:space="preserve">Then, we obtain the warming-induced change of demands by multiplying this deviation by the average annual demands. Finally, because supplies are given as estimated in the previous sections, we will obtain a change in what we call </w:t>
      </w:r>
      <w:r w:rsidRPr="00F43783">
        <w:rPr>
          <w:i/>
        </w:rPr>
        <w:t>effective supplies</w:t>
      </w:r>
      <w:r>
        <w:t xml:space="preserve">: reductions in evaporative demands will represent an increase in </w:t>
      </w:r>
      <w:r w:rsidRPr="00F43783">
        <w:rPr>
          <w:i/>
        </w:rPr>
        <w:t>effective supplies</w:t>
      </w:r>
      <w:r>
        <w:t xml:space="preserve">, and increases in evaporative demands will impact </w:t>
      </w:r>
      <w:r w:rsidRPr="00F43783">
        <w:rPr>
          <w:i/>
        </w:rPr>
        <w:t>effective supplies</w:t>
      </w:r>
      <w:r>
        <w:t xml:space="preserve"> negatively.</w:t>
      </w:r>
    </w:p>
    <w:p w14:paraId="29FDE235" w14:textId="1168FA83" w:rsidR="002C16D1" w:rsidRDefault="002C16D1" w:rsidP="002C16D1">
      <w:pPr>
        <w:pStyle w:val="Caption"/>
        <w:tabs>
          <w:tab w:val="center" w:pos="5040"/>
        </w:tabs>
      </w:pPr>
      <w:bookmarkStart w:id="30" w:name="_Ref142210683"/>
      <w:r>
        <w:t xml:space="preserve">Equation </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bookmarkEnd w:id="30"/>
      <w:r>
        <w:tab/>
      </w:r>
      <m:oMath>
        <m:r>
          <m:rPr>
            <m:sty m:val="bi"/>
          </m:rPr>
          <w:rPr>
            <w:rFonts w:ascii="Cambria Math" w:hAnsi="Cambria Math"/>
          </w:rPr>
          <m:t>Effective supplies=Actual supplies+</m:t>
        </m:r>
        <m:d>
          <m:dPr>
            <m:ctrlPr>
              <w:rPr>
                <w:rFonts w:ascii="Cambria Math" w:hAnsi="Cambria Math"/>
              </w:rPr>
            </m:ctrlPr>
          </m:dPr>
          <m:e>
            <m:r>
              <m:rPr>
                <m:sty m:val="bi"/>
              </m:rPr>
              <w:rPr>
                <w:rFonts w:ascii="Cambria Math" w:hAnsi="Cambria Math"/>
              </w:rPr>
              <m:t>Average demands ∙</m:t>
            </m:r>
            <m:d>
              <m:dPr>
                <m:ctrlPr>
                  <w:rPr>
                    <w:rFonts w:ascii="Cambria Math" w:hAnsi="Cambria Math"/>
                  </w:rPr>
                </m:ctrlPr>
              </m:dPr>
              <m:e>
                <m:r>
                  <m:rPr>
                    <m:sty m:val="bi"/>
                  </m:rPr>
                  <w:rPr>
                    <w:rFonts w:ascii="Cambria Math" w:hAnsi="Cambria Math"/>
                  </w:rPr>
                  <m:t>1-ET deviation</m:t>
                </m:r>
              </m:e>
            </m:d>
          </m:e>
        </m:d>
      </m:oMath>
    </w:p>
    <w:p w14:paraId="56AB08CA" w14:textId="677091FE" w:rsidR="002C16D1" w:rsidRPr="004145BA" w:rsidRDefault="00E03019" w:rsidP="00F43783">
      <w:r>
        <w:t xml:space="preserve">Following </w:t>
      </w:r>
      <w:r>
        <w:fldChar w:fldCharType="begin"/>
      </w:r>
      <w:r>
        <w:instrText xml:space="preserve"> REF _Ref142210683 \h </w:instrText>
      </w:r>
      <w:r>
        <w:fldChar w:fldCharType="separate"/>
      </w:r>
      <w:r>
        <w:t xml:space="preserve">Equation </w:t>
      </w:r>
      <w:r>
        <w:rPr>
          <w:noProof/>
        </w:rPr>
        <w:t>4</w:t>
      </w:r>
      <w:r>
        <w:fldChar w:fldCharType="end"/>
      </w:r>
      <w:r>
        <w:t xml:space="preserve"> we can </w:t>
      </w:r>
      <w:r w:rsidR="001B2E7F">
        <w:t>adjust</w:t>
      </w:r>
      <w:r>
        <w:t xml:space="preserve"> the actual supplies to account for the devia</w:t>
      </w:r>
      <w:r w:rsidR="001B2E7F">
        <w:t>tion in evapotranspiration (</w:t>
      </w:r>
      <w:r w:rsidR="001B2E7F">
        <w:fldChar w:fldCharType="begin"/>
      </w:r>
      <w:r w:rsidR="001B2E7F">
        <w:instrText xml:space="preserve"> REF _Ref142210908 \h </w:instrText>
      </w:r>
      <w:r w:rsidR="001B2E7F">
        <w:fldChar w:fldCharType="separate"/>
      </w:r>
      <w:r w:rsidR="001B2E7F" w:rsidRPr="007962DB">
        <w:t xml:space="preserve">Figure </w:t>
      </w:r>
      <w:r w:rsidR="001B2E7F">
        <w:rPr>
          <w:noProof/>
        </w:rPr>
        <w:t>12</w:t>
      </w:r>
      <w:r w:rsidR="001B2E7F">
        <w:fldChar w:fldCharType="end"/>
      </w:r>
      <w:r w:rsidR="001B2E7F">
        <w:t xml:space="preserve">). In the figure we can see how in wetter years, such 2011, the effective supplies are greater than the actual supplies, while in warmer years (like 2014 </w:t>
      </w:r>
      <w:proofErr w:type="spellStart"/>
      <w:r w:rsidR="001B2E7F">
        <w:t>and</w:t>
      </w:r>
      <w:proofErr w:type="spellEnd"/>
      <w:r w:rsidR="001B2E7F">
        <w:t xml:space="preserve"> 2015), effective supplies decrease.  </w:t>
      </w:r>
    </w:p>
    <w:p w14:paraId="031E2134" w14:textId="5CDC7EB1" w:rsidR="001B2E7F" w:rsidRPr="007962DB" w:rsidRDefault="001B2E7F" w:rsidP="001B2E7F">
      <w:pPr>
        <w:pStyle w:val="Caption"/>
      </w:pPr>
      <w:bookmarkStart w:id="31" w:name="_Ref142210908"/>
      <w:bookmarkStart w:id="32" w:name="OLE_LINK15"/>
      <w:bookmarkStart w:id="33" w:name="OLE_LINK16"/>
      <w:r w:rsidRPr="007962DB">
        <w:lastRenderedPageBreak/>
        <w:t xml:space="preserve">Figure </w:t>
      </w:r>
      <w:fldSimple w:instr=" SEQ Figure \* ARABIC ">
        <w:r>
          <w:rPr>
            <w:noProof/>
          </w:rPr>
          <w:t>12</w:t>
        </w:r>
      </w:fldSimple>
      <w:bookmarkEnd w:id="31"/>
      <w:r w:rsidRPr="007962DB">
        <w:t xml:space="preserve">. </w:t>
      </w:r>
      <w:r>
        <w:t>Comparison of estimated supplies with effective supplies, accounting the ET deviations</w:t>
      </w:r>
    </w:p>
    <w:p w14:paraId="35EC81A9" w14:textId="32376B37" w:rsidR="001B2E7F" w:rsidRPr="00E03019" w:rsidRDefault="001B2E7F" w:rsidP="001B2E7F">
      <w:pPr>
        <w:rPr>
          <w:b/>
        </w:rPr>
      </w:pPr>
      <w:r>
        <w:rPr>
          <w:noProof/>
        </w:rPr>
        <w:drawing>
          <wp:inline distT="0" distB="0" distL="0" distR="0" wp14:anchorId="1318DCF9" wp14:editId="51B85F92">
            <wp:extent cx="5943600" cy="2529205"/>
            <wp:effectExtent l="0" t="0" r="0" b="0"/>
            <wp:docPr id="12" name="Chart 12">
              <a:extLst xmlns:a="http://schemas.openxmlformats.org/drawingml/2006/main">
                <a:ext uri="{FF2B5EF4-FFF2-40B4-BE49-F238E27FC236}">
                  <a16:creationId xmlns:a16="http://schemas.microsoft.com/office/drawing/2014/main" id="{7551E420-574C-3941-B86F-E0EE64950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D370BF5" w14:textId="13F4859A" w:rsidR="001B2E7F" w:rsidRPr="005B3721" w:rsidRDefault="00A37016" w:rsidP="001B2E7F">
      <w:pPr>
        <w:pStyle w:val="Caption"/>
        <w:keepNext w:val="0"/>
        <w:spacing w:before="0"/>
        <w:rPr>
          <w:b w:val="0"/>
        </w:rPr>
      </w:pPr>
      <w:r>
        <w:t>Notes</w:t>
      </w:r>
      <w:r w:rsidR="001B2E7F">
        <w:t xml:space="preserve">: </w:t>
      </w:r>
      <w:r w:rsidR="001B2E7F" w:rsidRPr="005B3721">
        <w:rPr>
          <w:b w:val="0"/>
        </w:rPr>
        <w:t>Estimated by the authors using the estimated supplies and the ET deviation</w:t>
      </w:r>
    </w:p>
    <w:bookmarkEnd w:id="32"/>
    <w:bookmarkEnd w:id="33"/>
    <w:p w14:paraId="440E628C" w14:textId="478F024F" w:rsidR="001B2E7F" w:rsidRDefault="001B2E7F" w:rsidP="001B2E7F">
      <w:pPr>
        <w:pStyle w:val="Heading3"/>
      </w:pPr>
      <w:r>
        <w:t>Accounting for changes in groundwater storage</w:t>
      </w:r>
    </w:p>
    <w:p w14:paraId="4FEA4A06" w14:textId="77777777" w:rsidR="001C2AE5" w:rsidRDefault="001B2E7F" w:rsidP="001B2E7F">
      <w:r>
        <w:t xml:space="preserve">While surface water conditions affect directly surface deliveries, management decisions—in which pumping increases in dry years to mitigate surface water shortages—create a disconnect between drought conditions and water deliveries. </w:t>
      </w:r>
      <w:r w:rsidR="001C2AE5">
        <w:t>These changes in groundwater storage help identifying which groundwater deliveries are used to respond to drought conditions from groundwater deliveries in normal and wet years.</w:t>
      </w:r>
    </w:p>
    <w:p w14:paraId="54587B8C" w14:textId="2A81BA04" w:rsidR="001B2E7F" w:rsidRPr="001B2E7F" w:rsidRDefault="001C2AE5" w:rsidP="001B2E7F">
      <w:r>
        <w:t xml:space="preserve">To account for these changes we obtain a linear relationship between the annual groundwater supplies </w:t>
      </w:r>
      <w:r w:rsidR="00DA72E1">
        <w:t xml:space="preserve">from the supply portfolio </w:t>
      </w:r>
      <w:r>
        <w:t xml:space="preserve">and the </w:t>
      </w:r>
      <w:r w:rsidR="00DA72E1">
        <w:t xml:space="preserve">annual </w:t>
      </w:r>
      <w:r>
        <w:t>changes in groundwater elevation</w:t>
      </w:r>
      <w:r w:rsidR="00DA72E1">
        <w:t>—</w:t>
      </w:r>
      <w:r>
        <w:t xml:space="preserve">obtained </w:t>
      </w:r>
      <w:r w:rsidR="00DA72E1">
        <w:t>to calculate</w:t>
      </w:r>
      <w:r>
        <w:t xml:space="preserve"> the groundwater </w:t>
      </w:r>
      <w:r w:rsidR="00DA72E1">
        <w:t>pumping intensity indicator (</w:t>
      </w:r>
      <w:r w:rsidR="00A37016">
        <w:fldChar w:fldCharType="begin"/>
      </w:r>
      <w:r w:rsidR="00A37016">
        <w:instrText xml:space="preserve"> REF _Ref142327987 \h </w:instrText>
      </w:r>
      <w:r w:rsidR="00A37016">
        <w:fldChar w:fldCharType="separate"/>
      </w:r>
      <w:r w:rsidR="00A37016" w:rsidRPr="007962DB">
        <w:t xml:space="preserve">Figure </w:t>
      </w:r>
      <w:r w:rsidR="00A37016">
        <w:rPr>
          <w:noProof/>
        </w:rPr>
        <w:t>13</w:t>
      </w:r>
      <w:r w:rsidR="00A37016">
        <w:fldChar w:fldCharType="end"/>
      </w:r>
      <w:r w:rsidR="00A37016">
        <w:t>)</w:t>
      </w:r>
      <w:r w:rsidR="00DA72E1">
        <w:t>.</w:t>
      </w:r>
      <w:r w:rsidR="00A37016">
        <w:t xml:space="preserve"> Then, and assuming that the intercept of the linear adjustment with the y-axis represents the level of sustainable groundwater use, we obtain the changes in groundwater storage as the difference of the estimated groundwater supplies with the value of the intercept—values greater than the intercept will represent groundwater depletion, while values below this value will represent an increase in groundwater storage</w:t>
      </w:r>
      <w:r w:rsidR="005B3721">
        <w:t xml:space="preserve"> (</w:t>
      </w:r>
      <w:r w:rsidR="005B3721">
        <w:fldChar w:fldCharType="begin"/>
      </w:r>
      <w:r w:rsidR="005B3721">
        <w:instrText xml:space="preserve"> REF _Ref142328852 \h </w:instrText>
      </w:r>
      <w:r w:rsidR="005B3721">
        <w:fldChar w:fldCharType="separate"/>
      </w:r>
      <w:r w:rsidR="005B3721" w:rsidRPr="007962DB">
        <w:t xml:space="preserve">Figure </w:t>
      </w:r>
      <w:r w:rsidR="005B3721">
        <w:rPr>
          <w:noProof/>
        </w:rPr>
        <w:t>14</w:t>
      </w:r>
      <w:r w:rsidR="005B3721">
        <w:fldChar w:fldCharType="end"/>
      </w:r>
      <w:r w:rsidR="005B3721">
        <w:t>)</w:t>
      </w:r>
      <w:r w:rsidR="00A37016">
        <w:t>.</w:t>
      </w:r>
    </w:p>
    <w:p w14:paraId="3F3F3A3C" w14:textId="4EC4AE60" w:rsidR="00DA72E1" w:rsidRPr="007962DB" w:rsidRDefault="00DA72E1" w:rsidP="00DA72E1">
      <w:pPr>
        <w:pStyle w:val="Caption"/>
      </w:pPr>
      <w:bookmarkStart w:id="34" w:name="_Ref142327987"/>
      <w:r w:rsidRPr="007962DB">
        <w:lastRenderedPageBreak/>
        <w:t xml:space="preserve">Figure </w:t>
      </w:r>
      <w:fldSimple w:instr=" SEQ Figure \* ARABIC ">
        <w:r>
          <w:rPr>
            <w:noProof/>
          </w:rPr>
          <w:t>13</w:t>
        </w:r>
      </w:fldSimple>
      <w:bookmarkEnd w:id="34"/>
      <w:r w:rsidRPr="007962DB">
        <w:t xml:space="preserve">. </w:t>
      </w:r>
      <w:r>
        <w:t>Relationship between annual groundwater supplies and annual change in groundwater elevation in the San Joaquin River hydrologic region</w:t>
      </w:r>
    </w:p>
    <w:p w14:paraId="77A9D7A6" w14:textId="66780FE0" w:rsidR="00DA72E1" w:rsidRPr="00E03019" w:rsidRDefault="00DA72E1" w:rsidP="00DA72E1">
      <w:pPr>
        <w:rPr>
          <w:b/>
        </w:rPr>
      </w:pPr>
      <w:r>
        <w:rPr>
          <w:noProof/>
        </w:rPr>
        <w:drawing>
          <wp:inline distT="0" distB="0" distL="0" distR="0" wp14:anchorId="2705F046" wp14:editId="2FA8488D">
            <wp:extent cx="4572000" cy="2743200"/>
            <wp:effectExtent l="0" t="0" r="0" b="0"/>
            <wp:docPr id="14" name="Chart 14">
              <a:extLst xmlns:a="http://schemas.openxmlformats.org/drawingml/2006/main">
                <a:ext uri="{FF2B5EF4-FFF2-40B4-BE49-F238E27FC236}">
                  <a16:creationId xmlns:a16="http://schemas.microsoft.com/office/drawing/2014/main" id="{B50838C4-6789-8B44-A942-7FCEDE564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9C302ED" w14:textId="6F461451" w:rsidR="00DA72E1" w:rsidRPr="005B3721" w:rsidRDefault="005B3721" w:rsidP="00DA72E1">
      <w:pPr>
        <w:pStyle w:val="Caption"/>
        <w:keepNext w:val="0"/>
        <w:spacing w:before="0"/>
        <w:rPr>
          <w:b w:val="0"/>
        </w:rPr>
      </w:pPr>
      <w:r>
        <w:t>Notes</w:t>
      </w:r>
      <w:r w:rsidR="00DA72E1">
        <w:t xml:space="preserve">: </w:t>
      </w:r>
      <w:r w:rsidR="00A37016" w:rsidRPr="005B3721">
        <w:rPr>
          <w:b w:val="0"/>
        </w:rPr>
        <w:t>Calculated</w:t>
      </w:r>
      <w:r w:rsidR="00DA72E1" w:rsidRPr="005B3721">
        <w:rPr>
          <w:b w:val="0"/>
        </w:rPr>
        <w:t xml:space="preserve"> by the authors using the data from</w:t>
      </w:r>
      <w:r w:rsidR="00A37016" w:rsidRPr="005B3721">
        <w:rPr>
          <w:b w:val="0"/>
        </w:rPr>
        <w:t xml:space="preserve"> DWR’s water portfolios and from changes in groundwater elevation obtained from DWR’s Periodic Groundwater Levels dataset</w:t>
      </w:r>
    </w:p>
    <w:p w14:paraId="40DCAC18" w14:textId="195BFC5D" w:rsidR="00A37016" w:rsidRPr="007962DB" w:rsidRDefault="00A37016" w:rsidP="00A37016">
      <w:pPr>
        <w:pStyle w:val="Caption"/>
      </w:pPr>
      <w:bookmarkStart w:id="35" w:name="_Ref142328852"/>
      <w:bookmarkStart w:id="36" w:name="OLE_LINK17"/>
      <w:bookmarkStart w:id="37" w:name="OLE_LINK18"/>
      <w:r w:rsidRPr="007962DB">
        <w:t xml:space="preserve">Figure </w:t>
      </w:r>
      <w:fldSimple w:instr=" SEQ Figure \* ARABIC ">
        <w:r>
          <w:rPr>
            <w:noProof/>
          </w:rPr>
          <w:t>14</w:t>
        </w:r>
      </w:fldSimple>
      <w:bookmarkEnd w:id="35"/>
      <w:r w:rsidRPr="007962DB">
        <w:t xml:space="preserve">. </w:t>
      </w:r>
      <w:r w:rsidR="005B3721">
        <w:t>Changes in groundwater storage in the San Joaquin River hydrologic region</w:t>
      </w:r>
    </w:p>
    <w:p w14:paraId="6CC2F872" w14:textId="76796D36" w:rsidR="00A37016" w:rsidRPr="00E03019" w:rsidRDefault="00A37016" w:rsidP="00A37016">
      <w:pPr>
        <w:rPr>
          <w:b/>
        </w:rPr>
      </w:pPr>
      <w:r>
        <w:rPr>
          <w:noProof/>
        </w:rPr>
        <w:drawing>
          <wp:inline distT="0" distB="0" distL="0" distR="0" wp14:anchorId="2B5FB026" wp14:editId="65F41F03">
            <wp:extent cx="5630333" cy="2311400"/>
            <wp:effectExtent l="0" t="0" r="0" b="0"/>
            <wp:docPr id="18" name="Chart 18">
              <a:extLst xmlns:a="http://schemas.openxmlformats.org/drawingml/2006/main">
                <a:ext uri="{FF2B5EF4-FFF2-40B4-BE49-F238E27FC236}">
                  <a16:creationId xmlns:a16="http://schemas.microsoft.com/office/drawing/2014/main" id="{0593AC06-A967-4642-B4F0-365DED39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EC2248E" w14:textId="563CCAF9" w:rsidR="00A37016" w:rsidRDefault="005B3721" w:rsidP="00A37016">
      <w:pPr>
        <w:pStyle w:val="Caption"/>
        <w:keepNext w:val="0"/>
        <w:spacing w:before="0"/>
      </w:pPr>
      <w:r>
        <w:t>Notes</w:t>
      </w:r>
      <w:r w:rsidR="00A37016">
        <w:t xml:space="preserve">: </w:t>
      </w:r>
      <w:r>
        <w:rPr>
          <w:b w:val="0"/>
        </w:rPr>
        <w:t>Calculated</w:t>
      </w:r>
      <w:r w:rsidRPr="005B3721">
        <w:rPr>
          <w:b w:val="0"/>
        </w:rPr>
        <w:t xml:space="preserve"> by the authors</w:t>
      </w:r>
    </w:p>
    <w:bookmarkEnd w:id="36"/>
    <w:bookmarkEnd w:id="37"/>
    <w:p w14:paraId="6DD9353F" w14:textId="001630C8" w:rsidR="00A37016" w:rsidRPr="00A37016" w:rsidRDefault="005B3721" w:rsidP="00A37016">
      <w:r>
        <w:t>Finally, and similarly as we did for accounting for demand anomalies, we correct the annual supplies to account for the changes in groundwater storage (</w:t>
      </w:r>
      <w:r>
        <w:fldChar w:fldCharType="begin"/>
      </w:r>
      <w:r>
        <w:instrText xml:space="preserve"> REF _Ref142329019 \h </w:instrText>
      </w:r>
      <w:r>
        <w:fldChar w:fldCharType="separate"/>
      </w:r>
      <w:r w:rsidRPr="007962DB">
        <w:t xml:space="preserve">Figure </w:t>
      </w:r>
      <w:r>
        <w:rPr>
          <w:noProof/>
        </w:rPr>
        <w:t>15</w:t>
      </w:r>
      <w:r>
        <w:fldChar w:fldCharType="end"/>
      </w:r>
      <w:r>
        <w:t>). It is important to note that the actual deliveries do not change because incrementing groundwater use is a management decision to mitigate drought impacts</w:t>
      </w:r>
      <w:r w:rsidR="005B67FA">
        <w:t>. B</w:t>
      </w:r>
      <w:r>
        <w:t xml:space="preserve">ut by accounting for changes in groundwater storage, we can actually measure how droughts are causing this increase in pumping. This </w:t>
      </w:r>
      <w:r w:rsidR="005B67FA">
        <w:t xml:space="preserve">method </w:t>
      </w:r>
      <w:r>
        <w:t xml:space="preserve">can help also internalizing some other </w:t>
      </w:r>
      <w:r w:rsidR="005B67FA">
        <w:t xml:space="preserve">drought </w:t>
      </w:r>
      <w:r>
        <w:t>impacts</w:t>
      </w:r>
      <w:r w:rsidR="005B67FA">
        <w:t xml:space="preserve">—such as wells running dry by changes in groundwater levels, or the potential losses caused by the future reduction in groundwater availability. </w:t>
      </w:r>
    </w:p>
    <w:p w14:paraId="52FEF3DF" w14:textId="26CDE3EA" w:rsidR="005B3721" w:rsidRPr="007962DB" w:rsidRDefault="005B3721" w:rsidP="005B3721">
      <w:pPr>
        <w:pStyle w:val="Caption"/>
      </w:pPr>
      <w:bookmarkStart w:id="38" w:name="_Ref142329019"/>
      <w:bookmarkStart w:id="39" w:name="OLE_LINK19"/>
      <w:bookmarkStart w:id="40" w:name="OLE_LINK20"/>
      <w:r w:rsidRPr="007962DB">
        <w:lastRenderedPageBreak/>
        <w:t xml:space="preserve">Figure </w:t>
      </w:r>
      <w:fldSimple w:instr=" SEQ Figure \* ARABIC ">
        <w:r>
          <w:rPr>
            <w:noProof/>
          </w:rPr>
          <w:t>15</w:t>
        </w:r>
      </w:fldSimple>
      <w:bookmarkEnd w:id="38"/>
      <w:r w:rsidRPr="007962DB">
        <w:t xml:space="preserve">. </w:t>
      </w:r>
      <w:r w:rsidR="005B67FA">
        <w:t>Comparison of estimated supplies with effective supplies, accounting for changes in groundwater storage</w:t>
      </w:r>
    </w:p>
    <w:p w14:paraId="19DE9E96" w14:textId="1A4A01C7" w:rsidR="005B3721" w:rsidRPr="00E03019" w:rsidRDefault="005B67FA" w:rsidP="005B3721">
      <w:pPr>
        <w:rPr>
          <w:b/>
        </w:rPr>
      </w:pPr>
      <w:r>
        <w:rPr>
          <w:noProof/>
        </w:rPr>
        <w:drawing>
          <wp:inline distT="0" distB="0" distL="0" distR="0" wp14:anchorId="2432E611" wp14:editId="4FF0006A">
            <wp:extent cx="5943600" cy="2529205"/>
            <wp:effectExtent l="0" t="0" r="0" b="0"/>
            <wp:docPr id="23" name="Chart 23">
              <a:extLst xmlns:a="http://schemas.openxmlformats.org/drawingml/2006/main">
                <a:ext uri="{FF2B5EF4-FFF2-40B4-BE49-F238E27FC236}">
                  <a16:creationId xmlns:a16="http://schemas.microsoft.com/office/drawing/2014/main" id="{39E9F08E-BEC8-384C-A8D9-4525DDCCA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C769B8A" w14:textId="47367964" w:rsidR="005B3721" w:rsidRDefault="005B3721" w:rsidP="005B3721">
      <w:pPr>
        <w:pStyle w:val="Caption"/>
        <w:keepNext w:val="0"/>
        <w:spacing w:before="0"/>
      </w:pPr>
      <w:r>
        <w:t xml:space="preserve">Notes: </w:t>
      </w:r>
      <w:r>
        <w:rPr>
          <w:b w:val="0"/>
        </w:rPr>
        <w:t>Calculated</w:t>
      </w:r>
      <w:r w:rsidRPr="005B3721">
        <w:rPr>
          <w:b w:val="0"/>
        </w:rPr>
        <w:t xml:space="preserve"> by the authors</w:t>
      </w:r>
      <w:r w:rsidR="005B67FA" w:rsidRPr="005B67FA">
        <w:rPr>
          <w:b w:val="0"/>
        </w:rPr>
        <w:t xml:space="preserve"> </w:t>
      </w:r>
      <w:r w:rsidR="005B67FA" w:rsidRPr="005B3721">
        <w:rPr>
          <w:b w:val="0"/>
        </w:rPr>
        <w:t xml:space="preserve">using the estimated supplies and the </w:t>
      </w:r>
      <w:r w:rsidR="005B67FA">
        <w:rPr>
          <w:b w:val="0"/>
        </w:rPr>
        <w:t>changes in groundwater storage</w:t>
      </w:r>
    </w:p>
    <w:bookmarkEnd w:id="39"/>
    <w:bookmarkEnd w:id="40"/>
    <w:p w14:paraId="3FB87F39" w14:textId="7AAC9D8A" w:rsidR="005B67FA" w:rsidRDefault="005B67FA" w:rsidP="005B67FA">
      <w:pPr>
        <w:pStyle w:val="Heading3"/>
      </w:pPr>
      <w:r>
        <w:t>Estimating shortages</w:t>
      </w:r>
    </w:p>
    <w:p w14:paraId="1A4274A9" w14:textId="4C698B44" w:rsidR="00FB635C" w:rsidRDefault="00FB635C" w:rsidP="006417ED">
      <w:r>
        <w:t>After estimating the total supplies as the sum of supplies from different sources, we obtain the final effective supplies by accounting for demand anomalies and changes in groundwater storage (</w:t>
      </w:r>
      <w:r w:rsidR="00B9741F">
        <w:fldChar w:fldCharType="begin"/>
      </w:r>
      <w:r w:rsidR="00B9741F">
        <w:instrText xml:space="preserve"> REF _Ref142330844 \h </w:instrText>
      </w:r>
      <w:r w:rsidR="00B9741F">
        <w:fldChar w:fldCharType="separate"/>
      </w:r>
      <w:r w:rsidR="00B9741F" w:rsidRPr="007962DB">
        <w:t xml:space="preserve">Figure </w:t>
      </w:r>
      <w:r w:rsidR="00B9741F">
        <w:rPr>
          <w:noProof/>
        </w:rPr>
        <w:t>16</w:t>
      </w:r>
      <w:r w:rsidR="00B9741F">
        <w:fldChar w:fldCharType="end"/>
      </w:r>
      <w:r w:rsidR="00B9741F">
        <w:t>)</w:t>
      </w:r>
      <w:r>
        <w:t>.</w:t>
      </w:r>
      <w:r w:rsidR="00B9741F">
        <w:t xml:space="preserve"> Note how especially changes in groundwater storage, but also demand anomalies, change the annual distribution of estimated supplies and final effective supplies. While in the estimated supplies is difficult to see the differences between drought vs non-drought years, final effective supplies highlight clearly the drought years—especially 2014 and 2015, but also 2008 and 2009.</w:t>
      </w:r>
    </w:p>
    <w:p w14:paraId="02823DD5" w14:textId="699FD7CB" w:rsidR="00FB635C" w:rsidRPr="007962DB" w:rsidRDefault="00FB635C" w:rsidP="00FB635C">
      <w:pPr>
        <w:pStyle w:val="Caption"/>
      </w:pPr>
      <w:bookmarkStart w:id="41" w:name="_Ref142330844"/>
      <w:bookmarkStart w:id="42" w:name="OLE_LINK21"/>
      <w:bookmarkStart w:id="43" w:name="OLE_LINK22"/>
      <w:r w:rsidRPr="007962DB">
        <w:t xml:space="preserve">Figure </w:t>
      </w:r>
      <w:fldSimple w:instr=" SEQ Figure \* ARABIC ">
        <w:r>
          <w:rPr>
            <w:noProof/>
          </w:rPr>
          <w:t>16</w:t>
        </w:r>
      </w:fldSimple>
      <w:bookmarkEnd w:id="41"/>
      <w:r w:rsidRPr="007962DB">
        <w:t xml:space="preserve">. </w:t>
      </w:r>
      <w:r>
        <w:t>Comparison of estimated supplies with final effective supplies, accounting for demand anomalies and changes in groundwater storage</w:t>
      </w:r>
    </w:p>
    <w:p w14:paraId="598ABDF6" w14:textId="114A2C6D" w:rsidR="00FB635C" w:rsidRPr="00E03019" w:rsidRDefault="00FB635C" w:rsidP="00FB635C">
      <w:pPr>
        <w:rPr>
          <w:b/>
        </w:rPr>
      </w:pPr>
      <w:r>
        <w:rPr>
          <w:noProof/>
        </w:rPr>
        <w:drawing>
          <wp:inline distT="0" distB="0" distL="0" distR="0" wp14:anchorId="65970525" wp14:editId="454CD586">
            <wp:extent cx="5943600" cy="2529205"/>
            <wp:effectExtent l="0" t="0" r="0" b="0"/>
            <wp:docPr id="26" name="Chart 26">
              <a:extLst xmlns:a="http://schemas.openxmlformats.org/drawingml/2006/main">
                <a:ext uri="{FF2B5EF4-FFF2-40B4-BE49-F238E27FC236}">
                  <a16:creationId xmlns:a16="http://schemas.microsoft.com/office/drawing/2014/main" id="{14E8587A-3C5A-7444-854A-232E0F3DB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A67F4E" w14:textId="50E76E69" w:rsidR="00FB635C" w:rsidRDefault="00FB635C" w:rsidP="00FB635C">
      <w:pPr>
        <w:pStyle w:val="Caption"/>
        <w:keepNext w:val="0"/>
        <w:spacing w:before="0"/>
      </w:pPr>
      <w:r>
        <w:lastRenderedPageBreak/>
        <w:t xml:space="preserve">Notes: </w:t>
      </w:r>
      <w:r>
        <w:rPr>
          <w:b w:val="0"/>
        </w:rPr>
        <w:t>Calculated</w:t>
      </w:r>
      <w:r w:rsidRPr="005B3721">
        <w:rPr>
          <w:b w:val="0"/>
        </w:rPr>
        <w:t xml:space="preserve"> by the authors</w:t>
      </w:r>
      <w:r w:rsidRPr="005B67FA">
        <w:rPr>
          <w:b w:val="0"/>
        </w:rPr>
        <w:t xml:space="preserve"> </w:t>
      </w:r>
      <w:r w:rsidRPr="005B3721">
        <w:rPr>
          <w:b w:val="0"/>
        </w:rPr>
        <w:t xml:space="preserve">using the estimated supplies and the </w:t>
      </w:r>
      <w:r>
        <w:rPr>
          <w:b w:val="0"/>
        </w:rPr>
        <w:t>estimated demand anomalies and changes in groundwater storage</w:t>
      </w:r>
    </w:p>
    <w:bookmarkEnd w:id="42"/>
    <w:bookmarkEnd w:id="43"/>
    <w:p w14:paraId="44A36296" w14:textId="65CBA118" w:rsidR="00B9741F" w:rsidRDefault="00B9741F" w:rsidP="006417ED">
      <w:r>
        <w:t xml:space="preserve">To estimate shortages, a simple approach is to assume that deliveries are maximum when there are no drought restrictions, and annual shortages are calculated as the difference from the maximum deliveries. </w:t>
      </w:r>
      <w:r>
        <w:fldChar w:fldCharType="begin"/>
      </w:r>
      <w:r>
        <w:instrText xml:space="preserve"> REF _Ref142331159 \h </w:instrText>
      </w:r>
      <w:r>
        <w:fldChar w:fldCharType="separate"/>
      </w:r>
      <w:r w:rsidRPr="007962DB">
        <w:t xml:space="preserve">Figure </w:t>
      </w:r>
      <w:r>
        <w:rPr>
          <w:noProof/>
        </w:rPr>
        <w:t>17</w:t>
      </w:r>
      <w:r>
        <w:fldChar w:fldCharType="end"/>
      </w:r>
      <w:r>
        <w:t xml:space="preserve"> shows the estimated shortages, calculated as the annual effective deliveries with respect to the maximum annual effective deliveries, which are 2011 deliveries (one of the wettest years on the series).</w:t>
      </w:r>
    </w:p>
    <w:p w14:paraId="4B09E15E" w14:textId="181A19B0" w:rsidR="00B9741F" w:rsidRPr="007962DB" w:rsidRDefault="00B9741F" w:rsidP="00B9741F">
      <w:pPr>
        <w:pStyle w:val="Caption"/>
      </w:pPr>
      <w:bookmarkStart w:id="44" w:name="_Ref142331159"/>
      <w:bookmarkStart w:id="45" w:name="OLE_LINK23"/>
      <w:bookmarkStart w:id="46" w:name="OLE_LINK24"/>
      <w:r w:rsidRPr="007962DB">
        <w:t xml:space="preserve">Figure </w:t>
      </w:r>
      <w:r w:rsidRPr="007962DB">
        <w:fldChar w:fldCharType="begin"/>
      </w:r>
      <w:r w:rsidRPr="007962DB">
        <w:instrText xml:space="preserve"> SEQ Figure \* ARABIC </w:instrText>
      </w:r>
      <w:r w:rsidRPr="007962DB">
        <w:fldChar w:fldCharType="separate"/>
      </w:r>
      <w:r>
        <w:rPr>
          <w:noProof/>
        </w:rPr>
        <w:t>17</w:t>
      </w:r>
      <w:r w:rsidRPr="007962DB">
        <w:fldChar w:fldCharType="end"/>
      </w:r>
      <w:bookmarkEnd w:id="44"/>
      <w:r w:rsidRPr="007962DB">
        <w:t xml:space="preserve">. </w:t>
      </w:r>
      <w:r>
        <w:t>Estimated annual shortages in the San Joaquin River hydrologic region</w:t>
      </w:r>
    </w:p>
    <w:p w14:paraId="5517BAEC" w14:textId="49290DF0" w:rsidR="00B9741F" w:rsidRPr="00E03019" w:rsidRDefault="00B9741F" w:rsidP="00B9741F">
      <w:pPr>
        <w:rPr>
          <w:b/>
        </w:rPr>
      </w:pPr>
      <w:r>
        <w:rPr>
          <w:noProof/>
        </w:rPr>
        <w:drawing>
          <wp:inline distT="0" distB="0" distL="0" distR="0" wp14:anchorId="47087D70" wp14:editId="275A8CAA">
            <wp:extent cx="5943600" cy="2639060"/>
            <wp:effectExtent l="0" t="0" r="0" b="2540"/>
            <wp:docPr id="28" name="Chart 28">
              <a:extLst xmlns:a="http://schemas.openxmlformats.org/drawingml/2006/main">
                <a:ext uri="{FF2B5EF4-FFF2-40B4-BE49-F238E27FC236}">
                  <a16:creationId xmlns:a16="http://schemas.microsoft.com/office/drawing/2014/main" id="{B7EE2909-BBDB-F94B-B10F-D33840A5F8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A6ADF88" w14:textId="6FF2D3E8" w:rsidR="00B9741F" w:rsidRDefault="00B9741F" w:rsidP="00B9741F">
      <w:pPr>
        <w:pStyle w:val="Caption"/>
        <w:keepNext w:val="0"/>
        <w:spacing w:before="0"/>
      </w:pPr>
      <w:r>
        <w:t xml:space="preserve">Notes: </w:t>
      </w:r>
      <w:r>
        <w:rPr>
          <w:b w:val="0"/>
        </w:rPr>
        <w:t>Calculated</w:t>
      </w:r>
      <w:r w:rsidRPr="005B3721">
        <w:rPr>
          <w:b w:val="0"/>
        </w:rPr>
        <w:t xml:space="preserve"> by the authors</w:t>
      </w:r>
      <w:r w:rsidRPr="005B67FA">
        <w:rPr>
          <w:b w:val="0"/>
        </w:rPr>
        <w:t xml:space="preserve"> </w:t>
      </w:r>
      <w:r w:rsidRPr="005B3721">
        <w:rPr>
          <w:b w:val="0"/>
        </w:rPr>
        <w:t xml:space="preserve">using the estimated </w:t>
      </w:r>
      <w:r>
        <w:rPr>
          <w:b w:val="0"/>
        </w:rPr>
        <w:t>final effective</w:t>
      </w:r>
    </w:p>
    <w:bookmarkEnd w:id="45"/>
    <w:bookmarkEnd w:id="46"/>
    <w:p w14:paraId="06CAF8AE" w14:textId="5FC63AEC" w:rsidR="00B9741F" w:rsidRDefault="008A0BAA" w:rsidP="00B9741F">
      <w:pPr>
        <w:pStyle w:val="Heading2"/>
      </w:pPr>
      <w:r>
        <w:t>Obtaining system drought indicator for any date</w:t>
      </w:r>
    </w:p>
    <w:p w14:paraId="5B5D5734" w14:textId="643564EF" w:rsidR="008A0BAA" w:rsidRPr="00A6281A" w:rsidRDefault="008A0BAA" w:rsidP="00A6281A">
      <w:r>
        <w:t xml:space="preserve">We have obtained annual shortages for years with water deliveries from DWR’s water balance dataset using the drought indicators developed in Methodology 1. Therefore, we can extrapolate this methodology to obtain drought conditions and shortages for any point in time. </w:t>
      </w:r>
      <w:r w:rsidR="00E0306C">
        <w:t>U</w:t>
      </w:r>
      <w:r>
        <w:t xml:space="preserve">sing these </w:t>
      </w:r>
      <w:r w:rsidR="00E0306C">
        <w:t>methods,</w:t>
      </w:r>
      <w:r>
        <w:t xml:space="preserve"> we can estimate now supplies from each of the sources</w:t>
      </w:r>
      <w:r w:rsidR="00E0306C">
        <w:t xml:space="preserve"> (</w:t>
      </w:r>
      <w:r w:rsidR="00E0306C">
        <w:fldChar w:fldCharType="begin"/>
      </w:r>
      <w:r w:rsidR="00E0306C">
        <w:instrText xml:space="preserve"> REF _Ref142333562 \h </w:instrText>
      </w:r>
      <w:r w:rsidR="00E0306C">
        <w:fldChar w:fldCharType="separate"/>
      </w:r>
      <w:r w:rsidR="00E0306C" w:rsidRPr="007962DB">
        <w:t>Fig</w:t>
      </w:r>
      <w:r w:rsidR="00E0306C" w:rsidRPr="007962DB">
        <w:t>u</w:t>
      </w:r>
      <w:r w:rsidR="00E0306C" w:rsidRPr="007962DB">
        <w:t xml:space="preserve">re </w:t>
      </w:r>
      <w:r w:rsidR="00E0306C">
        <w:rPr>
          <w:noProof/>
        </w:rPr>
        <w:t>18</w:t>
      </w:r>
      <w:r w:rsidR="00E0306C">
        <w:fldChar w:fldCharType="end"/>
      </w:r>
      <w:r w:rsidR="00E0306C">
        <w:t>)</w:t>
      </w:r>
      <w:r>
        <w:t>, demand anomalies</w:t>
      </w:r>
      <w:r w:rsidR="00E0306C">
        <w:t xml:space="preserve"> </w:t>
      </w:r>
      <w:r w:rsidR="00E0306C">
        <w:t>(</w:t>
      </w:r>
      <w:r w:rsidR="00E0306C">
        <w:fldChar w:fldCharType="begin"/>
      </w:r>
      <w:r w:rsidR="00E0306C">
        <w:instrText xml:space="preserve"> REF _Ref142333709 \h </w:instrText>
      </w:r>
      <w:r w:rsidR="00E0306C">
        <w:fldChar w:fldCharType="separate"/>
      </w:r>
      <w:r w:rsidR="00E0306C" w:rsidRPr="007962DB">
        <w:t xml:space="preserve">Figure </w:t>
      </w:r>
      <w:r w:rsidR="00E0306C">
        <w:rPr>
          <w:noProof/>
        </w:rPr>
        <w:t>19</w:t>
      </w:r>
      <w:r w:rsidR="00E0306C">
        <w:fldChar w:fldCharType="end"/>
      </w:r>
      <w:r w:rsidR="00E0306C">
        <w:t>),</w:t>
      </w:r>
      <w:r>
        <w:t xml:space="preserve"> and changes in groundwater storage</w:t>
      </w:r>
      <w:r w:rsidR="00E0306C">
        <w:t xml:space="preserve"> (</w:t>
      </w:r>
      <w:r w:rsidR="00E0306C">
        <w:fldChar w:fldCharType="begin"/>
      </w:r>
      <w:r w:rsidR="00E0306C">
        <w:instrText xml:space="preserve"> REF _Ref142334012 \h </w:instrText>
      </w:r>
      <w:r w:rsidR="00E0306C">
        <w:fldChar w:fldCharType="separate"/>
      </w:r>
      <w:r w:rsidR="00E0306C" w:rsidRPr="007962DB">
        <w:t xml:space="preserve">Figure </w:t>
      </w:r>
      <w:r w:rsidR="00E0306C">
        <w:rPr>
          <w:noProof/>
        </w:rPr>
        <w:t>20</w:t>
      </w:r>
      <w:r w:rsidR="00E0306C">
        <w:fldChar w:fldCharType="end"/>
      </w:r>
      <w:r w:rsidR="00E0306C">
        <w:t>) to</w:t>
      </w:r>
      <w:r>
        <w:t xml:space="preserve"> finally obtain </w:t>
      </w:r>
      <w:r w:rsidR="00E0306C">
        <w:t>effective deliveries (</w:t>
      </w:r>
      <w:r w:rsidR="00E0306C">
        <w:fldChar w:fldCharType="begin"/>
      </w:r>
      <w:r w:rsidR="00E0306C">
        <w:instrText xml:space="preserve"> REF _Ref142333893 \h </w:instrText>
      </w:r>
      <w:r w:rsidR="00E0306C">
        <w:fldChar w:fldCharType="separate"/>
      </w:r>
      <w:r w:rsidR="00E0306C" w:rsidRPr="007962DB">
        <w:t xml:space="preserve">Figure </w:t>
      </w:r>
      <w:r w:rsidR="00E0306C">
        <w:rPr>
          <w:noProof/>
        </w:rPr>
        <w:t>21</w:t>
      </w:r>
      <w:r w:rsidR="00E0306C">
        <w:fldChar w:fldCharType="end"/>
      </w:r>
      <w:r w:rsidR="00E0306C">
        <w:t>) and system</w:t>
      </w:r>
      <w:r>
        <w:t xml:space="preserve"> shortages</w:t>
      </w:r>
      <w:r w:rsidR="00E0306C">
        <w:t xml:space="preserve"> (</w:t>
      </w:r>
      <w:r w:rsidR="00E0306C">
        <w:fldChar w:fldCharType="begin"/>
      </w:r>
      <w:r w:rsidR="00E0306C">
        <w:instrText xml:space="preserve"> REF _Ref142334155 \h </w:instrText>
      </w:r>
      <w:r w:rsidR="00E0306C">
        <w:fldChar w:fldCharType="separate"/>
      </w:r>
      <w:r w:rsidR="00E0306C" w:rsidRPr="007962DB">
        <w:t xml:space="preserve">Figure </w:t>
      </w:r>
      <w:r w:rsidR="00E0306C">
        <w:rPr>
          <w:noProof/>
        </w:rPr>
        <w:t>22</w:t>
      </w:r>
      <w:r w:rsidR="00E0306C">
        <w:fldChar w:fldCharType="end"/>
      </w:r>
      <w:r w:rsidR="00E0306C">
        <w:t>)</w:t>
      </w:r>
      <w:r>
        <w:t>.</w:t>
      </w:r>
    </w:p>
    <w:p w14:paraId="7CA71C00" w14:textId="05C4DF82" w:rsidR="00E0306C" w:rsidRPr="007962DB" w:rsidRDefault="00E0306C" w:rsidP="00E0306C">
      <w:pPr>
        <w:pStyle w:val="Caption"/>
      </w:pPr>
      <w:bookmarkStart w:id="47" w:name="_Ref142333562"/>
      <w:bookmarkStart w:id="48" w:name="OLE_LINK25"/>
      <w:bookmarkStart w:id="49" w:name="OLE_LINK26"/>
      <w:r w:rsidRPr="007962DB">
        <w:lastRenderedPageBreak/>
        <w:t xml:space="preserve">Figure </w:t>
      </w:r>
      <w:r w:rsidRPr="007962DB">
        <w:fldChar w:fldCharType="begin"/>
      </w:r>
      <w:r w:rsidRPr="007962DB">
        <w:instrText xml:space="preserve"> SEQ Figure \* ARABIC </w:instrText>
      </w:r>
      <w:r w:rsidRPr="007962DB">
        <w:fldChar w:fldCharType="separate"/>
      </w:r>
      <w:r>
        <w:rPr>
          <w:noProof/>
        </w:rPr>
        <w:t>18</w:t>
      </w:r>
      <w:r w:rsidRPr="007962DB">
        <w:fldChar w:fldCharType="end"/>
      </w:r>
      <w:bookmarkEnd w:id="47"/>
      <w:r w:rsidRPr="007962DB">
        <w:t xml:space="preserve">. </w:t>
      </w:r>
      <w:r>
        <w:t xml:space="preserve">Estimated </w:t>
      </w:r>
      <w:r>
        <w:t>annual deliveries from each source since 1991</w:t>
      </w:r>
    </w:p>
    <w:p w14:paraId="31EA1C65" w14:textId="68A0C6E8" w:rsidR="00E0306C" w:rsidRPr="00E03019" w:rsidRDefault="00E0306C" w:rsidP="00E0306C">
      <w:pPr>
        <w:rPr>
          <w:b/>
        </w:rPr>
      </w:pPr>
      <w:r>
        <w:rPr>
          <w:noProof/>
        </w:rPr>
        <w:drawing>
          <wp:inline distT="0" distB="0" distL="0" distR="0" wp14:anchorId="7AFBB0D5" wp14:editId="1E0EE4DC">
            <wp:extent cx="5943600" cy="2593340"/>
            <wp:effectExtent l="0" t="0" r="0" b="0"/>
            <wp:docPr id="30" name="Chart 30">
              <a:extLst xmlns:a="http://schemas.openxmlformats.org/drawingml/2006/main">
                <a:ext uri="{FF2B5EF4-FFF2-40B4-BE49-F238E27FC236}">
                  <a16:creationId xmlns:a16="http://schemas.microsoft.com/office/drawing/2014/main" id="{B3808C1E-68B1-954E-8BA6-BBCBE2A54D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D5013D9" w14:textId="732A2106"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bookmarkEnd w:id="48"/>
      <w:bookmarkEnd w:id="49"/>
    </w:p>
    <w:p w14:paraId="23DFA262" w14:textId="49FD226A" w:rsidR="00E0306C" w:rsidRPr="007962DB" w:rsidRDefault="00E0306C" w:rsidP="00E0306C">
      <w:pPr>
        <w:pStyle w:val="Caption"/>
      </w:pPr>
      <w:bookmarkStart w:id="50" w:name="_Ref142333709"/>
      <w:r w:rsidRPr="007962DB">
        <w:t xml:space="preserve">Figure </w:t>
      </w:r>
      <w:r w:rsidRPr="007962DB">
        <w:fldChar w:fldCharType="begin"/>
      </w:r>
      <w:r w:rsidRPr="007962DB">
        <w:instrText xml:space="preserve"> SEQ Figure \* ARABIC </w:instrText>
      </w:r>
      <w:r w:rsidRPr="007962DB">
        <w:fldChar w:fldCharType="separate"/>
      </w:r>
      <w:r>
        <w:rPr>
          <w:noProof/>
        </w:rPr>
        <w:t>19</w:t>
      </w:r>
      <w:r w:rsidRPr="007962DB">
        <w:fldChar w:fldCharType="end"/>
      </w:r>
      <w:bookmarkEnd w:id="50"/>
      <w:r w:rsidRPr="007962DB">
        <w:t xml:space="preserve">. </w:t>
      </w:r>
      <w:r>
        <w:t xml:space="preserve">Estimated </w:t>
      </w:r>
      <w:r>
        <w:t>demand anomalies</w:t>
      </w:r>
      <w:r>
        <w:t xml:space="preserve"> since 1991</w:t>
      </w:r>
    </w:p>
    <w:p w14:paraId="556554FA" w14:textId="507F9DDB" w:rsidR="00E0306C" w:rsidRPr="00E03019" w:rsidRDefault="00E0306C" w:rsidP="00E0306C">
      <w:pPr>
        <w:rPr>
          <w:b/>
        </w:rPr>
      </w:pPr>
      <w:r>
        <w:rPr>
          <w:noProof/>
        </w:rPr>
        <w:drawing>
          <wp:inline distT="0" distB="0" distL="0" distR="0" wp14:anchorId="4AD7B72B" wp14:editId="7B2F7F27">
            <wp:extent cx="5943600" cy="2593340"/>
            <wp:effectExtent l="0" t="0" r="0" b="0"/>
            <wp:docPr id="32" name="Chart 32">
              <a:extLst xmlns:a="http://schemas.openxmlformats.org/drawingml/2006/main">
                <a:ext uri="{FF2B5EF4-FFF2-40B4-BE49-F238E27FC236}">
                  <a16:creationId xmlns:a16="http://schemas.microsoft.com/office/drawing/2014/main" id="{5E3F6F3A-E562-E745-843D-0279B1B1A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E348812" w14:textId="24EA8BF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3A673AA5" w14:textId="21327B59" w:rsidR="00E0306C" w:rsidRPr="007962DB" w:rsidRDefault="00E0306C" w:rsidP="00E0306C">
      <w:pPr>
        <w:pStyle w:val="Caption"/>
      </w:pPr>
      <w:bookmarkStart w:id="51" w:name="_Ref142334012"/>
      <w:r w:rsidRPr="007962DB">
        <w:lastRenderedPageBreak/>
        <w:t xml:space="preserve">Figure </w:t>
      </w:r>
      <w:r w:rsidRPr="007962DB">
        <w:fldChar w:fldCharType="begin"/>
      </w:r>
      <w:r w:rsidRPr="007962DB">
        <w:instrText xml:space="preserve"> SEQ Figure \* ARABIC </w:instrText>
      </w:r>
      <w:r w:rsidRPr="007962DB">
        <w:fldChar w:fldCharType="separate"/>
      </w:r>
      <w:r>
        <w:rPr>
          <w:noProof/>
        </w:rPr>
        <w:t>20</w:t>
      </w:r>
      <w:r w:rsidRPr="007962DB">
        <w:fldChar w:fldCharType="end"/>
      </w:r>
      <w:bookmarkEnd w:id="51"/>
      <w:r w:rsidRPr="007962DB">
        <w:t xml:space="preserve">. </w:t>
      </w:r>
      <w:r>
        <w:t xml:space="preserve">Estimated </w:t>
      </w:r>
      <w:r>
        <w:t>changes in groundwater storage</w:t>
      </w:r>
      <w:r>
        <w:t xml:space="preserve"> since 1991</w:t>
      </w:r>
    </w:p>
    <w:p w14:paraId="2541AD20" w14:textId="1B931962" w:rsidR="00E0306C" w:rsidRPr="00E03019" w:rsidRDefault="00E0306C" w:rsidP="00E0306C">
      <w:pPr>
        <w:rPr>
          <w:b/>
        </w:rPr>
      </w:pPr>
      <w:r>
        <w:rPr>
          <w:noProof/>
        </w:rPr>
        <w:drawing>
          <wp:inline distT="0" distB="0" distL="0" distR="0" wp14:anchorId="75417FCB" wp14:editId="63C89DAC">
            <wp:extent cx="5943600" cy="2593340"/>
            <wp:effectExtent l="0" t="0" r="0" b="0"/>
            <wp:docPr id="34" name="Chart 34">
              <a:extLst xmlns:a="http://schemas.openxmlformats.org/drawingml/2006/main">
                <a:ext uri="{FF2B5EF4-FFF2-40B4-BE49-F238E27FC236}">
                  <a16:creationId xmlns:a16="http://schemas.microsoft.com/office/drawing/2014/main" id="{FCB261BF-39E0-6642-99DE-6C51D426C8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39B6EA7"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58F4DD3B" w14:textId="3F7178B2" w:rsidR="00E0306C" w:rsidRPr="007962DB" w:rsidRDefault="00E0306C" w:rsidP="00E0306C">
      <w:pPr>
        <w:pStyle w:val="Caption"/>
      </w:pPr>
      <w:bookmarkStart w:id="52" w:name="_Ref142333893"/>
      <w:r w:rsidRPr="007962DB">
        <w:t xml:space="preserve">Figure </w:t>
      </w:r>
      <w:r w:rsidRPr="007962DB">
        <w:fldChar w:fldCharType="begin"/>
      </w:r>
      <w:r w:rsidRPr="007962DB">
        <w:instrText xml:space="preserve"> SEQ Figure \* ARABIC </w:instrText>
      </w:r>
      <w:r w:rsidRPr="007962DB">
        <w:fldChar w:fldCharType="separate"/>
      </w:r>
      <w:r>
        <w:rPr>
          <w:noProof/>
        </w:rPr>
        <w:t>21</w:t>
      </w:r>
      <w:r w:rsidRPr="007962DB">
        <w:fldChar w:fldCharType="end"/>
      </w:r>
      <w:bookmarkEnd w:id="52"/>
      <w:r w:rsidRPr="007962DB">
        <w:t xml:space="preserve">. </w:t>
      </w:r>
      <w:r>
        <w:t xml:space="preserve">Estimated </w:t>
      </w:r>
      <w:r>
        <w:t>final effective deliveries</w:t>
      </w:r>
      <w:r>
        <w:t xml:space="preserve"> since 1991</w:t>
      </w:r>
    </w:p>
    <w:p w14:paraId="44D80FC7" w14:textId="7B844007" w:rsidR="00E0306C" w:rsidRPr="00E03019" w:rsidRDefault="00E0306C" w:rsidP="00E0306C">
      <w:pPr>
        <w:rPr>
          <w:b/>
        </w:rPr>
      </w:pPr>
      <w:r>
        <w:rPr>
          <w:noProof/>
        </w:rPr>
        <w:drawing>
          <wp:inline distT="0" distB="0" distL="0" distR="0" wp14:anchorId="1B993C90" wp14:editId="2C08BA04">
            <wp:extent cx="5943600" cy="2593340"/>
            <wp:effectExtent l="0" t="0" r="0" b="0"/>
            <wp:docPr id="36" name="Chart 36">
              <a:extLst xmlns:a="http://schemas.openxmlformats.org/drawingml/2006/main">
                <a:ext uri="{FF2B5EF4-FFF2-40B4-BE49-F238E27FC236}">
                  <a16:creationId xmlns:a16="http://schemas.microsoft.com/office/drawing/2014/main" id="{E3F40293-EEF1-8545-B2F7-403AF587A9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FE21BFC"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390ADAD1" w14:textId="7B97ED63" w:rsidR="00E0306C" w:rsidRPr="007962DB" w:rsidRDefault="00E0306C" w:rsidP="00E0306C">
      <w:pPr>
        <w:pStyle w:val="Caption"/>
      </w:pPr>
      <w:bookmarkStart w:id="53" w:name="_Ref142334155"/>
      <w:bookmarkStart w:id="54" w:name="OLE_LINK27"/>
      <w:bookmarkStart w:id="55" w:name="OLE_LINK28"/>
      <w:r w:rsidRPr="007962DB">
        <w:lastRenderedPageBreak/>
        <w:t xml:space="preserve">Figure </w:t>
      </w:r>
      <w:r w:rsidRPr="007962DB">
        <w:fldChar w:fldCharType="begin"/>
      </w:r>
      <w:r w:rsidRPr="007962DB">
        <w:instrText xml:space="preserve"> SEQ Figure \* ARABIC </w:instrText>
      </w:r>
      <w:r w:rsidRPr="007962DB">
        <w:fldChar w:fldCharType="separate"/>
      </w:r>
      <w:r>
        <w:rPr>
          <w:noProof/>
        </w:rPr>
        <w:t>22</w:t>
      </w:r>
      <w:r w:rsidRPr="007962DB">
        <w:fldChar w:fldCharType="end"/>
      </w:r>
      <w:bookmarkEnd w:id="53"/>
      <w:r w:rsidRPr="007962DB">
        <w:t xml:space="preserve">. </w:t>
      </w:r>
      <w:r>
        <w:t xml:space="preserve">Estimated </w:t>
      </w:r>
      <w:r>
        <w:t>system shortages</w:t>
      </w:r>
      <w:r>
        <w:t xml:space="preserve"> since 1991</w:t>
      </w:r>
    </w:p>
    <w:p w14:paraId="70796960" w14:textId="41779593" w:rsidR="00E0306C" w:rsidRPr="00E03019" w:rsidRDefault="00E0306C" w:rsidP="00E0306C">
      <w:pPr>
        <w:rPr>
          <w:b/>
        </w:rPr>
      </w:pPr>
      <w:r>
        <w:rPr>
          <w:noProof/>
        </w:rPr>
        <w:drawing>
          <wp:inline distT="0" distB="0" distL="0" distR="0" wp14:anchorId="23B1F668" wp14:editId="1EF36491">
            <wp:extent cx="5943600" cy="2593340"/>
            <wp:effectExtent l="0" t="0" r="0" b="0"/>
            <wp:docPr id="38" name="Chart 38">
              <a:extLst xmlns:a="http://schemas.openxmlformats.org/drawingml/2006/main">
                <a:ext uri="{FF2B5EF4-FFF2-40B4-BE49-F238E27FC236}">
                  <a16:creationId xmlns:a16="http://schemas.microsoft.com/office/drawing/2014/main" id="{C4E8D681-09B6-F94B-BB71-127C2CEBA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CCC85D3"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bookmarkEnd w:id="54"/>
    <w:bookmarkEnd w:id="55"/>
    <w:p w14:paraId="10837D4C" w14:textId="2DB6E34C" w:rsidR="009016C7" w:rsidRPr="00B30F74" w:rsidRDefault="008E709B" w:rsidP="00B30F74">
      <w:r>
        <w:t>Although in the previous figures we have show</w:t>
      </w:r>
      <w:r w:rsidR="004B0E6B">
        <w:t>n</w:t>
      </w:r>
      <w:r>
        <w:t xml:space="preserve"> the annual average of the </w:t>
      </w:r>
      <w:r w:rsidR="004B0E6B">
        <w:t>deliveries and shortages</w:t>
      </w:r>
      <w:r>
        <w:t>, we can obtain the</w:t>
      </w:r>
      <w:r w:rsidR="004B0E6B">
        <w:t xml:space="preserve">se values for any month in the dataset. Then, to obtain the system drought indicator we will use a similar approach than we used in Methodology 1, obtaining the distribution of shortages for each month, and then obtaining the monthly percentile of these shortages, to be consistent with the drought indicators obtained previously. </w:t>
      </w:r>
      <w:r w:rsidR="004B0E6B">
        <w:fldChar w:fldCharType="begin"/>
      </w:r>
      <w:r w:rsidR="004B0E6B">
        <w:instrText xml:space="preserve"> REF _Ref142350022 \h </w:instrText>
      </w:r>
      <w:r w:rsidR="004B0E6B">
        <w:fldChar w:fldCharType="separate"/>
      </w:r>
      <w:r w:rsidR="004B0E6B" w:rsidRPr="007962DB">
        <w:t xml:space="preserve">Figure </w:t>
      </w:r>
      <w:r w:rsidR="004B0E6B">
        <w:rPr>
          <w:noProof/>
        </w:rPr>
        <w:t>23</w:t>
      </w:r>
      <w:r w:rsidR="004B0E6B">
        <w:fldChar w:fldCharType="end"/>
      </w:r>
      <w:r w:rsidR="004B0E6B">
        <w:t xml:space="preserve"> show the system drought indicator and its associated shortages.</w:t>
      </w:r>
    </w:p>
    <w:p w14:paraId="5D87262A" w14:textId="46231D27" w:rsidR="004B0E6B" w:rsidRPr="007962DB" w:rsidRDefault="004B0E6B" w:rsidP="004B0E6B">
      <w:pPr>
        <w:pStyle w:val="Caption"/>
      </w:pPr>
      <w:bookmarkStart w:id="56" w:name="_Ref142350022"/>
      <w:r w:rsidRPr="007962DB">
        <w:t xml:space="preserve">Figure </w:t>
      </w:r>
      <w:r w:rsidRPr="007962DB">
        <w:fldChar w:fldCharType="begin"/>
      </w:r>
      <w:r w:rsidRPr="007962DB">
        <w:instrText xml:space="preserve"> SEQ Figure \* ARABIC </w:instrText>
      </w:r>
      <w:r w:rsidRPr="007962DB">
        <w:fldChar w:fldCharType="separate"/>
      </w:r>
      <w:r>
        <w:rPr>
          <w:noProof/>
        </w:rPr>
        <w:t>23</w:t>
      </w:r>
      <w:r w:rsidRPr="007962DB">
        <w:fldChar w:fldCharType="end"/>
      </w:r>
      <w:bookmarkEnd w:id="56"/>
      <w:r w:rsidRPr="007962DB">
        <w:t xml:space="preserve">. </w:t>
      </w:r>
      <w:r>
        <w:t>Drought system indicator and water shortages in the San Joaquin River HR for every month since 1991</w:t>
      </w:r>
    </w:p>
    <w:p w14:paraId="24D006BB" w14:textId="1E0F0227" w:rsidR="004B0E6B" w:rsidRPr="00E03019" w:rsidRDefault="004B0E6B" w:rsidP="004B0E6B">
      <w:pPr>
        <w:rPr>
          <w:b/>
        </w:rPr>
      </w:pPr>
      <w:r w:rsidRPr="004B0E6B">
        <w:rPr>
          <w:b/>
        </w:rPr>
        <w:drawing>
          <wp:inline distT="0" distB="0" distL="0" distR="0" wp14:anchorId="40D257DA" wp14:editId="6FD0FC11">
            <wp:extent cx="5943600" cy="2757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7170"/>
                    </a:xfrm>
                    <a:prstGeom prst="rect">
                      <a:avLst/>
                    </a:prstGeom>
                  </pic:spPr>
                </pic:pic>
              </a:graphicData>
            </a:graphic>
          </wp:inline>
        </w:drawing>
      </w:r>
    </w:p>
    <w:p w14:paraId="5B9EF5DE" w14:textId="77777777" w:rsidR="004B0E6B" w:rsidRDefault="004B0E6B" w:rsidP="004B0E6B">
      <w:pPr>
        <w:pStyle w:val="Caption"/>
        <w:keepNext w:val="0"/>
        <w:spacing w:before="0"/>
        <w:rPr>
          <w:b w:val="0"/>
        </w:rPr>
      </w:pPr>
      <w:r>
        <w:t xml:space="preserve">Notes: </w:t>
      </w:r>
      <w:r>
        <w:rPr>
          <w:b w:val="0"/>
        </w:rPr>
        <w:t>Calculated</w:t>
      </w:r>
      <w:r w:rsidRPr="005B3721">
        <w:rPr>
          <w:b w:val="0"/>
        </w:rPr>
        <w:t xml:space="preserve"> by the authors</w:t>
      </w:r>
    </w:p>
    <w:p w14:paraId="3CB4EEC9" w14:textId="216E3BA2" w:rsidR="004772BB" w:rsidRDefault="004772BB" w:rsidP="004772BB">
      <w:pPr>
        <w:pStyle w:val="Heading1"/>
      </w:pPr>
      <w:r>
        <w:lastRenderedPageBreak/>
        <w:t>Conclusions</w:t>
      </w:r>
    </w:p>
    <w:p w14:paraId="1CF27624" w14:textId="4E7A751F" w:rsidR="004772BB" w:rsidRDefault="004772BB" w:rsidP="004772BB">
      <w:r>
        <w:t>With this methodology, we have developed a drought indicator to be used in water systems with complex supply portfolios, taking into consideration management decisions—including the overuse of groundwater resources.</w:t>
      </w:r>
    </w:p>
    <w:p w14:paraId="4AEBF6E2" w14:textId="78C8DBD0" w:rsidR="004772BB" w:rsidRDefault="004772BB" w:rsidP="004772BB">
      <w:r>
        <w:t>Using drought indicators developed in Methodology 1 to understand water deliveries and management decisions, we obtained the system drought indicator for a number of years (2002-2019) where we had detailed delivery data from DWR water balance dataset. But because we based our approach in indicators from data readily available, we could extrapolate the methodology to any month, obtaining system water shortages and its corresponding water system drought indicator.</w:t>
      </w:r>
    </w:p>
    <w:p w14:paraId="4CA5B31F" w14:textId="3C67AA38" w:rsidR="004772BB" w:rsidRPr="004772BB" w:rsidRDefault="004772BB" w:rsidP="004772BB">
      <w:r>
        <w:t xml:space="preserve">Although we have applied the methodology to the San Joaquin River hydrologic region—an agricultural region—this method could be applied to any water user </w:t>
      </w:r>
      <w:r w:rsidR="001D207D">
        <w:t>with delivery data available—being able to obtain sectoral water drought indicators. In California, this is especially relevant for cities and agricultural districts with complex supply portfolios.</w:t>
      </w:r>
      <w:bookmarkStart w:id="57" w:name="_GoBack"/>
      <w:bookmarkEnd w:id="57"/>
    </w:p>
    <w:p w14:paraId="38BB5991" w14:textId="23DD61BE" w:rsidR="0086363E" w:rsidRDefault="0086363E" w:rsidP="004772BB">
      <w:pPr>
        <w:pStyle w:val="Heading3"/>
        <w:numPr>
          <w:ilvl w:val="0"/>
          <w:numId w:val="0"/>
        </w:numPr>
      </w:pPr>
      <w:r>
        <w:br w:type="page"/>
      </w:r>
    </w:p>
    <w:p w14:paraId="5457848D" w14:textId="65C581C7" w:rsidR="0086363E" w:rsidRPr="005B77DC" w:rsidRDefault="0086363E" w:rsidP="0086363E">
      <w:pPr>
        <w:pStyle w:val="Heading1"/>
      </w:pPr>
      <w:r>
        <w:lastRenderedPageBreak/>
        <w:t>References</w:t>
      </w:r>
    </w:p>
    <w:p w14:paraId="28CFB379" w14:textId="77777777" w:rsidR="004145BA" w:rsidRPr="004145BA" w:rsidRDefault="0086363E" w:rsidP="004145BA">
      <w:pPr>
        <w:pStyle w:val="Bibliography"/>
        <w:rPr>
          <w:rFonts w:ascii="Calibri" w:cs="Calibri"/>
        </w:rPr>
      </w:pPr>
      <w:r>
        <w:fldChar w:fldCharType="begin"/>
      </w:r>
      <w:r w:rsidR="006417ED">
        <w:instrText xml:space="preserve"> ADDIN ZOTERO_BIBL {"uncited":[],"omitted":[],"custom":[]} CSL_BIBLIOGRAPHY </w:instrText>
      </w:r>
      <w:r>
        <w:fldChar w:fldCharType="separate"/>
      </w:r>
      <w:r w:rsidR="004145BA" w:rsidRPr="004145BA">
        <w:rPr>
          <w:rFonts w:ascii="Calibri" w:cs="Calibri"/>
        </w:rPr>
        <w:t xml:space="preserve">Albano, C. M., </w:t>
      </w:r>
      <w:proofErr w:type="spellStart"/>
      <w:r w:rsidR="004145BA" w:rsidRPr="004145BA">
        <w:rPr>
          <w:rFonts w:ascii="Calibri" w:cs="Calibri"/>
        </w:rPr>
        <w:t>Abatzoglou</w:t>
      </w:r>
      <w:proofErr w:type="spellEnd"/>
      <w:r w:rsidR="004145BA" w:rsidRPr="004145BA">
        <w:rPr>
          <w:rFonts w:ascii="Calibri" w:cs="Calibri"/>
        </w:rPr>
        <w:t xml:space="preserve">, J. T., McEvoy, D. J., Huntington, J. L., Morton, C. G., </w:t>
      </w:r>
      <w:proofErr w:type="spellStart"/>
      <w:r w:rsidR="004145BA" w:rsidRPr="004145BA">
        <w:rPr>
          <w:rFonts w:ascii="Calibri" w:cs="Calibri"/>
        </w:rPr>
        <w:t>Dettinger</w:t>
      </w:r>
      <w:proofErr w:type="spellEnd"/>
      <w:r w:rsidR="004145BA" w:rsidRPr="004145BA">
        <w:rPr>
          <w:rFonts w:ascii="Calibri" w:cs="Calibri"/>
        </w:rPr>
        <w:t xml:space="preserve">, M. D., &amp; Ott, T. J. (2022). A </w:t>
      </w:r>
      <w:proofErr w:type="spellStart"/>
      <w:r w:rsidR="004145BA" w:rsidRPr="004145BA">
        <w:rPr>
          <w:rFonts w:ascii="Calibri" w:cs="Calibri"/>
        </w:rPr>
        <w:t>Multidataset</w:t>
      </w:r>
      <w:proofErr w:type="spellEnd"/>
      <w:r w:rsidR="004145BA" w:rsidRPr="004145BA">
        <w:rPr>
          <w:rFonts w:ascii="Calibri" w:cs="Calibri"/>
        </w:rPr>
        <w:t xml:space="preserve"> Assessment of Climatic Drivers and Uncertainties of Recent Trends in Evaporative Demand across the Continental United States. </w:t>
      </w:r>
      <w:r w:rsidR="004145BA" w:rsidRPr="004145BA">
        <w:rPr>
          <w:rFonts w:ascii="Calibri" w:cs="Calibri"/>
          <w:i/>
          <w:iCs/>
        </w:rPr>
        <w:t>Journal of Hydrometeorology</w:t>
      </w:r>
      <w:r w:rsidR="004145BA" w:rsidRPr="004145BA">
        <w:rPr>
          <w:rFonts w:ascii="Calibri" w:cs="Calibri"/>
        </w:rPr>
        <w:t xml:space="preserve">, </w:t>
      </w:r>
      <w:r w:rsidR="004145BA" w:rsidRPr="004145BA">
        <w:rPr>
          <w:rFonts w:ascii="Calibri" w:cs="Calibri"/>
          <w:i/>
          <w:iCs/>
        </w:rPr>
        <w:t>23</w:t>
      </w:r>
      <w:r w:rsidR="004145BA" w:rsidRPr="004145BA">
        <w:rPr>
          <w:rFonts w:ascii="Calibri" w:cs="Calibri"/>
        </w:rPr>
        <w:t>(4), 505–519. https://doi.org/10.1175/JHM-D-21-0163.1</w:t>
      </w:r>
    </w:p>
    <w:p w14:paraId="4324DFBB" w14:textId="77777777" w:rsidR="004145BA" w:rsidRPr="004145BA" w:rsidRDefault="004145BA" w:rsidP="004145BA">
      <w:pPr>
        <w:pStyle w:val="Bibliography"/>
        <w:rPr>
          <w:rFonts w:ascii="Calibri" w:cs="Calibri"/>
        </w:rPr>
      </w:pPr>
      <w:r w:rsidRPr="004145BA">
        <w:rPr>
          <w:rFonts w:ascii="Calibri" w:cs="Calibri"/>
        </w:rPr>
        <w:t>California Department of Water Resources. (n.d.). Water Data Portfolios. Retrieved June 23, 2023, from https://water.ca.gov/Programs/California-Water-Plan/Water-Portfolios</w:t>
      </w:r>
    </w:p>
    <w:p w14:paraId="78A7DA4D" w14:textId="77777777" w:rsidR="004145BA" w:rsidRPr="004145BA" w:rsidRDefault="004145BA" w:rsidP="004145BA">
      <w:pPr>
        <w:pStyle w:val="Bibliography"/>
        <w:rPr>
          <w:rFonts w:ascii="Calibri" w:cs="Calibri"/>
        </w:rPr>
      </w:pPr>
      <w:proofErr w:type="spellStart"/>
      <w:r w:rsidRPr="004145BA">
        <w:rPr>
          <w:rFonts w:ascii="Calibri" w:cs="Calibri"/>
        </w:rPr>
        <w:t>Gartrell</w:t>
      </w:r>
      <w:proofErr w:type="spellEnd"/>
      <w:r w:rsidRPr="004145BA">
        <w:rPr>
          <w:rFonts w:ascii="Calibri" w:cs="Calibri"/>
        </w:rPr>
        <w:t xml:space="preserve">, G., Mount, J., </w:t>
      </w:r>
      <w:proofErr w:type="spellStart"/>
      <w:r w:rsidRPr="004145BA">
        <w:rPr>
          <w:rFonts w:ascii="Calibri" w:cs="Calibri"/>
        </w:rPr>
        <w:t>Hanak</w:t>
      </w:r>
      <w:proofErr w:type="spellEnd"/>
      <w:r w:rsidRPr="004145BA">
        <w:rPr>
          <w:rFonts w:ascii="Calibri" w:cs="Calibri"/>
        </w:rPr>
        <w:t xml:space="preserve">, E., &amp; Gray, B. (2017). A new approach to accounting for environmental water. </w:t>
      </w:r>
      <w:r w:rsidRPr="004145BA">
        <w:rPr>
          <w:rFonts w:ascii="Calibri" w:cs="Calibri"/>
          <w:i/>
          <w:iCs/>
        </w:rPr>
        <w:t>Public Policy Institute of California</w:t>
      </w:r>
      <w:r w:rsidRPr="004145BA">
        <w:rPr>
          <w:rFonts w:ascii="Calibri" w:cs="Calibri"/>
        </w:rPr>
        <w:t>.</w:t>
      </w:r>
    </w:p>
    <w:p w14:paraId="5A6EC637" w14:textId="77777777" w:rsidR="004145BA" w:rsidRPr="004145BA" w:rsidRDefault="004145BA" w:rsidP="004145BA">
      <w:pPr>
        <w:pStyle w:val="Bibliography"/>
        <w:rPr>
          <w:rFonts w:ascii="Calibri" w:cs="Calibri"/>
        </w:rPr>
      </w:pPr>
      <w:proofErr w:type="spellStart"/>
      <w:r w:rsidRPr="004145BA">
        <w:rPr>
          <w:rFonts w:ascii="Calibri" w:cs="Calibri"/>
        </w:rPr>
        <w:t>Hanak</w:t>
      </w:r>
      <w:proofErr w:type="spellEnd"/>
      <w:r w:rsidRPr="004145BA">
        <w:rPr>
          <w:rFonts w:ascii="Calibri" w:cs="Calibri"/>
        </w:rPr>
        <w:t xml:space="preserve">, E., Escriva-Bou, A., Gray, B., Green, S., Harter, T., </w:t>
      </w:r>
      <w:proofErr w:type="spellStart"/>
      <w:r w:rsidRPr="004145BA">
        <w:rPr>
          <w:rFonts w:ascii="Calibri" w:cs="Calibri"/>
        </w:rPr>
        <w:t>Jezdimirovic</w:t>
      </w:r>
      <w:proofErr w:type="spellEnd"/>
      <w:r w:rsidRPr="004145BA">
        <w:rPr>
          <w:rFonts w:ascii="Calibri" w:cs="Calibri"/>
        </w:rPr>
        <w:t xml:space="preserve">, J., et al. (2019). Water and the future of the San Joaquin Valley. </w:t>
      </w:r>
      <w:r w:rsidRPr="004145BA">
        <w:rPr>
          <w:rFonts w:ascii="Calibri" w:cs="Calibri"/>
          <w:i/>
          <w:iCs/>
        </w:rPr>
        <w:t>Public Policy Institute of California</w:t>
      </w:r>
      <w:r w:rsidRPr="004145BA">
        <w:rPr>
          <w:rFonts w:ascii="Calibri" w:cs="Calibri"/>
        </w:rPr>
        <w:t xml:space="preserve">, </w:t>
      </w:r>
      <w:r w:rsidRPr="004145BA">
        <w:rPr>
          <w:rFonts w:ascii="Calibri" w:cs="Calibri"/>
          <w:i/>
          <w:iCs/>
        </w:rPr>
        <w:t>100</w:t>
      </w:r>
      <w:r w:rsidRPr="004145BA">
        <w:rPr>
          <w:rFonts w:ascii="Calibri" w:cs="Calibri"/>
        </w:rPr>
        <w:t>.</w:t>
      </w:r>
    </w:p>
    <w:p w14:paraId="66B70AC3" w14:textId="77777777" w:rsidR="004145BA" w:rsidRPr="004145BA" w:rsidRDefault="004145BA" w:rsidP="004145BA">
      <w:pPr>
        <w:pStyle w:val="Bibliography"/>
        <w:rPr>
          <w:rFonts w:ascii="Calibri" w:cs="Calibri"/>
        </w:rPr>
      </w:pPr>
      <w:r w:rsidRPr="004145BA">
        <w:rPr>
          <w:rFonts w:ascii="Calibri" w:cs="Calibri"/>
        </w:rPr>
        <w:t xml:space="preserve">Redmond, K. T. (2002). The depiction of drought: A commentary. </w:t>
      </w:r>
      <w:r w:rsidRPr="004145BA">
        <w:rPr>
          <w:rFonts w:ascii="Calibri" w:cs="Calibri"/>
          <w:i/>
          <w:iCs/>
        </w:rPr>
        <w:t>Bulletin of the American Meteorological Society</w:t>
      </w:r>
      <w:r w:rsidRPr="004145BA">
        <w:rPr>
          <w:rFonts w:ascii="Calibri" w:cs="Calibri"/>
        </w:rPr>
        <w:t xml:space="preserve">, </w:t>
      </w:r>
      <w:r w:rsidRPr="004145BA">
        <w:rPr>
          <w:rFonts w:ascii="Calibri" w:cs="Calibri"/>
          <w:i/>
          <w:iCs/>
        </w:rPr>
        <w:t>83</w:t>
      </w:r>
      <w:r w:rsidRPr="004145BA">
        <w:rPr>
          <w:rFonts w:ascii="Calibri" w:cs="Calibri"/>
        </w:rPr>
        <w:t>(8), 1143–1147.</w:t>
      </w:r>
    </w:p>
    <w:p w14:paraId="3DD5F652" w14:textId="4E318FFC" w:rsidR="00BE7EC2" w:rsidRPr="00BE7EC2" w:rsidRDefault="0086363E" w:rsidP="0028395D">
      <w:r>
        <w:fldChar w:fldCharType="end"/>
      </w:r>
    </w:p>
    <w:sectPr w:rsidR="00BE7EC2" w:rsidRPr="00BE7EC2" w:rsidSect="00CA707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scriva-Bou, Alvar" w:date="2023-06-22T18:55:00Z" w:initials="EA">
    <w:p w14:paraId="4C129F11" w14:textId="77777777" w:rsidR="00FB635C" w:rsidRDefault="00FB635C" w:rsidP="000737A0">
      <w:r>
        <w:rPr>
          <w:rStyle w:val="CommentReference"/>
        </w:rPr>
        <w:annotationRef/>
      </w:r>
      <w:r>
        <w:t>Text cut: With that goal in mind, first it is important to understand their supply portfolio, estimate how they use water from different sources depending on different drought conditions for every water source, to then define an indicator that considers these sources altogether. We develop a methodology to define drought indicators for users with complex portfolios, and we apply this methodology to the San Joaquin River hydrologic region, a region that gets most of the water from three different water sources: local surface water, groundwater, and surface imports from the Sacramento River hydrologic region.</w:t>
      </w:r>
      <w:r>
        <w:rPr>
          <w:rStyle w:val="CommentReference"/>
        </w:rPr>
        <w:annotationRef/>
      </w:r>
    </w:p>
    <w:p w14:paraId="5688D8D5" w14:textId="739F948B" w:rsidR="00FB635C" w:rsidRDefault="00FB635C">
      <w:pPr>
        <w:pStyle w:val="CommentText"/>
      </w:pPr>
    </w:p>
  </w:comment>
  <w:comment w:id="6" w:author="Escriva-Bou, Alvar" w:date="2023-06-25T18:05:00Z" w:initials="EA">
    <w:p w14:paraId="0455083C" w14:textId="0EFBA442" w:rsidR="00FB635C" w:rsidRDefault="00FB635C">
      <w:pPr>
        <w:pStyle w:val="CommentText"/>
      </w:pPr>
      <w:r>
        <w:rPr>
          <w:rStyle w:val="CommentReference"/>
        </w:rPr>
        <w:annotationRef/>
      </w:r>
      <w:r>
        <w:t>TBD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88D8D5" w15:done="0"/>
  <w15:commentEx w15:paraId="045508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88D8D5" w16cid:durableId="283F17AE"/>
  <w16cid:commentId w16cid:paraId="0455083C" w16cid:durableId="284300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DC000" w14:textId="77777777" w:rsidR="00C23DF3" w:rsidRDefault="00C23DF3" w:rsidP="005B77DC">
      <w:pPr>
        <w:spacing w:after="0"/>
      </w:pPr>
      <w:r>
        <w:separator/>
      </w:r>
    </w:p>
  </w:endnote>
  <w:endnote w:type="continuationSeparator" w:id="0">
    <w:p w14:paraId="56B3A2F9" w14:textId="77777777" w:rsidR="00C23DF3" w:rsidRDefault="00C23DF3" w:rsidP="005B7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9A42B" w14:textId="77777777" w:rsidR="00C23DF3" w:rsidRDefault="00C23DF3" w:rsidP="005B77DC">
      <w:pPr>
        <w:spacing w:after="0"/>
      </w:pPr>
      <w:r>
        <w:separator/>
      </w:r>
    </w:p>
  </w:footnote>
  <w:footnote w:type="continuationSeparator" w:id="0">
    <w:p w14:paraId="6DFD1F03" w14:textId="77777777" w:rsidR="00C23DF3" w:rsidRDefault="00C23DF3" w:rsidP="005B77DC">
      <w:pPr>
        <w:spacing w:after="0"/>
      </w:pPr>
      <w:r>
        <w:continuationSeparator/>
      </w:r>
    </w:p>
  </w:footnote>
  <w:footnote w:id="1">
    <w:p w14:paraId="414818F1" w14:textId="77777777" w:rsidR="00FB635C" w:rsidRPr="00F87CE2" w:rsidRDefault="00FB635C" w:rsidP="00C001AC">
      <w:pPr>
        <w:pStyle w:val="FootnoteText"/>
      </w:pPr>
      <w:r>
        <w:rPr>
          <w:rStyle w:val="FootnoteReference"/>
        </w:rPr>
        <w:footnoteRef/>
      </w:r>
      <w:r>
        <w:t xml:space="preserve"> Data for 2017 is missing in DWR’s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D64CB"/>
    <w:multiLevelType w:val="hybridMultilevel"/>
    <w:tmpl w:val="B74C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B2B5D"/>
    <w:multiLevelType w:val="hybridMultilevel"/>
    <w:tmpl w:val="51E4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B7B94"/>
    <w:multiLevelType w:val="hybridMultilevel"/>
    <w:tmpl w:val="3A9A738E"/>
    <w:lvl w:ilvl="0" w:tplc="2F32140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120FF"/>
    <w:multiLevelType w:val="hybridMultilevel"/>
    <w:tmpl w:val="29BE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A4B3B"/>
    <w:multiLevelType w:val="multilevel"/>
    <w:tmpl w:val="9F30689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420" w:hanging="4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2351D96"/>
    <w:multiLevelType w:val="hybridMultilevel"/>
    <w:tmpl w:val="F02A3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43B1DA8"/>
    <w:multiLevelType w:val="hybridMultilevel"/>
    <w:tmpl w:val="ECA07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3"/>
  </w:num>
  <w:num w:numId="6">
    <w:abstractNumId w:val="4"/>
  </w:num>
  <w:num w:numId="7">
    <w:abstractNumId w:val="0"/>
  </w:num>
  <w:num w:numId="8">
    <w:abstractNumId w:val="4"/>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criva-Bou, Alvar">
    <w15:presenceInfo w15:providerId="AD" w15:userId="S::escriva@ucla.edu::be4c4738-dacb-4398-9ed8-a7b703aa9c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D2"/>
    <w:rsid w:val="00016808"/>
    <w:rsid w:val="0002148B"/>
    <w:rsid w:val="00042DA4"/>
    <w:rsid w:val="000737A0"/>
    <w:rsid w:val="00075232"/>
    <w:rsid w:val="000B4333"/>
    <w:rsid w:val="000F0798"/>
    <w:rsid w:val="000F500E"/>
    <w:rsid w:val="001032AB"/>
    <w:rsid w:val="00107A45"/>
    <w:rsid w:val="00124E6B"/>
    <w:rsid w:val="00150A01"/>
    <w:rsid w:val="00150EE3"/>
    <w:rsid w:val="0018265B"/>
    <w:rsid w:val="001A287F"/>
    <w:rsid w:val="001B2E7F"/>
    <w:rsid w:val="001B68B3"/>
    <w:rsid w:val="001C2AE5"/>
    <w:rsid w:val="001D207D"/>
    <w:rsid w:val="001E28B5"/>
    <w:rsid w:val="001F0754"/>
    <w:rsid w:val="00205B6A"/>
    <w:rsid w:val="002126E3"/>
    <w:rsid w:val="00242127"/>
    <w:rsid w:val="00252DA8"/>
    <w:rsid w:val="00256AB6"/>
    <w:rsid w:val="0028395D"/>
    <w:rsid w:val="00285E3F"/>
    <w:rsid w:val="002A32D4"/>
    <w:rsid w:val="002B1519"/>
    <w:rsid w:val="002B398A"/>
    <w:rsid w:val="002B62D8"/>
    <w:rsid w:val="002C16D1"/>
    <w:rsid w:val="002E24B0"/>
    <w:rsid w:val="002E5F7B"/>
    <w:rsid w:val="002F7F31"/>
    <w:rsid w:val="00303528"/>
    <w:rsid w:val="00313294"/>
    <w:rsid w:val="0031367A"/>
    <w:rsid w:val="00335BBA"/>
    <w:rsid w:val="003C210E"/>
    <w:rsid w:val="003D25DA"/>
    <w:rsid w:val="004145BA"/>
    <w:rsid w:val="004772BB"/>
    <w:rsid w:val="00487F80"/>
    <w:rsid w:val="004B0E6B"/>
    <w:rsid w:val="004B165F"/>
    <w:rsid w:val="004C762C"/>
    <w:rsid w:val="004D6641"/>
    <w:rsid w:val="0050413E"/>
    <w:rsid w:val="005176A4"/>
    <w:rsid w:val="005B3721"/>
    <w:rsid w:val="005B67FA"/>
    <w:rsid w:val="005B77DC"/>
    <w:rsid w:val="005C1727"/>
    <w:rsid w:val="005E02D8"/>
    <w:rsid w:val="006276AB"/>
    <w:rsid w:val="00627948"/>
    <w:rsid w:val="006417ED"/>
    <w:rsid w:val="006830EB"/>
    <w:rsid w:val="006A4A17"/>
    <w:rsid w:val="006D657B"/>
    <w:rsid w:val="006F0CE6"/>
    <w:rsid w:val="006F4E6D"/>
    <w:rsid w:val="00702673"/>
    <w:rsid w:val="00741E8C"/>
    <w:rsid w:val="00781F75"/>
    <w:rsid w:val="00783774"/>
    <w:rsid w:val="007962DB"/>
    <w:rsid w:val="007B4944"/>
    <w:rsid w:val="007B5B83"/>
    <w:rsid w:val="007B7C03"/>
    <w:rsid w:val="007E2B1B"/>
    <w:rsid w:val="0082273F"/>
    <w:rsid w:val="00825D8E"/>
    <w:rsid w:val="00843BF5"/>
    <w:rsid w:val="008634B0"/>
    <w:rsid w:val="0086363E"/>
    <w:rsid w:val="00896ACE"/>
    <w:rsid w:val="008A0BAA"/>
    <w:rsid w:val="008A4A27"/>
    <w:rsid w:val="008E3C82"/>
    <w:rsid w:val="008E709B"/>
    <w:rsid w:val="008F4FEF"/>
    <w:rsid w:val="009016C7"/>
    <w:rsid w:val="009215D4"/>
    <w:rsid w:val="00925F69"/>
    <w:rsid w:val="0095119B"/>
    <w:rsid w:val="00977D16"/>
    <w:rsid w:val="00983B55"/>
    <w:rsid w:val="009A1C90"/>
    <w:rsid w:val="009A6612"/>
    <w:rsid w:val="009C074F"/>
    <w:rsid w:val="009C5125"/>
    <w:rsid w:val="009F7703"/>
    <w:rsid w:val="00A37016"/>
    <w:rsid w:val="00A6281A"/>
    <w:rsid w:val="00A704CF"/>
    <w:rsid w:val="00AA7167"/>
    <w:rsid w:val="00AB0C5F"/>
    <w:rsid w:val="00AC0AD2"/>
    <w:rsid w:val="00AC2CC1"/>
    <w:rsid w:val="00B21023"/>
    <w:rsid w:val="00B242B1"/>
    <w:rsid w:val="00B30F74"/>
    <w:rsid w:val="00B51F2F"/>
    <w:rsid w:val="00B6184E"/>
    <w:rsid w:val="00B875B2"/>
    <w:rsid w:val="00B9741F"/>
    <w:rsid w:val="00BE7EC2"/>
    <w:rsid w:val="00BF03A7"/>
    <w:rsid w:val="00C001AC"/>
    <w:rsid w:val="00C23DF3"/>
    <w:rsid w:val="00C3640A"/>
    <w:rsid w:val="00C6352C"/>
    <w:rsid w:val="00C67A5E"/>
    <w:rsid w:val="00C8009C"/>
    <w:rsid w:val="00C96B9A"/>
    <w:rsid w:val="00CA364B"/>
    <w:rsid w:val="00CA7076"/>
    <w:rsid w:val="00CD135C"/>
    <w:rsid w:val="00CE0419"/>
    <w:rsid w:val="00D32E72"/>
    <w:rsid w:val="00D3442E"/>
    <w:rsid w:val="00D41A6F"/>
    <w:rsid w:val="00D540BE"/>
    <w:rsid w:val="00DA72E1"/>
    <w:rsid w:val="00DD0E7C"/>
    <w:rsid w:val="00E03019"/>
    <w:rsid w:val="00E0306C"/>
    <w:rsid w:val="00E109D8"/>
    <w:rsid w:val="00E20058"/>
    <w:rsid w:val="00E21C91"/>
    <w:rsid w:val="00E248E4"/>
    <w:rsid w:val="00E5353A"/>
    <w:rsid w:val="00E8123D"/>
    <w:rsid w:val="00EF1452"/>
    <w:rsid w:val="00F11AE0"/>
    <w:rsid w:val="00F315C3"/>
    <w:rsid w:val="00F43783"/>
    <w:rsid w:val="00F56B62"/>
    <w:rsid w:val="00F66E59"/>
    <w:rsid w:val="00F74ECE"/>
    <w:rsid w:val="00F87CE2"/>
    <w:rsid w:val="00FB3B52"/>
    <w:rsid w:val="00FB6197"/>
    <w:rsid w:val="00FB6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3B73F"/>
  <w15:chartTrackingRefBased/>
  <w15:docId w15:val="{0C45359E-FDCA-0449-AAF5-F6C0D7E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2DB"/>
    <w:pPr>
      <w:spacing w:after="120"/>
    </w:pPr>
  </w:style>
  <w:style w:type="paragraph" w:styleId="Heading1">
    <w:name w:val="heading 1"/>
    <w:basedOn w:val="Normal"/>
    <w:next w:val="Normal"/>
    <w:link w:val="Heading1Char"/>
    <w:uiPriority w:val="9"/>
    <w:qFormat/>
    <w:rsid w:val="004C762C"/>
    <w:pPr>
      <w:keepNext/>
      <w:keepLines/>
      <w:numPr>
        <w:numId w:val="6"/>
      </w:numPr>
      <w:spacing w:before="240" w:after="60"/>
      <w:outlineLvl w:val="0"/>
    </w:pPr>
    <w:rPr>
      <w:rFonts w:asciiTheme="majorHAnsi" w:eastAsiaTheme="majorEastAsia" w:hAnsiTheme="majorHAnsi" w:cstheme="majorHAnsi"/>
      <w:sz w:val="32"/>
      <w:szCs w:val="32"/>
    </w:rPr>
  </w:style>
  <w:style w:type="paragraph" w:styleId="Heading2">
    <w:name w:val="heading 2"/>
    <w:basedOn w:val="Normal"/>
    <w:next w:val="Normal"/>
    <w:link w:val="Heading2Char"/>
    <w:uiPriority w:val="9"/>
    <w:unhideWhenUsed/>
    <w:qFormat/>
    <w:rsid w:val="004C762C"/>
    <w:pPr>
      <w:keepNext/>
      <w:numPr>
        <w:ilvl w:val="1"/>
        <w:numId w:val="6"/>
      </w:numPr>
      <w:spacing w:before="120" w:after="60"/>
      <w:ind w:left="418" w:hanging="418"/>
      <w:outlineLvl w:val="1"/>
    </w:pPr>
    <w:rPr>
      <w:rFonts w:asciiTheme="majorHAnsi" w:hAnsiTheme="majorHAnsi" w:cstheme="majorHAnsi"/>
      <w:sz w:val="28"/>
    </w:rPr>
  </w:style>
  <w:style w:type="paragraph" w:styleId="Heading3">
    <w:name w:val="heading 3"/>
    <w:basedOn w:val="Heading2"/>
    <w:next w:val="Normal"/>
    <w:link w:val="Heading3Char"/>
    <w:uiPriority w:val="9"/>
    <w:unhideWhenUsed/>
    <w:qFormat/>
    <w:rsid w:val="004C762C"/>
    <w:pPr>
      <w:numPr>
        <w:ilvl w:val="2"/>
      </w:numPr>
      <w:outlineLvl w:val="2"/>
    </w:pPr>
    <w:rPr>
      <w:sz w:val="24"/>
    </w:rPr>
  </w:style>
  <w:style w:type="paragraph" w:styleId="Heading4">
    <w:name w:val="heading 4"/>
    <w:basedOn w:val="Normal"/>
    <w:next w:val="Normal"/>
    <w:link w:val="Heading4Char"/>
    <w:uiPriority w:val="9"/>
    <w:unhideWhenUsed/>
    <w:qFormat/>
    <w:rsid w:val="006417ED"/>
    <w:pPr>
      <w:keepNext/>
      <w:keepLines/>
      <w:outlineLvl w:val="3"/>
    </w:pPr>
    <w:rPr>
      <w:rFonts w:asciiTheme="majorHAnsi" w:eastAsiaTheme="majorEastAsia" w:hAnsiTheme="majorHAnsi"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0AD2"/>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AC0AD2"/>
    <w:rPr>
      <w:color w:val="0563C1" w:themeColor="hyperlink"/>
      <w:u w:val="single"/>
    </w:rPr>
  </w:style>
  <w:style w:type="character" w:styleId="UnresolvedMention">
    <w:name w:val="Unresolved Mention"/>
    <w:basedOn w:val="DefaultParagraphFont"/>
    <w:uiPriority w:val="99"/>
    <w:semiHidden/>
    <w:unhideWhenUsed/>
    <w:rsid w:val="00AC0AD2"/>
    <w:rPr>
      <w:color w:val="605E5C"/>
      <w:shd w:val="clear" w:color="auto" w:fill="E1DFDD"/>
    </w:rPr>
  </w:style>
  <w:style w:type="paragraph" w:styleId="ListParagraph">
    <w:name w:val="List Paragraph"/>
    <w:basedOn w:val="Normal"/>
    <w:uiPriority w:val="34"/>
    <w:qFormat/>
    <w:rsid w:val="004D6641"/>
    <w:pPr>
      <w:ind w:left="720"/>
      <w:contextualSpacing/>
    </w:pPr>
  </w:style>
  <w:style w:type="paragraph" w:styleId="Caption">
    <w:name w:val="caption"/>
    <w:basedOn w:val="Normal"/>
    <w:next w:val="Normal"/>
    <w:uiPriority w:val="35"/>
    <w:unhideWhenUsed/>
    <w:qFormat/>
    <w:rsid w:val="007962DB"/>
    <w:pPr>
      <w:keepNext/>
      <w:spacing w:before="240" w:after="200"/>
    </w:pPr>
    <w:rPr>
      <w:b/>
      <w:i/>
      <w:iCs/>
      <w:color w:val="44546A" w:themeColor="text2"/>
      <w:sz w:val="20"/>
      <w:szCs w:val="18"/>
    </w:rPr>
  </w:style>
  <w:style w:type="character" w:styleId="CommentReference">
    <w:name w:val="annotation reference"/>
    <w:basedOn w:val="DefaultParagraphFont"/>
    <w:uiPriority w:val="99"/>
    <w:semiHidden/>
    <w:unhideWhenUsed/>
    <w:rsid w:val="00FB3B52"/>
    <w:rPr>
      <w:sz w:val="16"/>
      <w:szCs w:val="16"/>
    </w:rPr>
  </w:style>
  <w:style w:type="paragraph" w:styleId="CommentText">
    <w:name w:val="annotation text"/>
    <w:basedOn w:val="Normal"/>
    <w:link w:val="CommentTextChar"/>
    <w:uiPriority w:val="99"/>
    <w:unhideWhenUsed/>
    <w:rsid w:val="00FB3B52"/>
    <w:rPr>
      <w:sz w:val="20"/>
      <w:szCs w:val="20"/>
    </w:rPr>
  </w:style>
  <w:style w:type="character" w:customStyle="1" w:styleId="CommentTextChar">
    <w:name w:val="Comment Text Char"/>
    <w:basedOn w:val="DefaultParagraphFont"/>
    <w:link w:val="CommentText"/>
    <w:uiPriority w:val="99"/>
    <w:rsid w:val="00FB3B52"/>
    <w:rPr>
      <w:sz w:val="20"/>
      <w:szCs w:val="20"/>
    </w:rPr>
  </w:style>
  <w:style w:type="paragraph" w:styleId="CommentSubject">
    <w:name w:val="annotation subject"/>
    <w:basedOn w:val="CommentText"/>
    <w:next w:val="CommentText"/>
    <w:link w:val="CommentSubjectChar"/>
    <w:uiPriority w:val="99"/>
    <w:semiHidden/>
    <w:unhideWhenUsed/>
    <w:rsid w:val="00FB3B52"/>
    <w:rPr>
      <w:b/>
      <w:bCs/>
    </w:rPr>
  </w:style>
  <w:style w:type="character" w:customStyle="1" w:styleId="CommentSubjectChar">
    <w:name w:val="Comment Subject Char"/>
    <w:basedOn w:val="CommentTextChar"/>
    <w:link w:val="CommentSubject"/>
    <w:uiPriority w:val="99"/>
    <w:semiHidden/>
    <w:rsid w:val="00FB3B52"/>
    <w:rPr>
      <w:b/>
      <w:bCs/>
      <w:sz w:val="20"/>
      <w:szCs w:val="20"/>
    </w:rPr>
  </w:style>
  <w:style w:type="paragraph" w:styleId="BalloonText">
    <w:name w:val="Balloon Text"/>
    <w:basedOn w:val="Normal"/>
    <w:link w:val="BalloonTextChar"/>
    <w:uiPriority w:val="99"/>
    <w:semiHidden/>
    <w:unhideWhenUsed/>
    <w:rsid w:val="00FB3B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3B52"/>
    <w:rPr>
      <w:rFonts w:ascii="Times New Roman" w:hAnsi="Times New Roman" w:cs="Times New Roman"/>
      <w:sz w:val="18"/>
      <w:szCs w:val="18"/>
    </w:rPr>
  </w:style>
  <w:style w:type="paragraph" w:styleId="NormalWeb">
    <w:name w:val="Normal (Web)"/>
    <w:basedOn w:val="Normal"/>
    <w:uiPriority w:val="99"/>
    <w:semiHidden/>
    <w:unhideWhenUsed/>
    <w:rsid w:val="00FB3B5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B3B52"/>
    <w:rPr>
      <w:b/>
      <w:bCs/>
    </w:rPr>
  </w:style>
  <w:style w:type="paragraph" w:styleId="Title">
    <w:name w:val="Title"/>
    <w:basedOn w:val="Normal"/>
    <w:next w:val="Normal"/>
    <w:link w:val="TitleChar"/>
    <w:uiPriority w:val="10"/>
    <w:qFormat/>
    <w:rsid w:val="007962DB"/>
    <w:pPr>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7962DB"/>
    <w:rPr>
      <w:rFonts w:asciiTheme="majorHAnsi" w:eastAsiaTheme="majorEastAsia" w:hAnsiTheme="majorHAnsi" w:cstheme="majorBidi"/>
      <w:spacing w:val="-10"/>
      <w:kern w:val="28"/>
      <w:sz w:val="40"/>
      <w:szCs w:val="56"/>
    </w:rPr>
  </w:style>
  <w:style w:type="character" w:customStyle="1" w:styleId="Heading1Char">
    <w:name w:val="Heading 1 Char"/>
    <w:basedOn w:val="DefaultParagraphFont"/>
    <w:link w:val="Heading1"/>
    <w:uiPriority w:val="9"/>
    <w:rsid w:val="004C762C"/>
    <w:rPr>
      <w:rFonts w:asciiTheme="majorHAnsi" w:eastAsiaTheme="majorEastAsia" w:hAnsiTheme="majorHAnsi" w:cstheme="majorHAnsi"/>
      <w:sz w:val="32"/>
      <w:szCs w:val="32"/>
    </w:rPr>
  </w:style>
  <w:style w:type="character" w:customStyle="1" w:styleId="Heading2Char">
    <w:name w:val="Heading 2 Char"/>
    <w:basedOn w:val="DefaultParagraphFont"/>
    <w:link w:val="Heading2"/>
    <w:uiPriority w:val="9"/>
    <w:rsid w:val="004C762C"/>
    <w:rPr>
      <w:rFonts w:asciiTheme="majorHAnsi" w:hAnsiTheme="majorHAnsi" w:cstheme="majorHAnsi"/>
      <w:sz w:val="28"/>
    </w:rPr>
  </w:style>
  <w:style w:type="paragraph" w:styleId="FootnoteText">
    <w:name w:val="footnote text"/>
    <w:basedOn w:val="Normal"/>
    <w:link w:val="FootnoteTextChar"/>
    <w:uiPriority w:val="99"/>
    <w:semiHidden/>
    <w:unhideWhenUsed/>
    <w:rsid w:val="005B77DC"/>
    <w:pPr>
      <w:spacing w:after="0"/>
    </w:pPr>
    <w:rPr>
      <w:sz w:val="20"/>
      <w:szCs w:val="20"/>
    </w:rPr>
  </w:style>
  <w:style w:type="character" w:customStyle="1" w:styleId="FootnoteTextChar">
    <w:name w:val="Footnote Text Char"/>
    <w:basedOn w:val="DefaultParagraphFont"/>
    <w:link w:val="FootnoteText"/>
    <w:uiPriority w:val="99"/>
    <w:semiHidden/>
    <w:rsid w:val="005B77DC"/>
    <w:rPr>
      <w:sz w:val="20"/>
      <w:szCs w:val="20"/>
    </w:rPr>
  </w:style>
  <w:style w:type="character" w:styleId="FootnoteReference">
    <w:name w:val="footnote reference"/>
    <w:basedOn w:val="DefaultParagraphFont"/>
    <w:uiPriority w:val="99"/>
    <w:semiHidden/>
    <w:unhideWhenUsed/>
    <w:rsid w:val="005B77DC"/>
    <w:rPr>
      <w:vertAlign w:val="superscript"/>
    </w:rPr>
  </w:style>
  <w:style w:type="character" w:styleId="FollowedHyperlink">
    <w:name w:val="FollowedHyperlink"/>
    <w:basedOn w:val="DefaultParagraphFont"/>
    <w:uiPriority w:val="99"/>
    <w:semiHidden/>
    <w:unhideWhenUsed/>
    <w:rsid w:val="00242127"/>
    <w:rPr>
      <w:color w:val="954F72" w:themeColor="followedHyperlink"/>
      <w:u w:val="single"/>
    </w:rPr>
  </w:style>
  <w:style w:type="character" w:customStyle="1" w:styleId="Heading3Char">
    <w:name w:val="Heading 3 Char"/>
    <w:basedOn w:val="DefaultParagraphFont"/>
    <w:link w:val="Heading3"/>
    <w:uiPriority w:val="9"/>
    <w:rsid w:val="004C762C"/>
    <w:rPr>
      <w:rFonts w:asciiTheme="majorHAnsi" w:hAnsiTheme="majorHAnsi" w:cstheme="majorHAnsi"/>
    </w:rPr>
  </w:style>
  <w:style w:type="paragraph" w:styleId="Bibliography">
    <w:name w:val="Bibliography"/>
    <w:basedOn w:val="Normal"/>
    <w:next w:val="Normal"/>
    <w:uiPriority w:val="37"/>
    <w:unhideWhenUsed/>
    <w:rsid w:val="0086363E"/>
    <w:pPr>
      <w:spacing w:after="0" w:line="480" w:lineRule="auto"/>
      <w:ind w:left="720" w:hanging="720"/>
    </w:pPr>
  </w:style>
  <w:style w:type="character" w:styleId="PlaceholderText">
    <w:name w:val="Placeholder Text"/>
    <w:basedOn w:val="DefaultParagraphFont"/>
    <w:uiPriority w:val="99"/>
    <w:semiHidden/>
    <w:rsid w:val="00AC2CC1"/>
    <w:rPr>
      <w:color w:val="808080"/>
    </w:rPr>
  </w:style>
  <w:style w:type="character" w:customStyle="1" w:styleId="Heading4Char">
    <w:name w:val="Heading 4 Char"/>
    <w:basedOn w:val="DefaultParagraphFont"/>
    <w:link w:val="Heading4"/>
    <w:uiPriority w:val="9"/>
    <w:rsid w:val="006417ED"/>
    <w:rPr>
      <w:rFonts w:asciiTheme="majorHAnsi" w:eastAsiaTheme="majorEastAsia" w:hAnsiTheme="majorHAnsi" w:cstheme="majorBidi"/>
      <w:i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6658">
      <w:bodyDiv w:val="1"/>
      <w:marLeft w:val="0"/>
      <w:marRight w:val="0"/>
      <w:marTop w:val="0"/>
      <w:marBottom w:val="0"/>
      <w:divBdr>
        <w:top w:val="none" w:sz="0" w:space="0" w:color="auto"/>
        <w:left w:val="none" w:sz="0" w:space="0" w:color="auto"/>
        <w:bottom w:val="none" w:sz="0" w:space="0" w:color="auto"/>
        <w:right w:val="none" w:sz="0" w:space="0" w:color="auto"/>
      </w:divBdr>
    </w:div>
    <w:div w:id="459342016">
      <w:bodyDiv w:val="1"/>
      <w:marLeft w:val="0"/>
      <w:marRight w:val="0"/>
      <w:marTop w:val="0"/>
      <w:marBottom w:val="0"/>
      <w:divBdr>
        <w:top w:val="none" w:sz="0" w:space="0" w:color="auto"/>
        <w:left w:val="none" w:sz="0" w:space="0" w:color="auto"/>
        <w:bottom w:val="none" w:sz="0" w:space="0" w:color="auto"/>
        <w:right w:val="none" w:sz="0" w:space="0" w:color="auto"/>
      </w:divBdr>
    </w:div>
    <w:div w:id="628976305">
      <w:bodyDiv w:val="1"/>
      <w:marLeft w:val="0"/>
      <w:marRight w:val="0"/>
      <w:marTop w:val="0"/>
      <w:marBottom w:val="0"/>
      <w:divBdr>
        <w:top w:val="none" w:sz="0" w:space="0" w:color="auto"/>
        <w:left w:val="none" w:sz="0" w:space="0" w:color="auto"/>
        <w:bottom w:val="none" w:sz="0" w:space="0" w:color="auto"/>
        <w:right w:val="none" w:sz="0" w:space="0" w:color="auto"/>
      </w:divBdr>
    </w:div>
    <w:div w:id="878320925">
      <w:bodyDiv w:val="1"/>
      <w:marLeft w:val="0"/>
      <w:marRight w:val="0"/>
      <w:marTop w:val="0"/>
      <w:marBottom w:val="0"/>
      <w:divBdr>
        <w:top w:val="none" w:sz="0" w:space="0" w:color="auto"/>
        <w:left w:val="none" w:sz="0" w:space="0" w:color="auto"/>
        <w:bottom w:val="none" w:sz="0" w:space="0" w:color="auto"/>
        <w:right w:val="none" w:sz="0" w:space="0" w:color="auto"/>
      </w:divBdr>
    </w:div>
    <w:div w:id="1159542114">
      <w:bodyDiv w:val="1"/>
      <w:marLeft w:val="0"/>
      <w:marRight w:val="0"/>
      <w:marTop w:val="0"/>
      <w:marBottom w:val="0"/>
      <w:divBdr>
        <w:top w:val="none" w:sz="0" w:space="0" w:color="auto"/>
        <w:left w:val="none" w:sz="0" w:space="0" w:color="auto"/>
        <w:bottom w:val="none" w:sz="0" w:space="0" w:color="auto"/>
        <w:right w:val="none" w:sz="0" w:space="0" w:color="auto"/>
      </w:divBdr>
    </w:div>
    <w:div w:id="200581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theme" Target="theme/theme1.xml"/><Relationship Id="rId21" Type="http://schemas.openxmlformats.org/officeDocument/2006/relationships/chart" Target="charts/chart8.xml"/><Relationship Id="rId34" Type="http://schemas.openxmlformats.org/officeDocument/2006/relationships/chart" Target="charts/chart21.xml"/><Relationship Id="rId7" Type="http://schemas.openxmlformats.org/officeDocument/2006/relationships/endnotes" Target="endnotes.xml"/><Relationship Id="rId12" Type="http://schemas.openxmlformats.org/officeDocument/2006/relationships/hyperlink" Target="https://usbr.gov/mp/cvo/deliv.html" TargetMode="External"/><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chart" Target="charts/chart20.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image" Target="media/image3.png"/><Relationship Id="rId10" Type="http://schemas.microsoft.com/office/2016/09/relationships/commentsIds" Target="commentsIds.xml"/><Relationship Id="rId19" Type="http://schemas.openxmlformats.org/officeDocument/2006/relationships/chart" Target="charts/chart6.xml"/><Relationship Id="rId31" Type="http://schemas.openxmlformats.org/officeDocument/2006/relationships/chart" Target="charts/chart18.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2.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3"/>
          <c:order val="0"/>
          <c:tx>
            <c:strRef>
              <c:f>Sheet1!$G$1</c:f>
              <c:strCache>
                <c:ptCount val="1"/>
                <c:pt idx="0">
                  <c:v>Local supplies</c:v>
                </c:pt>
              </c:strCache>
            </c:strRef>
          </c:tx>
          <c:spPr>
            <a:solidFill>
              <a:schemeClr val="accent4"/>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Sheet1!$G$2:$G$18</c:f>
              <c:numCache>
                <c:formatCode>General</c:formatCode>
                <c:ptCount val="17"/>
                <c:pt idx="0">
                  <c:v>3514</c:v>
                </c:pt>
                <c:pt idx="1">
                  <c:v>2431.6</c:v>
                </c:pt>
                <c:pt idx="2">
                  <c:v>2781.9</c:v>
                </c:pt>
                <c:pt idx="3">
                  <c:v>2781.9</c:v>
                </c:pt>
                <c:pt idx="4">
                  <c:v>2403.8000000000002</c:v>
                </c:pt>
                <c:pt idx="5">
                  <c:v>2914.2</c:v>
                </c:pt>
                <c:pt idx="6">
                  <c:v>3063.2</c:v>
                </c:pt>
                <c:pt idx="7">
                  <c:v>2602.3000000000002</c:v>
                </c:pt>
                <c:pt idx="8">
                  <c:v>2827.4</c:v>
                </c:pt>
                <c:pt idx="9">
                  <c:v>2724.3</c:v>
                </c:pt>
                <c:pt idx="10">
                  <c:v>2450.3000000000002</c:v>
                </c:pt>
                <c:pt idx="11">
                  <c:v>1943</c:v>
                </c:pt>
                <c:pt idx="12">
                  <c:v>1534.8</c:v>
                </c:pt>
                <c:pt idx="13">
                  <c:v>977</c:v>
                </c:pt>
                <c:pt idx="14">
                  <c:v>1813.3</c:v>
                </c:pt>
                <c:pt idx="15">
                  <c:v>2457.4</c:v>
                </c:pt>
                <c:pt idx="16">
                  <c:v>2228.6999999999998</c:v>
                </c:pt>
              </c:numCache>
            </c:numRef>
          </c:val>
          <c:extLst>
            <c:ext xmlns:c16="http://schemas.microsoft.com/office/drawing/2014/chart" uri="{C3380CC4-5D6E-409C-BE32-E72D297353CC}">
              <c16:uniqueId val="{00000000-FFC3-CF47-97BD-5E64CABEE880}"/>
            </c:ext>
          </c:extLst>
        </c:ser>
        <c:ser>
          <c:idx val="0"/>
          <c:order val="1"/>
          <c:tx>
            <c:strRef>
              <c:f>Sheet1!$D$1</c:f>
              <c:strCache>
                <c:ptCount val="1"/>
                <c:pt idx="0">
                  <c:v>Federal (CVP)</c:v>
                </c:pt>
              </c:strCache>
            </c:strRef>
          </c:tx>
          <c:spPr>
            <a:solidFill>
              <a:schemeClr val="accent1"/>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Sheet1!$D$2:$D$18</c:f>
              <c:numCache>
                <c:formatCode>General</c:formatCode>
                <c:ptCount val="17"/>
                <c:pt idx="0">
                  <c:v>1905.7</c:v>
                </c:pt>
                <c:pt idx="1">
                  <c:v>1764.9</c:v>
                </c:pt>
                <c:pt idx="2">
                  <c:v>1460.9</c:v>
                </c:pt>
                <c:pt idx="3">
                  <c:v>1541.8</c:v>
                </c:pt>
                <c:pt idx="4">
                  <c:v>1736</c:v>
                </c:pt>
                <c:pt idx="5">
                  <c:v>1639.4</c:v>
                </c:pt>
                <c:pt idx="6">
                  <c:v>1444.8</c:v>
                </c:pt>
                <c:pt idx="7">
                  <c:v>1471.9</c:v>
                </c:pt>
                <c:pt idx="8">
                  <c:v>1563.1</c:v>
                </c:pt>
                <c:pt idx="9">
                  <c:v>1707.7</c:v>
                </c:pt>
                <c:pt idx="10">
                  <c:v>1616.2</c:v>
                </c:pt>
                <c:pt idx="11">
                  <c:v>1465.4</c:v>
                </c:pt>
                <c:pt idx="12">
                  <c:v>982</c:v>
                </c:pt>
                <c:pt idx="13">
                  <c:v>742.8</c:v>
                </c:pt>
                <c:pt idx="14">
                  <c:v>1153.9000000000001</c:v>
                </c:pt>
                <c:pt idx="15">
                  <c:v>1676.19999999999</c:v>
                </c:pt>
                <c:pt idx="16">
                  <c:v>1576.7</c:v>
                </c:pt>
              </c:numCache>
            </c:numRef>
          </c:val>
          <c:extLst>
            <c:ext xmlns:c16="http://schemas.microsoft.com/office/drawing/2014/chart" uri="{C3380CC4-5D6E-409C-BE32-E72D297353CC}">
              <c16:uniqueId val="{00000001-FFC3-CF47-97BD-5E64CABEE880}"/>
            </c:ext>
          </c:extLst>
        </c:ser>
        <c:ser>
          <c:idx val="5"/>
          <c:order val="2"/>
          <c:tx>
            <c:strRef>
              <c:f>Sheet1!$I$1</c:f>
              <c:strCache>
                <c:ptCount val="1"/>
                <c:pt idx="0">
                  <c:v>SWP</c:v>
                </c:pt>
              </c:strCache>
            </c:strRef>
          </c:tx>
          <c:spPr>
            <a:solidFill>
              <a:schemeClr val="accent6"/>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Sheet1!$I$2:$I$18</c:f>
              <c:numCache>
                <c:formatCode>General</c:formatCode>
                <c:ptCount val="17"/>
                <c:pt idx="0">
                  <c:v>7.9</c:v>
                </c:pt>
                <c:pt idx="1">
                  <c:v>16.7</c:v>
                </c:pt>
                <c:pt idx="2">
                  <c:v>14.2</c:v>
                </c:pt>
                <c:pt idx="3">
                  <c:v>4.7</c:v>
                </c:pt>
                <c:pt idx="4">
                  <c:v>5.5</c:v>
                </c:pt>
                <c:pt idx="5">
                  <c:v>24.4</c:v>
                </c:pt>
                <c:pt idx="6">
                  <c:v>9.1</c:v>
                </c:pt>
                <c:pt idx="7">
                  <c:v>45.7</c:v>
                </c:pt>
                <c:pt idx="8">
                  <c:v>28.4</c:v>
                </c:pt>
                <c:pt idx="9">
                  <c:v>26.2</c:v>
                </c:pt>
                <c:pt idx="10">
                  <c:v>27.5</c:v>
                </c:pt>
                <c:pt idx="11">
                  <c:v>44.2</c:v>
                </c:pt>
                <c:pt idx="12">
                  <c:v>31.3</c:v>
                </c:pt>
                <c:pt idx="13">
                  <c:v>12.7</c:v>
                </c:pt>
                <c:pt idx="14">
                  <c:v>7.8</c:v>
                </c:pt>
                <c:pt idx="15">
                  <c:v>5.9</c:v>
                </c:pt>
                <c:pt idx="16">
                  <c:v>3</c:v>
                </c:pt>
              </c:numCache>
            </c:numRef>
          </c:val>
          <c:extLst>
            <c:ext xmlns:c16="http://schemas.microsoft.com/office/drawing/2014/chart" uri="{C3380CC4-5D6E-409C-BE32-E72D297353CC}">
              <c16:uniqueId val="{00000002-FFC3-CF47-97BD-5E64CABEE880}"/>
            </c:ext>
          </c:extLst>
        </c:ser>
        <c:ser>
          <c:idx val="1"/>
          <c:order val="3"/>
          <c:tx>
            <c:strRef>
              <c:f>Sheet1!$E$1</c:f>
              <c:strCache>
                <c:ptCount val="1"/>
                <c:pt idx="0">
                  <c:v>Groundwater</c:v>
                </c:pt>
              </c:strCache>
            </c:strRef>
          </c:tx>
          <c:spPr>
            <a:solidFill>
              <a:schemeClr val="accent2"/>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3-FFC3-CF47-97BD-5E64CABEE880}"/>
            </c:ext>
          </c:extLst>
        </c:ser>
        <c:dLbls>
          <c:showLegendKey val="0"/>
          <c:showVal val="0"/>
          <c:showCatName val="0"/>
          <c:showSerName val="0"/>
          <c:showPercent val="0"/>
          <c:showBubbleSize val="0"/>
        </c:dLbls>
        <c:gapWidth val="44"/>
        <c:overlap val="100"/>
        <c:axId val="2046635120"/>
        <c:axId val="2046636800"/>
      </c:barChart>
      <c:catAx>
        <c:axId val="20466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6800"/>
        <c:crosses val="autoZero"/>
        <c:auto val="1"/>
        <c:lblAlgn val="ctr"/>
        <c:lblOffset val="100"/>
        <c:noMultiLvlLbl val="0"/>
      </c:catAx>
      <c:valAx>
        <c:axId val="2046636800"/>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0"/>
          <c:tx>
            <c:strRef>
              <c:f>regression_results!$Y$1</c:f>
              <c:strCache>
                <c:ptCount val="1"/>
                <c:pt idx="0">
                  <c:v>Local sources</c:v>
                </c:pt>
              </c:strCache>
            </c:strRef>
          </c:tx>
          <c:spPr>
            <a:solidFill>
              <a:schemeClr val="accent2"/>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regression_results!$Y$2:$Y$51</c:f>
              <c:numCache>
                <c:formatCode>General</c:formatCode>
                <c:ptCount val="50"/>
                <c:pt idx="0">
                  <c:v>4246.6321152607798</c:v>
                </c:pt>
                <c:pt idx="3">
                  <c:v>3019.7505541638002</c:v>
                </c:pt>
                <c:pt idx="6">
                  <c:v>3026.08129575155</c:v>
                </c:pt>
                <c:pt idx="9">
                  <c:v>3139.7450483898601</c:v>
                </c:pt>
                <c:pt idx="12">
                  <c:v>2944.2656881959401</c:v>
                </c:pt>
                <c:pt idx="15">
                  <c:v>3461.93315731131</c:v>
                </c:pt>
                <c:pt idx="18">
                  <c:v>3468.5646786994398</c:v>
                </c:pt>
                <c:pt idx="21">
                  <c:v>3096.29289167058</c:v>
                </c:pt>
                <c:pt idx="24">
                  <c:v>3328.5865046603199</c:v>
                </c:pt>
                <c:pt idx="27">
                  <c:v>3250.0925395762802</c:v>
                </c:pt>
                <c:pt idx="30">
                  <c:v>2994.3544962137998</c:v>
                </c:pt>
                <c:pt idx="33">
                  <c:v>2430.2484990985899</c:v>
                </c:pt>
                <c:pt idx="36">
                  <c:v>1808.75837331921</c:v>
                </c:pt>
                <c:pt idx="39">
                  <c:v>1098.2532192772401</c:v>
                </c:pt>
                <c:pt idx="42">
                  <c:v>2092.0779276949902</c:v>
                </c:pt>
                <c:pt idx="45">
                  <c:v>3145.4172743020099</c:v>
                </c:pt>
                <c:pt idx="48">
                  <c:v>2750.5200926256998</c:v>
                </c:pt>
              </c:numCache>
            </c:numRef>
          </c:val>
          <c:extLst>
            <c:ext xmlns:c16="http://schemas.microsoft.com/office/drawing/2014/chart" uri="{C3380CC4-5D6E-409C-BE32-E72D297353CC}">
              <c16:uniqueId val="{00000000-25DC-6A48-91D1-DA37B5AE1446}"/>
            </c:ext>
          </c:extLst>
        </c:ser>
        <c:ser>
          <c:idx val="2"/>
          <c:order val="1"/>
          <c:tx>
            <c:strRef>
              <c:f>regression_results!$Z$1</c:f>
              <c:strCache>
                <c:ptCount val="1"/>
                <c:pt idx="0">
                  <c:v>Actual Delta imports</c:v>
                </c:pt>
              </c:strCache>
            </c:strRef>
          </c:tx>
          <c:spPr>
            <a:solidFill>
              <a:schemeClr val="accent5"/>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regression_results!$Z$2:$Z$51</c:f>
              <c:numCache>
                <c:formatCode>General</c:formatCode>
                <c:ptCount val="50"/>
                <c:pt idx="0">
                  <c:v>1180.9678847392099</c:v>
                </c:pt>
                <c:pt idx="3">
                  <c:v>1193.4494458361901</c:v>
                </c:pt>
                <c:pt idx="6">
                  <c:v>1230.91870424844</c:v>
                </c:pt>
                <c:pt idx="9">
                  <c:v>1188.65495161013</c:v>
                </c:pt>
                <c:pt idx="12">
                  <c:v>1201.03431180405</c:v>
                </c:pt>
                <c:pt idx="15">
                  <c:v>1116.06684268868</c:v>
                </c:pt>
                <c:pt idx="18">
                  <c:v>1048.5353213005501</c:v>
                </c:pt>
                <c:pt idx="21">
                  <c:v>1023.60710832941</c:v>
                </c:pt>
                <c:pt idx="24">
                  <c:v>1090.31349533967</c:v>
                </c:pt>
                <c:pt idx="27">
                  <c:v>1208.1074604237101</c:v>
                </c:pt>
                <c:pt idx="30">
                  <c:v>1099.6455037861999</c:v>
                </c:pt>
                <c:pt idx="33">
                  <c:v>1022.3515009014</c:v>
                </c:pt>
                <c:pt idx="36">
                  <c:v>739.34162668078397</c:v>
                </c:pt>
                <c:pt idx="39">
                  <c:v>634.24678072275799</c:v>
                </c:pt>
                <c:pt idx="42">
                  <c:v>882.92207230500901</c:v>
                </c:pt>
                <c:pt idx="45">
                  <c:v>994.082725697981</c:v>
                </c:pt>
                <c:pt idx="48">
                  <c:v>1057.87990737429</c:v>
                </c:pt>
              </c:numCache>
            </c:numRef>
          </c:val>
          <c:extLst>
            <c:ext xmlns:c16="http://schemas.microsoft.com/office/drawing/2014/chart" uri="{C3380CC4-5D6E-409C-BE32-E72D297353CC}">
              <c16:uniqueId val="{00000001-25DC-6A48-91D1-DA37B5AE1446}"/>
            </c:ext>
          </c:extLst>
        </c:ser>
        <c:ser>
          <c:idx val="3"/>
          <c:order val="2"/>
          <c:tx>
            <c:strRef>
              <c:f>regression_results!$AA$1</c:f>
              <c:strCache>
                <c:ptCount val="1"/>
                <c:pt idx="0">
                  <c:v>Actual groundwater pumping</c:v>
                </c:pt>
              </c:strCache>
            </c:strRef>
          </c:tx>
          <c:spPr>
            <a:solidFill>
              <a:schemeClr val="accent6"/>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regression_results!$AA$2:$AA$51</c:f>
              <c:numCache>
                <c:formatCode>General</c:formatCode>
                <c:ptCount val="50"/>
                <c:pt idx="0">
                  <c:v>2720.1</c:v>
                </c:pt>
                <c:pt idx="3">
                  <c:v>2551.8000000000002</c:v>
                </c:pt>
                <c:pt idx="6">
                  <c:v>2936.7</c:v>
                </c:pt>
                <c:pt idx="9">
                  <c:v>2163.9</c:v>
                </c:pt>
                <c:pt idx="12">
                  <c:v>2669.6</c:v>
                </c:pt>
                <c:pt idx="15">
                  <c:v>3401.9</c:v>
                </c:pt>
                <c:pt idx="18">
                  <c:v>3656.2</c:v>
                </c:pt>
                <c:pt idx="21">
                  <c:v>3646.4</c:v>
                </c:pt>
                <c:pt idx="24">
                  <c:v>2507.1999999999998</c:v>
                </c:pt>
                <c:pt idx="27">
                  <c:v>2324.1</c:v>
                </c:pt>
                <c:pt idx="30">
                  <c:v>3361.8</c:v>
                </c:pt>
                <c:pt idx="33">
                  <c:v>3632.2</c:v>
                </c:pt>
                <c:pt idx="36">
                  <c:v>4510.8999999999996</c:v>
                </c:pt>
                <c:pt idx="39">
                  <c:v>4983.8999999999996</c:v>
                </c:pt>
                <c:pt idx="42">
                  <c:v>3633.5</c:v>
                </c:pt>
                <c:pt idx="45">
                  <c:v>2993.1</c:v>
                </c:pt>
                <c:pt idx="48">
                  <c:v>2671.1</c:v>
                </c:pt>
              </c:numCache>
            </c:numRef>
          </c:val>
          <c:extLst>
            <c:ext xmlns:c16="http://schemas.microsoft.com/office/drawing/2014/chart" uri="{C3380CC4-5D6E-409C-BE32-E72D297353CC}">
              <c16:uniqueId val="{00000002-25DC-6A48-91D1-DA37B5AE1446}"/>
            </c:ext>
          </c:extLst>
        </c:ser>
        <c:ser>
          <c:idx val="4"/>
          <c:order val="3"/>
          <c:tx>
            <c:strRef>
              <c:f>regression_results!$AB$1</c:f>
              <c:strCache>
                <c:ptCount val="1"/>
                <c:pt idx="0">
                  <c:v>Estimated local sources</c:v>
                </c:pt>
              </c:strCache>
            </c:strRef>
          </c:tx>
          <c:spPr>
            <a:solidFill>
              <a:schemeClr val="accent2">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regression_results!$AB$2:$AB$51</c:f>
              <c:numCache>
                <c:formatCode>General</c:formatCode>
                <c:ptCount val="50"/>
                <c:pt idx="1">
                  <c:v>3275.4217177436099</c:v>
                </c:pt>
                <c:pt idx="4">
                  <c:v>3260.4792507656898</c:v>
                </c:pt>
                <c:pt idx="7">
                  <c:v>3278.08585340134</c:v>
                </c:pt>
                <c:pt idx="10">
                  <c:v>3147.75633159275</c:v>
                </c:pt>
                <c:pt idx="13">
                  <c:v>2988.3521210900399</c:v>
                </c:pt>
                <c:pt idx="16">
                  <c:v>3282.8519583246398</c:v>
                </c:pt>
                <c:pt idx="19">
                  <c:v>3112.5770926464002</c:v>
                </c:pt>
                <c:pt idx="22">
                  <c:v>2894.7265652777601</c:v>
                </c:pt>
                <c:pt idx="25">
                  <c:v>3281.28043180855</c:v>
                </c:pt>
                <c:pt idx="28">
                  <c:v>2992.3611812416998</c:v>
                </c:pt>
                <c:pt idx="31">
                  <c:v>3271.9507533894098</c:v>
                </c:pt>
                <c:pt idx="34">
                  <c:v>3060.95740049801</c:v>
                </c:pt>
                <c:pt idx="37">
                  <c:v>2017.0744889057501</c:v>
                </c:pt>
                <c:pt idx="40">
                  <c:v>920.65814446012701</c:v>
                </c:pt>
                <c:pt idx="43">
                  <c:v>2224.25837000915</c:v>
                </c:pt>
                <c:pt idx="46">
                  <c:v>3231.6707205787402</c:v>
                </c:pt>
                <c:pt idx="49">
                  <c:v>3061.1119744777602</c:v>
                </c:pt>
              </c:numCache>
            </c:numRef>
          </c:val>
          <c:extLst>
            <c:ext xmlns:c16="http://schemas.microsoft.com/office/drawing/2014/chart" uri="{C3380CC4-5D6E-409C-BE32-E72D297353CC}">
              <c16:uniqueId val="{00000003-25DC-6A48-91D1-DA37B5AE1446}"/>
            </c:ext>
          </c:extLst>
        </c:ser>
        <c:ser>
          <c:idx val="5"/>
          <c:order val="4"/>
          <c:tx>
            <c:strRef>
              <c:f>regression_results!$AC$1</c:f>
              <c:strCache>
                <c:ptCount val="1"/>
                <c:pt idx="0">
                  <c:v>Estimated Delta imports</c:v>
                </c:pt>
              </c:strCache>
            </c:strRef>
          </c:tx>
          <c:spPr>
            <a:solidFill>
              <a:schemeClr val="accent5">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regression_results!$AC$2:$AC$51</c:f>
              <c:numCache>
                <c:formatCode>General</c:formatCode>
                <c:ptCount val="50"/>
                <c:pt idx="1">
                  <c:v>1092.9055585050601</c:v>
                </c:pt>
                <c:pt idx="4">
                  <c:v>1076.3317366450899</c:v>
                </c:pt>
                <c:pt idx="7">
                  <c:v>1093.39118301248</c:v>
                </c:pt>
                <c:pt idx="10">
                  <c:v>1177.8016870926399</c:v>
                </c:pt>
                <c:pt idx="13">
                  <c:v>1203.6611501730799</c:v>
                </c:pt>
                <c:pt idx="16">
                  <c:v>1114.4873465589901</c:v>
                </c:pt>
                <c:pt idx="19">
                  <c:v>1024.02101177432</c:v>
                </c:pt>
                <c:pt idx="22">
                  <c:v>972.10901519334595</c:v>
                </c:pt>
                <c:pt idx="25">
                  <c:v>1102.4029174418499</c:v>
                </c:pt>
                <c:pt idx="28">
                  <c:v>1203.5702179946099</c:v>
                </c:pt>
                <c:pt idx="31">
                  <c:v>1130.0807098154501</c:v>
                </c:pt>
                <c:pt idx="34">
                  <c:v>1005.45129744362</c:v>
                </c:pt>
                <c:pt idx="37">
                  <c:v>827.010456193697</c:v>
                </c:pt>
                <c:pt idx="40">
                  <c:v>682.11787462194195</c:v>
                </c:pt>
                <c:pt idx="43">
                  <c:v>853.82100498356795</c:v>
                </c:pt>
                <c:pt idx="46">
                  <c:v>1156.71657410799</c:v>
                </c:pt>
                <c:pt idx="49">
                  <c:v>1196.2459022307501</c:v>
                </c:pt>
              </c:numCache>
            </c:numRef>
          </c:val>
          <c:extLst>
            <c:ext xmlns:c16="http://schemas.microsoft.com/office/drawing/2014/chart" uri="{C3380CC4-5D6E-409C-BE32-E72D297353CC}">
              <c16:uniqueId val="{00000004-25DC-6A48-91D1-DA37B5AE1446}"/>
            </c:ext>
          </c:extLst>
        </c:ser>
        <c:ser>
          <c:idx val="6"/>
          <c:order val="5"/>
          <c:tx>
            <c:strRef>
              <c:f>regression_results!$AD$1</c:f>
              <c:strCache>
                <c:ptCount val="1"/>
                <c:pt idx="0">
                  <c:v>Estimated groundwater pumping</c:v>
                </c:pt>
              </c:strCache>
            </c:strRef>
          </c:tx>
          <c:spPr>
            <a:solidFill>
              <a:schemeClr val="accent6">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regression_results!$AD$2:$AD$51</c:f>
              <c:numCache>
                <c:formatCode>General</c:formatCode>
                <c:ptCount val="50"/>
                <c:pt idx="1">
                  <c:v>2936.78615804115</c:v>
                </c:pt>
                <c:pt idx="4">
                  <c:v>3274.4134041453099</c:v>
                </c:pt>
                <c:pt idx="7">
                  <c:v>2904.35107752969</c:v>
                </c:pt>
                <c:pt idx="10">
                  <c:v>2486.1463672878399</c:v>
                </c:pt>
                <c:pt idx="13">
                  <c:v>2840.26130121297</c:v>
                </c:pt>
                <c:pt idx="16">
                  <c:v>3120.0286274222599</c:v>
                </c:pt>
                <c:pt idx="19">
                  <c:v>3361.6495466767601</c:v>
                </c:pt>
                <c:pt idx="22">
                  <c:v>3404.6930053521</c:v>
                </c:pt>
                <c:pt idx="25">
                  <c:v>2484.9643350347701</c:v>
                </c:pt>
                <c:pt idx="28">
                  <c:v>2404.6562160271701</c:v>
                </c:pt>
                <c:pt idx="31">
                  <c:v>3285.51472002538</c:v>
                </c:pt>
                <c:pt idx="34">
                  <c:v>3492.21223345824</c:v>
                </c:pt>
                <c:pt idx="37">
                  <c:v>4401.1676041096098</c:v>
                </c:pt>
                <c:pt idx="40">
                  <c:v>5214.8812297027798</c:v>
                </c:pt>
                <c:pt idx="43">
                  <c:v>3390.2232196165601</c:v>
                </c:pt>
                <c:pt idx="46">
                  <c:v>2872.13873645592</c:v>
                </c:pt>
                <c:pt idx="49">
                  <c:v>2490.3122179014599</c:v>
                </c:pt>
              </c:numCache>
            </c:numRef>
          </c:val>
          <c:extLst>
            <c:ext xmlns:c16="http://schemas.microsoft.com/office/drawing/2014/chart" uri="{C3380CC4-5D6E-409C-BE32-E72D297353CC}">
              <c16:uniqueId val="{00000005-25DC-6A48-91D1-DA37B5AE1446}"/>
            </c:ext>
          </c:extLst>
        </c:ser>
        <c:dLbls>
          <c:showLegendKey val="0"/>
          <c:showVal val="0"/>
          <c:showCatName val="0"/>
          <c:showSerName val="0"/>
          <c:showPercent val="0"/>
          <c:showBubbleSize val="0"/>
        </c:dLbls>
        <c:gapWidth val="30"/>
        <c:overlap val="100"/>
        <c:axId val="1033727360"/>
        <c:axId val="945661072"/>
      </c:barChart>
      <c:catAx>
        <c:axId val="103372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22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945661072"/>
        <c:crosses val="autoZero"/>
        <c:auto val="1"/>
        <c:lblAlgn val="ctr"/>
        <c:lblOffset val="100"/>
        <c:noMultiLvlLbl val="0"/>
      </c:catAx>
      <c:valAx>
        <c:axId val="94566107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deliveries (millions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03372736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regression_results!$I$1</c:f>
              <c:strCache>
                <c:ptCount val="1"/>
                <c:pt idx="0">
                  <c:v>anomaly</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regression_results!$I$2:$I$18</c:f>
              <c:numCache>
                <c:formatCode>General</c:formatCode>
                <c:ptCount val="17"/>
                <c:pt idx="0">
                  <c:v>1.01763728256667</c:v>
                </c:pt>
                <c:pt idx="1">
                  <c:v>0.99723752782278996</c:v>
                </c:pt>
                <c:pt idx="2">
                  <c:v>1.0271673821480201</c:v>
                </c:pt>
                <c:pt idx="3">
                  <c:v>0.98887899548976699</c:v>
                </c:pt>
                <c:pt idx="4">
                  <c:v>0.97161275047273099</c:v>
                </c:pt>
                <c:pt idx="5">
                  <c:v>1.01710890755518</c:v>
                </c:pt>
                <c:pt idx="6">
                  <c:v>1.04080212842555</c:v>
                </c:pt>
                <c:pt idx="7">
                  <c:v>1.0508622850995499</c:v>
                </c:pt>
                <c:pt idx="8">
                  <c:v>0.98711935544260798</c:v>
                </c:pt>
                <c:pt idx="9">
                  <c:v>0.91638843305731199</c:v>
                </c:pt>
                <c:pt idx="10">
                  <c:v>0.95389008791013397</c:v>
                </c:pt>
                <c:pt idx="11">
                  <c:v>1.0477078666773101</c:v>
                </c:pt>
                <c:pt idx="12">
                  <c:v>1.06393970715761</c:v>
                </c:pt>
                <c:pt idx="13">
                  <c:v>1.05277854484966</c:v>
                </c:pt>
                <c:pt idx="14">
                  <c:v>1.01343775809834</c:v>
                </c:pt>
                <c:pt idx="15">
                  <c:v>1.02288490475911</c:v>
                </c:pt>
                <c:pt idx="16">
                  <c:v>1.0277170614862901</c:v>
                </c:pt>
              </c:numCache>
            </c:numRef>
          </c:val>
          <c:extLst>
            <c:ext xmlns:c16="http://schemas.microsoft.com/office/drawing/2014/chart" uri="{C3380CC4-5D6E-409C-BE32-E72D297353CC}">
              <c16:uniqueId val="{00000000-3180-AB41-9DA7-5ADDBD01D3E7}"/>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At val="1"/>
        <c:auto val="1"/>
        <c:lblAlgn val="ctr"/>
        <c:lblOffset val="100"/>
        <c:noMultiLvlLbl val="0"/>
      </c:catAx>
      <c:valAx>
        <c:axId val="201678224"/>
        <c:scaling>
          <c:orientation val="minMax"/>
          <c:max val="1.1000000000000001"/>
          <c:min val="0.9"/>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Deviation in evapotranspiration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5000-D842-A154-257146EDFD94}"/>
            </c:ext>
          </c:extLst>
        </c:ser>
        <c:ser>
          <c:idx val="1"/>
          <c:order val="1"/>
          <c:tx>
            <c:strRef>
              <c:f>regression_results!$R$1</c:f>
              <c:strCache>
                <c:ptCount val="1"/>
                <c:pt idx="0">
                  <c:v>Effective supplies (accounting for ET deviations)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regression_results!$R$2:$R$18</c:f>
              <c:numCache>
                <c:formatCode>General</c:formatCode>
                <c:ptCount val="17"/>
                <c:pt idx="0">
                  <c:v>7178.9777105475305</c:v>
                </c:pt>
                <c:pt idx="1">
                  <c:v>7630.9806338271455</c:v>
                </c:pt>
                <c:pt idx="2">
                  <c:v>7081.5364255005134</c:v>
                </c:pt>
                <c:pt idx="3">
                  <c:v>6891.2379505876679</c:v>
                </c:pt>
                <c:pt idx="4">
                  <c:v>7235.2903290496879</c:v>
                </c:pt>
                <c:pt idx="5">
                  <c:v>7395.0109632685599</c:v>
                </c:pt>
                <c:pt idx="6">
                  <c:v>7206.44498933659</c:v>
                </c:pt>
                <c:pt idx="7">
                  <c:v>6907.7791749960261</c:v>
                </c:pt>
                <c:pt idx="8">
                  <c:v>6960.7655838182854</c:v>
                </c:pt>
                <c:pt idx="9">
                  <c:v>7198.5485239055261</c:v>
                </c:pt>
                <c:pt idx="10">
                  <c:v>8017.3082716451108</c:v>
                </c:pt>
                <c:pt idx="11">
                  <c:v>7217.4308263597832</c:v>
                </c:pt>
                <c:pt idx="12">
                  <c:v>6787.9779544573448</c:v>
                </c:pt>
                <c:pt idx="13">
                  <c:v>6440.2034132797417</c:v>
                </c:pt>
                <c:pt idx="14">
                  <c:v>6372.200412382419</c:v>
                </c:pt>
                <c:pt idx="15">
                  <c:v>7096.8611347135657</c:v>
                </c:pt>
                <c:pt idx="16">
                  <c:v>6549.4472903107662</c:v>
                </c:pt>
              </c:numCache>
            </c:numRef>
          </c:val>
          <c:extLst>
            <c:ext xmlns:c16="http://schemas.microsoft.com/office/drawing/2014/chart" uri="{C3380CC4-5D6E-409C-BE32-E72D297353CC}">
              <c16:uniqueId val="{00000001-5000-D842-A154-257146EDFD94}"/>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4541054243219598"/>
                  <c:y val="-0.27665463692038494"/>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rendlineLbl>
          </c:trendline>
          <c:xVal>
            <c:numRef>
              <c:f>regression_results!$F$2:$F$18</c:f>
              <c:numCache>
                <c:formatCode>General</c:formatCode>
                <c:ptCount val="17"/>
                <c:pt idx="0">
                  <c:v>-0.59999999999999898</c:v>
                </c:pt>
                <c:pt idx="1">
                  <c:v>-1.65</c:v>
                </c:pt>
                <c:pt idx="2">
                  <c:v>-0.59999999999999398</c:v>
                </c:pt>
                <c:pt idx="3">
                  <c:v>0.54999999999999905</c:v>
                </c:pt>
                <c:pt idx="4">
                  <c:v>-0.20000000000000201</c:v>
                </c:pt>
                <c:pt idx="5">
                  <c:v>-1.01999999999999</c:v>
                </c:pt>
                <c:pt idx="6">
                  <c:v>-1.65</c:v>
                </c:pt>
                <c:pt idx="7">
                  <c:v>-1.3</c:v>
                </c:pt>
                <c:pt idx="8">
                  <c:v>0.35</c:v>
                </c:pt>
                <c:pt idx="9">
                  <c:v>1.5</c:v>
                </c:pt>
                <c:pt idx="10">
                  <c:v>-2.6</c:v>
                </c:pt>
                <c:pt idx="11">
                  <c:v>-2.7999999999999901</c:v>
                </c:pt>
                <c:pt idx="12">
                  <c:v>-4</c:v>
                </c:pt>
                <c:pt idx="13">
                  <c:v>-3.7999999999999901</c:v>
                </c:pt>
                <c:pt idx="14">
                  <c:v>0.41550000000000298</c:v>
                </c:pt>
                <c:pt idx="15">
                  <c:v>-0.81499999999999795</c:v>
                </c:pt>
                <c:pt idx="16">
                  <c:v>1.1499999999999999</c:v>
                </c:pt>
              </c:numCache>
            </c:numRef>
          </c:xVal>
          <c:yVal>
            <c:numRef>
              <c:f>regression_results!$E$2:$E$18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EA5F-AC43-9781-85B69E83D2FF}"/>
            </c:ext>
          </c:extLst>
        </c:ser>
        <c:dLbls>
          <c:showLegendKey val="0"/>
          <c:showVal val="0"/>
          <c:showCatName val="0"/>
          <c:showSerName val="0"/>
          <c:showPercent val="0"/>
          <c:showBubbleSize val="0"/>
        </c:dLbls>
        <c:axId val="261218815"/>
        <c:axId val="202327696"/>
      </c:scatterChart>
      <c:valAx>
        <c:axId val="26121881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 change in groundwater elevation (feet)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2327696"/>
        <c:crossesAt val="2812.6"/>
        <c:crossBetween val="midCat"/>
      </c:valAx>
      <c:valAx>
        <c:axId val="20232769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 groundwater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61218815"/>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regression_results!$M$1</c:f>
              <c:strCache>
                <c:ptCount val="1"/>
                <c:pt idx="0">
                  <c:v>Changes in groundwater storage</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regression_results!$M$2:$M$18</c:f>
              <c:numCache>
                <c:formatCode>General</c:formatCode>
                <c:ptCount val="17"/>
                <c:pt idx="0">
                  <c:v>-124.225488774124</c:v>
                </c:pt>
                <c:pt idx="1">
                  <c:v>-461.85273486931999</c:v>
                </c:pt>
                <c:pt idx="2">
                  <c:v>-91.790408256810593</c:v>
                </c:pt>
                <c:pt idx="3">
                  <c:v>326.41430198266499</c:v>
                </c:pt>
                <c:pt idx="4">
                  <c:v>-27.700631936803301</c:v>
                </c:pt>
                <c:pt idx="5">
                  <c:v>-307.46795815003202</c:v>
                </c:pt>
                <c:pt idx="6">
                  <c:v>-549.08887741420904</c:v>
                </c:pt>
                <c:pt idx="7">
                  <c:v>-592.13233609120402</c:v>
                </c:pt>
                <c:pt idx="8">
                  <c:v>327.596334229413</c:v>
                </c:pt>
                <c:pt idx="9">
                  <c:v>407.90445324799299</c:v>
                </c:pt>
                <c:pt idx="10">
                  <c:v>-472.95405075183402</c:v>
                </c:pt>
                <c:pt idx="11">
                  <c:v>-679.65156418479899</c:v>
                </c:pt>
                <c:pt idx="12">
                  <c:v>-1588.60693484851</c:v>
                </c:pt>
                <c:pt idx="13">
                  <c:v>-2402.3205604318</c:v>
                </c:pt>
                <c:pt idx="14">
                  <c:v>-577.66255035473296</c:v>
                </c:pt>
                <c:pt idx="15">
                  <c:v>-59.578067188359</c:v>
                </c:pt>
                <c:pt idx="16">
                  <c:v>322.24845136655802</c:v>
                </c:pt>
              </c:numCache>
            </c:numRef>
          </c:val>
          <c:extLst>
            <c:ext xmlns:c16="http://schemas.microsoft.com/office/drawing/2014/chart" uri="{C3380CC4-5D6E-409C-BE32-E72D297353CC}">
              <c16:uniqueId val="{00000000-8EBC-E245-BE51-2442F66A2AE0}"/>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 val="autoZero"/>
        <c:auto val="1"/>
        <c:lblAlgn val="ctr"/>
        <c:lblOffset val="100"/>
        <c:noMultiLvlLbl val="0"/>
      </c:catAx>
      <c:valAx>
        <c:axId val="20167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Changes in groundwater storage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8F35-324C-BB7F-CB76E253311A}"/>
            </c:ext>
          </c:extLst>
        </c:ser>
        <c:ser>
          <c:idx val="2"/>
          <c:order val="1"/>
          <c:tx>
            <c:strRef>
              <c:f>regression_results!$S$1</c:f>
              <c:strCache>
                <c:ptCount val="1"/>
                <c:pt idx="0">
                  <c:v>Effective supplies (accounting for changes in groundwater storage)</c:v>
                </c:pt>
              </c:strCache>
            </c:strRef>
          </c:tx>
          <c:spPr>
            <a:solidFill>
              <a:schemeClr val="accent3"/>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regression_results!$S$2:$S$18</c:f>
              <c:numCache>
                <c:formatCode>General</c:formatCode>
                <c:ptCount val="17"/>
                <c:pt idx="0">
                  <c:v>7180.8879455156966</c:v>
                </c:pt>
                <c:pt idx="1">
                  <c:v>7149.3716566867697</c:v>
                </c:pt>
                <c:pt idx="2">
                  <c:v>7184.0377056867001</c:v>
                </c:pt>
                <c:pt idx="3">
                  <c:v>7138.1186879558945</c:v>
                </c:pt>
                <c:pt idx="4">
                  <c:v>7004.5739405392869</c:v>
                </c:pt>
                <c:pt idx="5">
                  <c:v>7209.8999741558573</c:v>
                </c:pt>
                <c:pt idx="6">
                  <c:v>6949.1587736832716</c:v>
                </c:pt>
                <c:pt idx="7">
                  <c:v>6679.3962497320017</c:v>
                </c:pt>
                <c:pt idx="8">
                  <c:v>7196.2440185145824</c:v>
                </c:pt>
                <c:pt idx="9">
                  <c:v>7008.4920685114721</c:v>
                </c:pt>
                <c:pt idx="10">
                  <c:v>7214.5921324784049</c:v>
                </c:pt>
                <c:pt idx="11">
                  <c:v>6878.9693672150706</c:v>
                </c:pt>
                <c:pt idx="12">
                  <c:v>5656.6456143605474</c:v>
                </c:pt>
                <c:pt idx="13">
                  <c:v>4415.3366883530489</c:v>
                </c:pt>
                <c:pt idx="14">
                  <c:v>5890.6400442545455</c:v>
                </c:pt>
                <c:pt idx="15">
                  <c:v>7200.9479639542915</c:v>
                </c:pt>
                <c:pt idx="16">
                  <c:v>7069.9185459765276</c:v>
                </c:pt>
              </c:numCache>
            </c:numRef>
          </c:val>
          <c:extLst>
            <c:ext xmlns:c16="http://schemas.microsoft.com/office/drawing/2014/chart" uri="{C3380CC4-5D6E-409C-BE32-E72D297353CC}">
              <c16:uniqueId val="{00000001-8F35-324C-BB7F-CB76E253311A}"/>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248E-7842-90B6-8FB0FC9DD2CE}"/>
            </c:ext>
          </c:extLst>
        </c:ser>
        <c:ser>
          <c:idx val="1"/>
          <c:order val="1"/>
          <c:tx>
            <c:strRef>
              <c:f>regression_results!$T$1</c:f>
              <c:strCache>
                <c:ptCount val="1"/>
                <c:pt idx="0">
                  <c:v>Final effective supplies</c:v>
                </c:pt>
              </c:strCache>
            </c:strRef>
          </c:tx>
          <c:spPr>
            <a:solidFill>
              <a:srgbClr val="FFC000"/>
            </a:solidFill>
            <a:ln>
              <a:noFill/>
            </a:ln>
            <a:effectLst/>
          </c:spPr>
          <c:invertIfNegative val="0"/>
          <c:val>
            <c:numRef>
              <c:f>regression_results!$T$2:$T$18</c:f>
              <c:numCache>
                <c:formatCode>General</c:formatCode>
                <c:ptCount val="17"/>
                <c:pt idx="0">
                  <c:v>7054.7522217683199</c:v>
                </c:pt>
                <c:pt idx="1">
                  <c:v>7169.1278989529601</c:v>
                </c:pt>
                <c:pt idx="2">
                  <c:v>6989.7460172418796</c:v>
                </c:pt>
                <c:pt idx="3">
                  <c:v>7217.6522525740802</c:v>
                </c:pt>
                <c:pt idx="4">
                  <c:v>7207.5896971169304</c:v>
                </c:pt>
                <c:pt idx="5">
                  <c:v>7087.5430051128496</c:v>
                </c:pt>
                <c:pt idx="6">
                  <c:v>6657.3561119134902</c:v>
                </c:pt>
                <c:pt idx="7">
                  <c:v>6315.64683889956</c:v>
                </c:pt>
                <c:pt idx="8">
                  <c:v>7288.3619180473097</c:v>
                </c:pt>
                <c:pt idx="9">
                  <c:v>7606.4529771631096</c:v>
                </c:pt>
                <c:pt idx="10">
                  <c:v>7544.3542208858298</c:v>
                </c:pt>
                <c:pt idx="11">
                  <c:v>6537.7792621708904</c:v>
                </c:pt>
                <c:pt idx="12">
                  <c:v>5199.3710196088196</c:v>
                </c:pt>
                <c:pt idx="13">
                  <c:v>4037.8828528645499</c:v>
                </c:pt>
                <c:pt idx="14">
                  <c:v>5794.5378620378597</c:v>
                </c:pt>
                <c:pt idx="15">
                  <c:v>7037.2830675209098</c:v>
                </c:pt>
                <c:pt idx="16">
                  <c:v>6871.6957416810801</c:v>
                </c:pt>
              </c:numCache>
            </c:numRef>
          </c:val>
          <c:extLst>
            <c:ext xmlns:c16="http://schemas.microsoft.com/office/drawing/2014/chart" uri="{C3380CC4-5D6E-409C-BE32-E72D297353CC}">
              <c16:uniqueId val="{00000001-248E-7842-90B6-8FB0FC9DD2CE}"/>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regression_results!$U$1</c:f>
              <c:strCache>
                <c:ptCount val="1"/>
                <c:pt idx="0">
                  <c:v>Annual shortages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regression_results!$U$2:$U$18</c:f>
              <c:numCache>
                <c:formatCode>General</c:formatCode>
                <c:ptCount val="17"/>
                <c:pt idx="0">
                  <c:v>551.70075539478967</c:v>
                </c:pt>
                <c:pt idx="1">
                  <c:v>437.32507821014951</c:v>
                </c:pt>
                <c:pt idx="2">
                  <c:v>616.70695992123001</c:v>
                </c:pt>
                <c:pt idx="3">
                  <c:v>388.80072458902941</c:v>
                </c:pt>
                <c:pt idx="4">
                  <c:v>398.86328004617917</c:v>
                </c:pt>
                <c:pt idx="5">
                  <c:v>518.90997205025997</c:v>
                </c:pt>
                <c:pt idx="6">
                  <c:v>949.09686524961944</c:v>
                </c:pt>
                <c:pt idx="7">
                  <c:v>1290.8061382635497</c:v>
                </c:pt>
                <c:pt idx="8">
                  <c:v>318.09105911579991</c:v>
                </c:pt>
                <c:pt idx="9">
                  <c:v>0</c:v>
                </c:pt>
                <c:pt idx="10">
                  <c:v>62.09875627727979</c:v>
                </c:pt>
                <c:pt idx="11">
                  <c:v>1068.6737149922192</c:v>
                </c:pt>
                <c:pt idx="12">
                  <c:v>2407.0819575542901</c:v>
                </c:pt>
                <c:pt idx="13">
                  <c:v>3568.5701242985597</c:v>
                </c:pt>
                <c:pt idx="14">
                  <c:v>1811.9151151252499</c:v>
                </c:pt>
                <c:pt idx="15">
                  <c:v>569.16990964219985</c:v>
                </c:pt>
                <c:pt idx="16">
                  <c:v>734.7572354820295</c:v>
                </c:pt>
              </c:numCache>
            </c:numRef>
          </c:val>
          <c:extLst>
            <c:ext xmlns:c16="http://schemas.microsoft.com/office/drawing/2014/chart" uri="{C3380CC4-5D6E-409C-BE32-E72D297353CC}">
              <c16:uniqueId val="{00000000-6B24-4C49-86C1-21707B82D285}"/>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 val="autoZero"/>
        <c:auto val="1"/>
        <c:lblAlgn val="ctr"/>
        <c:lblOffset val="100"/>
        <c:noMultiLvlLbl val="0"/>
      </c:catAx>
      <c:valAx>
        <c:axId val="20167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a:t>
                </a:r>
                <a:r>
                  <a:rPr lang="en-US" baseline="0"/>
                  <a:t> shortages</a:t>
                </a:r>
                <a:r>
                  <a:rPr lang="en-US"/>
                  <a:t>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Indicator'!$AB$1</c:f>
              <c:strCache>
                <c:ptCount val="1"/>
                <c:pt idx="0">
                  <c:v>Estimated local deliveries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Indicator'!$AB$2:$AB$34</c:f>
              <c:numCache>
                <c:formatCode>General</c:formatCode>
                <c:ptCount val="33"/>
                <c:pt idx="0">
                  <c:v>1781.6536810092</c:v>
                </c:pt>
                <c:pt idx="1">
                  <c:v>1953.0810056575699</c:v>
                </c:pt>
                <c:pt idx="2">
                  <c:v>2572.3804799899299</c:v>
                </c:pt>
                <c:pt idx="3">
                  <c:v>3020.6252126575801</c:v>
                </c:pt>
                <c:pt idx="4">
                  <c:v>2908.3579250478001</c:v>
                </c:pt>
                <c:pt idx="5">
                  <c:v>3068.9702904866899</c:v>
                </c:pt>
                <c:pt idx="6">
                  <c:v>3096.0642638781501</c:v>
                </c:pt>
                <c:pt idx="7">
                  <c:v>2976.4290912822098</c:v>
                </c:pt>
                <c:pt idx="8">
                  <c:v>3061.3676690202701</c:v>
                </c:pt>
                <c:pt idx="9">
                  <c:v>3217.6061821057901</c:v>
                </c:pt>
                <c:pt idx="10">
                  <c:v>3253.3600164003201</c:v>
                </c:pt>
                <c:pt idx="11">
                  <c:v>3251.1526210336101</c:v>
                </c:pt>
                <c:pt idx="12">
                  <c:v>3218.2769418060202</c:v>
                </c:pt>
                <c:pt idx="13">
                  <c:v>3228.8487714278199</c:v>
                </c:pt>
                <c:pt idx="14">
                  <c:v>3085.09713902571</c:v>
                </c:pt>
                <c:pt idx="15">
                  <c:v>2984.50329055579</c:v>
                </c:pt>
                <c:pt idx="16">
                  <c:v>3084.5754219369501</c:v>
                </c:pt>
                <c:pt idx="17">
                  <c:v>3025.02403513838</c:v>
                </c:pt>
                <c:pt idx="18">
                  <c:v>2817.93606316766</c:v>
                </c:pt>
                <c:pt idx="19">
                  <c:v>3164.2858666831798</c:v>
                </c:pt>
                <c:pt idx="20">
                  <c:v>2972.5619313377001</c:v>
                </c:pt>
                <c:pt idx="21">
                  <c:v>3146.0896005173499</c:v>
                </c:pt>
                <c:pt idx="22">
                  <c:v>2946.8780624361698</c:v>
                </c:pt>
                <c:pt idx="23">
                  <c:v>1805.0019224626601</c:v>
                </c:pt>
                <c:pt idx="24">
                  <c:v>715.74175082686304</c:v>
                </c:pt>
                <c:pt idx="25">
                  <c:v>1937.5825022164399</c:v>
                </c:pt>
                <c:pt idx="26">
                  <c:v>2879.5921828195201</c:v>
                </c:pt>
                <c:pt idx="27">
                  <c:v>3133.7270386738701</c:v>
                </c:pt>
                <c:pt idx="28">
                  <c:v>3053.4347855190199</c:v>
                </c:pt>
                <c:pt idx="29">
                  <c:v>3187.0607160158702</c:v>
                </c:pt>
                <c:pt idx="30">
                  <c:v>2541.4600037253399</c:v>
                </c:pt>
                <c:pt idx="31">
                  <c:v>2307.4388435077199</c:v>
                </c:pt>
                <c:pt idx="32">
                  <c:v>2817.0084735137002</c:v>
                </c:pt>
              </c:numCache>
            </c:numRef>
          </c:val>
          <c:extLst>
            <c:ext xmlns:c16="http://schemas.microsoft.com/office/drawing/2014/chart" uri="{C3380CC4-5D6E-409C-BE32-E72D297353CC}">
              <c16:uniqueId val="{00000000-C1B9-454C-8944-5CEB178886C0}"/>
            </c:ext>
          </c:extLst>
        </c:ser>
        <c:ser>
          <c:idx val="1"/>
          <c:order val="1"/>
          <c:tx>
            <c:strRef>
              <c:f>'System Drougth Indicator'!$AC$1</c:f>
              <c:strCache>
                <c:ptCount val="1"/>
                <c:pt idx="0">
                  <c:v>Estimated imports</c:v>
                </c:pt>
              </c:strCache>
            </c:strRef>
          </c:tx>
          <c:spPr>
            <a:solidFill>
              <a:schemeClr val="accent2"/>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Indicator'!$AC$2:$AC$34</c:f>
              <c:numCache>
                <c:formatCode>General</c:formatCode>
                <c:ptCount val="33"/>
                <c:pt idx="0">
                  <c:v>792.12027457932504</c:v>
                </c:pt>
                <c:pt idx="1">
                  <c:v>821.42035885889595</c:v>
                </c:pt>
                <c:pt idx="2">
                  <c:v>1025.32875809916</c:v>
                </c:pt>
                <c:pt idx="3">
                  <c:v>1008.82504763203</c:v>
                </c:pt>
                <c:pt idx="4">
                  <c:v>1148.4736295294099</c:v>
                </c:pt>
                <c:pt idx="5">
                  <c:v>1185.6199142693999</c:v>
                </c:pt>
                <c:pt idx="6">
                  <c:v>1161.72340563902</c:v>
                </c:pt>
                <c:pt idx="7">
                  <c:v>1193.61721682957</c:v>
                </c:pt>
                <c:pt idx="8">
                  <c:v>1197.7241464830399</c:v>
                </c:pt>
                <c:pt idx="9">
                  <c:v>1150.8571729136099</c:v>
                </c:pt>
                <c:pt idx="10">
                  <c:v>1077.80638559419</c:v>
                </c:pt>
                <c:pt idx="11">
                  <c:v>1090.3791690881201</c:v>
                </c:pt>
                <c:pt idx="12">
                  <c:v>1116.9968723765501</c:v>
                </c:pt>
                <c:pt idx="13">
                  <c:v>1120.0261063079099</c:v>
                </c:pt>
                <c:pt idx="14">
                  <c:v>1163.9741176452801</c:v>
                </c:pt>
                <c:pt idx="15">
                  <c:v>1209.32645345081</c:v>
                </c:pt>
                <c:pt idx="16">
                  <c:v>1098.2945428365599</c:v>
                </c:pt>
                <c:pt idx="17">
                  <c:v>972.99372093582303</c:v>
                </c:pt>
                <c:pt idx="18">
                  <c:v>928.35854900413597</c:v>
                </c:pt>
                <c:pt idx="19">
                  <c:v>1074.7131246413101</c:v>
                </c:pt>
                <c:pt idx="20">
                  <c:v>1203.75683080264</c:v>
                </c:pt>
                <c:pt idx="21">
                  <c:v>1126.68743394948</c:v>
                </c:pt>
                <c:pt idx="22">
                  <c:v>1037.60443587957</c:v>
                </c:pt>
                <c:pt idx="23">
                  <c:v>773.550354979806</c:v>
                </c:pt>
                <c:pt idx="24">
                  <c:v>666.21671085807702</c:v>
                </c:pt>
                <c:pt idx="25">
                  <c:v>906.78483472961</c:v>
                </c:pt>
                <c:pt idx="26">
                  <c:v>1168.26404827035</c:v>
                </c:pt>
                <c:pt idx="27">
                  <c:v>1100.4023378363299</c:v>
                </c:pt>
                <c:pt idx="28">
                  <c:v>1167.46700081892</c:v>
                </c:pt>
                <c:pt idx="29">
                  <c:v>1095.4283072425001</c:v>
                </c:pt>
                <c:pt idx="30">
                  <c:v>845.11203094637199</c:v>
                </c:pt>
                <c:pt idx="31">
                  <c:v>840.45081416049902</c:v>
                </c:pt>
                <c:pt idx="32">
                  <c:v>1091.7204066235099</c:v>
                </c:pt>
              </c:numCache>
            </c:numRef>
          </c:val>
          <c:extLst>
            <c:ext xmlns:c16="http://schemas.microsoft.com/office/drawing/2014/chart" uri="{C3380CC4-5D6E-409C-BE32-E72D297353CC}">
              <c16:uniqueId val="{00000001-C1B9-454C-8944-5CEB178886C0}"/>
            </c:ext>
          </c:extLst>
        </c:ser>
        <c:ser>
          <c:idx val="2"/>
          <c:order val="2"/>
          <c:tx>
            <c:strRef>
              <c:f>'System Drougth Indicator'!$AD$1</c:f>
              <c:strCache>
                <c:ptCount val="1"/>
                <c:pt idx="0">
                  <c:v>Estimated groundwater</c:v>
                </c:pt>
              </c:strCache>
            </c:strRef>
          </c:tx>
          <c:spPr>
            <a:solidFill>
              <a:schemeClr val="accent3"/>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Indicator'!$AD$2:$AD$34</c:f>
              <c:numCache>
                <c:formatCode>General</c:formatCode>
                <c:ptCount val="33"/>
                <c:pt idx="0">
                  <c:v>4478.2132101261896</c:v>
                </c:pt>
                <c:pt idx="1">
                  <c:v>4017.6635463417701</c:v>
                </c:pt>
                <c:pt idx="2">
                  <c:v>3218.8226709757701</c:v>
                </c:pt>
                <c:pt idx="3">
                  <c:v>2846.9974770229601</c:v>
                </c:pt>
                <c:pt idx="4">
                  <c:v>2848.4053484543701</c:v>
                </c:pt>
                <c:pt idx="5">
                  <c:v>2478.9880536400801</c:v>
                </c:pt>
                <c:pt idx="6">
                  <c:v>2556.34264568652</c:v>
                </c:pt>
                <c:pt idx="7">
                  <c:v>2429.9544464276501</c:v>
                </c:pt>
                <c:pt idx="8">
                  <c:v>2610.4161906924801</c:v>
                </c:pt>
                <c:pt idx="9">
                  <c:v>2675.32523184088</c:v>
                </c:pt>
                <c:pt idx="10">
                  <c:v>2783.9315664475598</c:v>
                </c:pt>
                <c:pt idx="11">
                  <c:v>3047.2536825104798</c:v>
                </c:pt>
                <c:pt idx="12">
                  <c:v>3020.0382883694701</c:v>
                </c:pt>
                <c:pt idx="13">
                  <c:v>3004.5778888289001</c:v>
                </c:pt>
                <c:pt idx="14">
                  <c:v>2723.9747957713598</c:v>
                </c:pt>
                <c:pt idx="15">
                  <c:v>2704.8617208194701</c:v>
                </c:pt>
                <c:pt idx="16">
                  <c:v>3027.48413890141</c:v>
                </c:pt>
                <c:pt idx="17">
                  <c:v>3320.6810378463001</c:v>
                </c:pt>
                <c:pt idx="18">
                  <c:v>3591.2934696468401</c:v>
                </c:pt>
                <c:pt idx="19">
                  <c:v>2808.5139569325002</c:v>
                </c:pt>
                <c:pt idx="20">
                  <c:v>2520.5582817033201</c:v>
                </c:pt>
                <c:pt idx="21">
                  <c:v>2873.91434329821</c:v>
                </c:pt>
                <c:pt idx="22">
                  <c:v>3492.9741236158402</c:v>
                </c:pt>
                <c:pt idx="23">
                  <c:v>4516.0555066686502</c:v>
                </c:pt>
                <c:pt idx="24">
                  <c:v>5290.9426345885304</c:v>
                </c:pt>
                <c:pt idx="25">
                  <c:v>3999.39017809389</c:v>
                </c:pt>
                <c:pt idx="26">
                  <c:v>2485.2222464863298</c:v>
                </c:pt>
                <c:pt idx="27">
                  <c:v>2699.9134083211102</c:v>
                </c:pt>
                <c:pt idx="28">
                  <c:v>2597.0899972994998</c:v>
                </c:pt>
                <c:pt idx="29">
                  <c:v>2917.08484239778</c:v>
                </c:pt>
                <c:pt idx="30">
                  <c:v>3819.7598610343798</c:v>
                </c:pt>
                <c:pt idx="31">
                  <c:v>4108.4877608351799</c:v>
                </c:pt>
                <c:pt idx="32">
                  <c:v>3093.1303525353501</c:v>
                </c:pt>
              </c:numCache>
            </c:numRef>
          </c:val>
          <c:extLst>
            <c:ext xmlns:c16="http://schemas.microsoft.com/office/drawing/2014/chart" uri="{C3380CC4-5D6E-409C-BE32-E72D297353CC}">
              <c16:uniqueId val="{00000002-C1B9-454C-8944-5CEB178886C0}"/>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Indicator'!$AG$1</c:f>
              <c:strCache>
                <c:ptCount val="1"/>
                <c:pt idx="0">
                  <c:v>demand_anomaly</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Indicator'!$AG$2:$AG$34</c:f>
              <c:numCache>
                <c:formatCode>General</c:formatCode>
                <c:ptCount val="33"/>
                <c:pt idx="0">
                  <c:v>106.497673279385</c:v>
                </c:pt>
                <c:pt idx="1">
                  <c:v>114.85148757525</c:v>
                </c:pt>
                <c:pt idx="2">
                  <c:v>223.57247533908799</c:v>
                </c:pt>
                <c:pt idx="3">
                  <c:v>261.420805192231</c:v>
                </c:pt>
                <c:pt idx="4">
                  <c:v>377.29567020837698</c:v>
                </c:pt>
                <c:pt idx="5">
                  <c:v>341.11613177938602</c:v>
                </c:pt>
                <c:pt idx="6">
                  <c:v>15.101253598650599</c:v>
                </c:pt>
                <c:pt idx="7">
                  <c:v>429.75862459813402</c:v>
                </c:pt>
                <c:pt idx="8">
                  <c:v>778.27519958317498</c:v>
                </c:pt>
                <c:pt idx="9">
                  <c:v>152.62640000512701</c:v>
                </c:pt>
                <c:pt idx="10">
                  <c:v>133.03053321590801</c:v>
                </c:pt>
                <c:pt idx="11">
                  <c:v>-134.87379942355699</c:v>
                </c:pt>
                <c:pt idx="12">
                  <c:v>17.629503916870799</c:v>
                </c:pt>
                <c:pt idx="13">
                  <c:v>-200.84172886232199</c:v>
                </c:pt>
                <c:pt idx="14">
                  <c:v>69.620077300386498</c:v>
                </c:pt>
                <c:pt idx="15">
                  <c:v>191.75474535256899</c:v>
                </c:pt>
                <c:pt idx="16">
                  <c:v>-129.69383340640701</c:v>
                </c:pt>
                <c:pt idx="17">
                  <c:v>-302.47794955769899</c:v>
                </c:pt>
                <c:pt idx="18">
                  <c:v>-376.39575416878</c:v>
                </c:pt>
                <c:pt idx="19">
                  <c:v>83.936281856979207</c:v>
                </c:pt>
                <c:pt idx="20">
                  <c:v>555.75867667367595</c:v>
                </c:pt>
                <c:pt idx="21">
                  <c:v>307.72558879219901</c:v>
                </c:pt>
                <c:pt idx="22">
                  <c:v>-360.65283362641202</c:v>
                </c:pt>
                <c:pt idx="23">
                  <c:v>-454.60818848099899</c:v>
                </c:pt>
                <c:pt idx="24">
                  <c:v>-360.10920660493798</c:v>
                </c:pt>
                <c:pt idx="25">
                  <c:v>-94.836924630491396</c:v>
                </c:pt>
                <c:pt idx="26">
                  <c:v>82.175229852261893</c:v>
                </c:pt>
                <c:pt idx="27">
                  <c:v>-166.03936862817599</c:v>
                </c:pt>
                <c:pt idx="28">
                  <c:v>-194.90648837427901</c:v>
                </c:pt>
                <c:pt idx="29">
                  <c:v>-89.8284835681077</c:v>
                </c:pt>
                <c:pt idx="30">
                  <c:v>-729.10708721188803</c:v>
                </c:pt>
                <c:pt idx="31">
                  <c:v>-597.72036267822102</c:v>
                </c:pt>
                <c:pt idx="32">
                  <c:v>-373.35936176912298</c:v>
                </c:pt>
              </c:numCache>
            </c:numRef>
          </c:val>
          <c:extLst>
            <c:ext xmlns:c16="http://schemas.microsoft.com/office/drawing/2014/chart" uri="{C3380CC4-5D6E-409C-BE32-E72D297353CC}">
              <c16:uniqueId val="{00000000-E964-B24C-ADFC-684AC4D0674A}"/>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Demand</a:t>
                </a:r>
                <a:r>
                  <a:rPr lang="en-US" baseline="0"/>
                  <a:t> anomalies (taf)</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3"/>
          <c:order val="0"/>
          <c:tx>
            <c:strRef>
              <c:f>Sheet1!$AC$1</c:f>
              <c:strCache>
                <c:ptCount val="1"/>
                <c:pt idx="0">
                  <c:v>Local sources (including local CVP)</c:v>
                </c:pt>
              </c:strCache>
            </c:strRef>
          </c:tx>
          <c:spPr>
            <a:solidFill>
              <a:schemeClr val="accent4"/>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Sheet1!$AC$2:$AC$18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val>
          <c:extLst>
            <c:ext xmlns:c16="http://schemas.microsoft.com/office/drawing/2014/chart" uri="{C3380CC4-5D6E-409C-BE32-E72D297353CC}">
              <c16:uniqueId val="{00000000-DD4A-544A-9740-45FE182C0EB3}"/>
            </c:ext>
          </c:extLst>
        </c:ser>
        <c:ser>
          <c:idx val="0"/>
          <c:order val="1"/>
          <c:tx>
            <c:strRef>
              <c:f>Sheet1!$AD$1</c:f>
              <c:strCache>
                <c:ptCount val="1"/>
                <c:pt idx="0">
                  <c:v>Imports (Delta CVP + SWP)</c:v>
                </c:pt>
              </c:strCache>
            </c:strRef>
          </c:tx>
          <c:spPr>
            <a:solidFill>
              <a:schemeClr val="accent1"/>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Sheet1!$AD$2:$AD$18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val>
          <c:extLst>
            <c:ext xmlns:c16="http://schemas.microsoft.com/office/drawing/2014/chart" uri="{C3380CC4-5D6E-409C-BE32-E72D297353CC}">
              <c16:uniqueId val="{00000001-DD4A-544A-9740-45FE182C0EB3}"/>
            </c:ext>
          </c:extLst>
        </c:ser>
        <c:ser>
          <c:idx val="1"/>
          <c:order val="2"/>
          <c:tx>
            <c:strRef>
              <c:f>Sheet1!$E$1</c:f>
              <c:strCache>
                <c:ptCount val="1"/>
                <c:pt idx="0">
                  <c:v>Groundwater</c:v>
                </c:pt>
              </c:strCache>
            </c:strRef>
          </c:tx>
          <c:spPr>
            <a:solidFill>
              <a:schemeClr val="accent2"/>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2-DD4A-544A-9740-45FE182C0EB3}"/>
            </c:ext>
          </c:extLst>
        </c:ser>
        <c:dLbls>
          <c:showLegendKey val="0"/>
          <c:showVal val="0"/>
          <c:showCatName val="0"/>
          <c:showSerName val="0"/>
          <c:showPercent val="0"/>
          <c:showBubbleSize val="0"/>
        </c:dLbls>
        <c:gapWidth val="44"/>
        <c:overlap val="100"/>
        <c:axId val="2046635120"/>
        <c:axId val="2046636800"/>
      </c:barChart>
      <c:catAx>
        <c:axId val="20466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6800"/>
        <c:crosses val="autoZero"/>
        <c:auto val="1"/>
        <c:lblAlgn val="ctr"/>
        <c:lblOffset val="100"/>
        <c:noMultiLvlLbl val="0"/>
      </c:catAx>
      <c:valAx>
        <c:axId val="2046636800"/>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Indicator'!$AI$1</c:f>
              <c:strCache>
                <c:ptCount val="1"/>
                <c:pt idx="0">
                  <c:v>change_gw_storage</c:v>
                </c:pt>
              </c:strCache>
            </c:strRef>
          </c:tx>
          <c:spPr>
            <a:solidFill>
              <a:schemeClr val="accent2"/>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Indicator'!$AI$2:$AI$34</c:f>
              <c:numCache>
                <c:formatCode>General</c:formatCode>
                <c:ptCount val="33"/>
                <c:pt idx="0">
                  <c:v>-1665.6525408571199</c:v>
                </c:pt>
                <c:pt idx="1">
                  <c:v>-1205.1028770727</c:v>
                </c:pt>
                <c:pt idx="2">
                  <c:v>-406.262001706707</c:v>
                </c:pt>
                <c:pt idx="3">
                  <c:v>-34.436807753895799</c:v>
                </c:pt>
                <c:pt idx="4">
                  <c:v>-35.844679185314497</c:v>
                </c:pt>
                <c:pt idx="5">
                  <c:v>333.572615628976</c:v>
                </c:pt>
                <c:pt idx="6">
                  <c:v>256.21802358253501</c:v>
                </c:pt>
                <c:pt idx="7">
                  <c:v>382.60622284140902</c:v>
                </c:pt>
                <c:pt idx="8">
                  <c:v>202.144478576577</c:v>
                </c:pt>
                <c:pt idx="9">
                  <c:v>137.23543742818401</c:v>
                </c:pt>
                <c:pt idx="10">
                  <c:v>28.629102821502599</c:v>
                </c:pt>
                <c:pt idx="11">
                  <c:v>-234.69301324142299</c:v>
                </c:pt>
                <c:pt idx="12">
                  <c:v>-207.47761910041299</c:v>
                </c:pt>
                <c:pt idx="13">
                  <c:v>-192.01721955984499</c:v>
                </c:pt>
                <c:pt idx="14">
                  <c:v>88.585873497699296</c:v>
                </c:pt>
                <c:pt idx="15">
                  <c:v>107.698948449588</c:v>
                </c:pt>
                <c:pt idx="16">
                  <c:v>-214.923469632349</c:v>
                </c:pt>
                <c:pt idx="17">
                  <c:v>-508.12036857724502</c:v>
                </c:pt>
                <c:pt idx="18">
                  <c:v>-778.73280037777795</c:v>
                </c:pt>
                <c:pt idx="19">
                  <c:v>4.0467123365600601</c:v>
                </c:pt>
                <c:pt idx="20">
                  <c:v>292.002387565736</c:v>
                </c:pt>
                <c:pt idx="21">
                  <c:v>-61.353674029148102</c:v>
                </c:pt>
                <c:pt idx="22">
                  <c:v>-680.41345434678396</c:v>
                </c:pt>
                <c:pt idx="23">
                  <c:v>-1703.4948373995801</c:v>
                </c:pt>
                <c:pt idx="24">
                  <c:v>-2478.3819653194601</c:v>
                </c:pt>
                <c:pt idx="25">
                  <c:v>-1186.8295088248301</c:v>
                </c:pt>
                <c:pt idx="26">
                  <c:v>327.338422782728</c:v>
                </c:pt>
                <c:pt idx="27">
                  <c:v>112.64726094795</c:v>
                </c:pt>
                <c:pt idx="28">
                  <c:v>215.47067196955601</c:v>
                </c:pt>
                <c:pt idx="29">
                  <c:v>-104.52417312871999</c:v>
                </c:pt>
                <c:pt idx="30">
                  <c:v>-1007.19919176531</c:v>
                </c:pt>
                <c:pt idx="31">
                  <c:v>-1295.92709156612</c:v>
                </c:pt>
                <c:pt idx="32">
                  <c:v>-280.56968326628999</c:v>
                </c:pt>
              </c:numCache>
            </c:numRef>
          </c:val>
          <c:extLst>
            <c:ext xmlns:c16="http://schemas.microsoft.com/office/drawing/2014/chart" uri="{C3380CC4-5D6E-409C-BE32-E72D297353CC}">
              <c16:uniqueId val="{00000000-E244-F740-A8A7-D675C102C636}"/>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Changes in groundwater storage (taf)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Indicator'!$AJ$1</c:f>
              <c:strCache>
                <c:ptCount val="1"/>
                <c:pt idx="0">
                  <c:v>eff_deliveries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Indicator'!$AJ$2:$AJ$34</c:f>
              <c:numCache>
                <c:formatCode>General</c:formatCode>
                <c:ptCount val="33"/>
                <c:pt idx="0">
                  <c:v>5492.8322981369702</c:v>
                </c:pt>
                <c:pt idx="1">
                  <c:v>5701.9135213607797</c:v>
                </c:pt>
                <c:pt idx="2">
                  <c:v>6633.8423826972503</c:v>
                </c:pt>
                <c:pt idx="3">
                  <c:v>7103.4317347509104</c:v>
                </c:pt>
                <c:pt idx="4">
                  <c:v>7246.6878940546503</c:v>
                </c:pt>
                <c:pt idx="5">
                  <c:v>7408.2670058045396</c:v>
                </c:pt>
                <c:pt idx="6">
                  <c:v>7085.4495923848899</c:v>
                </c:pt>
                <c:pt idx="7">
                  <c:v>7412.3656019789796</c:v>
                </c:pt>
                <c:pt idx="8">
                  <c:v>7849.9276843555599</c:v>
                </c:pt>
                <c:pt idx="9">
                  <c:v>7333.6504242935998</c:v>
                </c:pt>
                <c:pt idx="10">
                  <c:v>7276.7576044794896</c:v>
                </c:pt>
                <c:pt idx="11">
                  <c:v>7019.2186599672395</c:v>
                </c:pt>
                <c:pt idx="12">
                  <c:v>7165.4639873685101</c:v>
                </c:pt>
                <c:pt idx="13">
                  <c:v>6960.5938181424799</c:v>
                </c:pt>
                <c:pt idx="14">
                  <c:v>7131.25200324045</c:v>
                </c:pt>
                <c:pt idx="15">
                  <c:v>7198.1451586282401</c:v>
                </c:pt>
                <c:pt idx="16">
                  <c:v>6865.7368006361703</c:v>
                </c:pt>
                <c:pt idx="17">
                  <c:v>6508.1004757855699</c:v>
                </c:pt>
                <c:pt idx="18">
                  <c:v>6182.4595272720799</c:v>
                </c:pt>
                <c:pt idx="19">
                  <c:v>7135.4959424505396</c:v>
                </c:pt>
                <c:pt idx="20">
                  <c:v>7544.6381080830897</c:v>
                </c:pt>
                <c:pt idx="21">
                  <c:v>7393.0632925280897</c:v>
                </c:pt>
                <c:pt idx="22">
                  <c:v>6436.3903339584003</c:v>
                </c:pt>
                <c:pt idx="23">
                  <c:v>4936.5047582305297</c:v>
                </c:pt>
                <c:pt idx="24">
                  <c:v>3834.40992434906</c:v>
                </c:pt>
                <c:pt idx="25">
                  <c:v>5562.09108158462</c:v>
                </c:pt>
                <c:pt idx="26">
                  <c:v>6942.5921302111901</c:v>
                </c:pt>
                <c:pt idx="27">
                  <c:v>6880.6506771510903</c:v>
                </c:pt>
                <c:pt idx="28">
                  <c:v>6838.5559672327299</c:v>
                </c:pt>
                <c:pt idx="29">
                  <c:v>7005.2212089593304</c:v>
                </c:pt>
                <c:pt idx="30">
                  <c:v>5470.0256167288899</c:v>
                </c:pt>
                <c:pt idx="31">
                  <c:v>5362.7299642590597</c:v>
                </c:pt>
                <c:pt idx="32">
                  <c:v>6347.9301876371601</c:v>
                </c:pt>
              </c:numCache>
            </c:numRef>
          </c:val>
          <c:extLst>
            <c:ext xmlns:c16="http://schemas.microsoft.com/office/drawing/2014/chart" uri="{C3380CC4-5D6E-409C-BE32-E72D297353CC}">
              <c16:uniqueId val="{00000000-55D1-EC49-A9DD-F9EBCFF881D9}"/>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a:t>
                </a:r>
                <a:r>
                  <a:rPr lang="en-US" baseline="0"/>
                  <a:t> effective</a:t>
                </a:r>
                <a:r>
                  <a:rPr lang="en-US"/>
                  <a:t>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Indicator'!$AK$1</c:f>
              <c:strCache>
                <c:ptCount val="1"/>
                <c:pt idx="0">
                  <c:v>shortages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Indicator'!$AK$2:$AK$34</c:f>
              <c:numCache>
                <c:formatCode>General</c:formatCode>
                <c:ptCount val="33"/>
                <c:pt idx="0">
                  <c:v>2655.6840450466002</c:v>
                </c:pt>
                <c:pt idx="1">
                  <c:v>2446.6028218227898</c:v>
                </c:pt>
                <c:pt idx="2">
                  <c:v>1514.6739604863201</c:v>
                </c:pt>
                <c:pt idx="3">
                  <c:v>1045.0846084326599</c:v>
                </c:pt>
                <c:pt idx="4">
                  <c:v>901.82844912892403</c:v>
                </c:pt>
                <c:pt idx="5">
                  <c:v>740.24933737903598</c:v>
                </c:pt>
                <c:pt idx="6">
                  <c:v>1063.06675079868</c:v>
                </c:pt>
                <c:pt idx="7">
                  <c:v>736.15074120459303</c:v>
                </c:pt>
                <c:pt idx="8">
                  <c:v>298.58865882802002</c:v>
                </c:pt>
                <c:pt idx="9">
                  <c:v>814.86591888997498</c:v>
                </c:pt>
                <c:pt idx="10">
                  <c:v>871.75873870408702</c:v>
                </c:pt>
                <c:pt idx="11">
                  <c:v>1129.2976832163299</c:v>
                </c:pt>
                <c:pt idx="12">
                  <c:v>983.05235581506599</c:v>
                </c:pt>
                <c:pt idx="13">
                  <c:v>1187.92252504109</c:v>
                </c:pt>
                <c:pt idx="14">
                  <c:v>1017.26433994312</c:v>
                </c:pt>
                <c:pt idx="15">
                  <c:v>950.37118455533198</c:v>
                </c:pt>
                <c:pt idx="16">
                  <c:v>1282.7795425474001</c:v>
                </c:pt>
                <c:pt idx="17">
                  <c:v>1640.4158673980101</c:v>
                </c:pt>
                <c:pt idx="18">
                  <c:v>1966.05681591149</c:v>
                </c:pt>
                <c:pt idx="19">
                  <c:v>1013.02040073303</c:v>
                </c:pt>
                <c:pt idx="20">
                  <c:v>603.87823510048997</c:v>
                </c:pt>
                <c:pt idx="21">
                  <c:v>755.45305065548303</c:v>
                </c:pt>
                <c:pt idx="22">
                  <c:v>1712.12600922517</c:v>
                </c:pt>
                <c:pt idx="23">
                  <c:v>3212.0115849530398</c:v>
                </c:pt>
                <c:pt idx="24">
                  <c:v>4314.1064188345099</c:v>
                </c:pt>
                <c:pt idx="25">
                  <c:v>2586.4252615989499</c:v>
                </c:pt>
                <c:pt idx="26">
                  <c:v>1205.92421297238</c:v>
                </c:pt>
                <c:pt idx="27">
                  <c:v>1267.86566603248</c:v>
                </c:pt>
                <c:pt idx="28">
                  <c:v>1309.96037595085</c:v>
                </c:pt>
                <c:pt idx="29">
                  <c:v>1143.29513422424</c:v>
                </c:pt>
                <c:pt idx="30">
                  <c:v>2678.49072645468</c:v>
                </c:pt>
                <c:pt idx="31">
                  <c:v>2785.7863789245098</c:v>
                </c:pt>
                <c:pt idx="32">
                  <c:v>1800.5861555464101</c:v>
                </c:pt>
              </c:numCache>
            </c:numRef>
          </c:val>
          <c:extLst>
            <c:ext xmlns:c16="http://schemas.microsoft.com/office/drawing/2014/chart" uri="{C3380CC4-5D6E-409C-BE32-E72D297353CC}">
              <c16:uniqueId val="{00000000-3975-6840-B3D2-2AB67C2F1AA0}"/>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a:t>
                </a:r>
                <a:r>
                  <a:rPr lang="en-US" baseline="0"/>
                  <a:t> shortages</a:t>
                </a:r>
                <a:r>
                  <a:rPr lang="en-US"/>
                  <a:t>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June'!$R$2:$R$18</c:f>
              <c:numCache>
                <c:formatCode>General</c:formatCode>
                <c:ptCount val="17"/>
                <c:pt idx="0">
                  <c:v>0.46666666666666601</c:v>
                </c:pt>
                <c:pt idx="1">
                  <c:v>0.43611111111111101</c:v>
                </c:pt>
                <c:pt idx="2">
                  <c:v>0.47499999999999998</c:v>
                </c:pt>
                <c:pt idx="3">
                  <c:v>0.73611111111111105</c:v>
                </c:pt>
                <c:pt idx="4">
                  <c:v>0.86111111111111105</c:v>
                </c:pt>
                <c:pt idx="5">
                  <c:v>0.52500000000000002</c:v>
                </c:pt>
                <c:pt idx="6">
                  <c:v>0.32222222222222202</c:v>
                </c:pt>
                <c:pt idx="7">
                  <c:v>0.24722222222222201</c:v>
                </c:pt>
                <c:pt idx="8">
                  <c:v>0.48888888888888798</c:v>
                </c:pt>
                <c:pt idx="9">
                  <c:v>0.85833333333333295</c:v>
                </c:pt>
                <c:pt idx="10">
                  <c:v>0.57222222222222197</c:v>
                </c:pt>
                <c:pt idx="11">
                  <c:v>0.3</c:v>
                </c:pt>
                <c:pt idx="12">
                  <c:v>0.11944444444444401</c:v>
                </c:pt>
                <c:pt idx="13">
                  <c:v>5.83333333333333E-2</c:v>
                </c:pt>
                <c:pt idx="14">
                  <c:v>0.13888888888888801</c:v>
                </c:pt>
                <c:pt idx="15">
                  <c:v>0.64444444444444404</c:v>
                </c:pt>
                <c:pt idx="16">
                  <c:v>0.80833333333333302</c:v>
                </c:pt>
              </c:numCache>
            </c:numRef>
          </c:xVal>
          <c:yVal>
            <c:numRef>
              <c:f>'Update June'!$AD$2:$AD$18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yVal>
          <c:smooth val="0"/>
          <c:extLst>
            <c:ext xmlns:c16="http://schemas.microsoft.com/office/drawing/2014/chart" uri="{C3380CC4-5D6E-409C-BE32-E72D297353CC}">
              <c16:uniqueId val="{00000001-A7D8-7441-9780-1D166635F1DE}"/>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Water Drought Indicator (San Joaquin River)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deliveiries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regression_results!$A$1</c:f>
              <c:strCache>
                <c:ptCount val="1"/>
                <c:pt idx="0">
                  <c:v>Local sources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regression_results!$A$2:$A$18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val>
          <c:extLst>
            <c:ext xmlns:c16="http://schemas.microsoft.com/office/drawing/2014/chart" uri="{C3380CC4-5D6E-409C-BE32-E72D297353CC}">
              <c16:uniqueId val="{00000000-A115-8740-83AC-471D9C9B6741}"/>
            </c:ext>
          </c:extLst>
        </c:ser>
        <c:ser>
          <c:idx val="1"/>
          <c:order val="1"/>
          <c:tx>
            <c:strRef>
              <c:f>regression_results!$C$1</c:f>
              <c:strCache>
                <c:ptCount val="1"/>
                <c:pt idx="0">
                  <c:v>Estimated local sources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regression_results!$C$2:$C$18</c:f>
              <c:numCache>
                <c:formatCode>General</c:formatCode>
                <c:ptCount val="17"/>
                <c:pt idx="0">
                  <c:v>3275.4217177436099</c:v>
                </c:pt>
                <c:pt idx="1">
                  <c:v>3260.4792507656898</c:v>
                </c:pt>
                <c:pt idx="2">
                  <c:v>3278.08585340134</c:v>
                </c:pt>
                <c:pt idx="3">
                  <c:v>3147.75633159275</c:v>
                </c:pt>
                <c:pt idx="4">
                  <c:v>2988.3521210900399</c:v>
                </c:pt>
                <c:pt idx="5">
                  <c:v>3282.8519583246398</c:v>
                </c:pt>
                <c:pt idx="6">
                  <c:v>3112.5770926464002</c:v>
                </c:pt>
                <c:pt idx="7">
                  <c:v>2894.7265652777601</c:v>
                </c:pt>
                <c:pt idx="8">
                  <c:v>3281.28043180855</c:v>
                </c:pt>
                <c:pt idx="9">
                  <c:v>2992.3611812416998</c:v>
                </c:pt>
                <c:pt idx="10">
                  <c:v>3271.9507533894098</c:v>
                </c:pt>
                <c:pt idx="11">
                  <c:v>3060.95740049801</c:v>
                </c:pt>
                <c:pt idx="12">
                  <c:v>2017.0744889057501</c:v>
                </c:pt>
                <c:pt idx="13">
                  <c:v>920.65814446012701</c:v>
                </c:pt>
                <c:pt idx="14">
                  <c:v>2224.25837000915</c:v>
                </c:pt>
                <c:pt idx="15">
                  <c:v>3231.6707205787402</c:v>
                </c:pt>
                <c:pt idx="16">
                  <c:v>3061.1119744777602</c:v>
                </c:pt>
              </c:numCache>
            </c:numRef>
          </c:val>
          <c:extLst>
            <c:ext xmlns:c16="http://schemas.microsoft.com/office/drawing/2014/chart" uri="{C3380CC4-5D6E-409C-BE32-E72D297353CC}">
              <c16:uniqueId val="{00000001-A115-8740-83AC-471D9C9B6741}"/>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June'!$Z$2:$Z$18</c:f>
              <c:numCache>
                <c:formatCode>General</c:formatCode>
                <c:ptCount val="17"/>
                <c:pt idx="0">
                  <c:v>0.46666666666666601</c:v>
                </c:pt>
                <c:pt idx="1">
                  <c:v>0.54722222222222205</c:v>
                </c:pt>
                <c:pt idx="2">
                  <c:v>0.55833333333333302</c:v>
                </c:pt>
                <c:pt idx="3">
                  <c:v>0.70555555555555505</c:v>
                </c:pt>
                <c:pt idx="4">
                  <c:v>0.88611111111111096</c:v>
                </c:pt>
                <c:pt idx="5">
                  <c:v>0.53888888888888797</c:v>
                </c:pt>
                <c:pt idx="6">
                  <c:v>0.26944444444444399</c:v>
                </c:pt>
                <c:pt idx="7">
                  <c:v>0.20555555555555499</c:v>
                </c:pt>
                <c:pt idx="8">
                  <c:v>0.46666666666666601</c:v>
                </c:pt>
                <c:pt idx="9">
                  <c:v>0.86944444444444402</c:v>
                </c:pt>
                <c:pt idx="10">
                  <c:v>0.59722222222222199</c:v>
                </c:pt>
                <c:pt idx="11">
                  <c:v>0.38611111111111102</c:v>
                </c:pt>
                <c:pt idx="12">
                  <c:v>0.105555555555555</c:v>
                </c:pt>
                <c:pt idx="13">
                  <c:v>6.3888888888888801E-2</c:v>
                </c:pt>
                <c:pt idx="14">
                  <c:v>0.22222222222222199</c:v>
                </c:pt>
                <c:pt idx="15">
                  <c:v>0.52777777777777701</c:v>
                </c:pt>
                <c:pt idx="16">
                  <c:v>0.72499999999999998</c:v>
                </c:pt>
              </c:numCache>
            </c:numRef>
          </c:xVal>
          <c:yVal>
            <c:numRef>
              <c:f>'Update June'!$AE$2:$AE$18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yVal>
          <c:smooth val="0"/>
          <c:extLst>
            <c:ext xmlns:c16="http://schemas.microsoft.com/office/drawing/2014/chart" uri="{C3380CC4-5D6E-409C-BE32-E72D297353CC}">
              <c16:uniqueId val="{00000001-FB29-F84A-BCB9-22AFCBC1935D}"/>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Water Drought Indicator (Delta exporting basins)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Delta imports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regression_results!$B$1</c:f>
              <c:strCache>
                <c:ptCount val="1"/>
                <c:pt idx="0">
                  <c:v>Actual Delta imports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regression_results!$B$2:$B$18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val>
          <c:extLst>
            <c:ext xmlns:c16="http://schemas.microsoft.com/office/drawing/2014/chart" uri="{C3380CC4-5D6E-409C-BE32-E72D297353CC}">
              <c16:uniqueId val="{00000000-F0EC-C643-8DDB-495481D85B34}"/>
            </c:ext>
          </c:extLst>
        </c:ser>
        <c:ser>
          <c:idx val="1"/>
          <c:order val="1"/>
          <c:tx>
            <c:strRef>
              <c:f>regression_results!$D$1</c:f>
              <c:strCache>
                <c:ptCount val="1"/>
                <c:pt idx="0">
                  <c:v>Estimated Delta imports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regression_results!$D$2:$D$18</c:f>
              <c:numCache>
                <c:formatCode>General</c:formatCode>
                <c:ptCount val="17"/>
                <c:pt idx="0">
                  <c:v>1092.9055585050601</c:v>
                </c:pt>
                <c:pt idx="1">
                  <c:v>1076.3317366450899</c:v>
                </c:pt>
                <c:pt idx="2">
                  <c:v>1093.39118301248</c:v>
                </c:pt>
                <c:pt idx="3">
                  <c:v>1177.8016870926399</c:v>
                </c:pt>
                <c:pt idx="4">
                  <c:v>1203.6611501730799</c:v>
                </c:pt>
                <c:pt idx="5">
                  <c:v>1114.4873465589901</c:v>
                </c:pt>
                <c:pt idx="6">
                  <c:v>1024.02101177432</c:v>
                </c:pt>
                <c:pt idx="7">
                  <c:v>972.10901519334595</c:v>
                </c:pt>
                <c:pt idx="8">
                  <c:v>1102.4029174418499</c:v>
                </c:pt>
                <c:pt idx="9">
                  <c:v>1203.5702179946099</c:v>
                </c:pt>
                <c:pt idx="10">
                  <c:v>1130.0807098154501</c:v>
                </c:pt>
                <c:pt idx="11">
                  <c:v>1005.45129744362</c:v>
                </c:pt>
                <c:pt idx="12">
                  <c:v>827.010456193697</c:v>
                </c:pt>
                <c:pt idx="13">
                  <c:v>682.11787462194195</c:v>
                </c:pt>
                <c:pt idx="14">
                  <c:v>853.82100498356795</c:v>
                </c:pt>
                <c:pt idx="15">
                  <c:v>1156.71657410799</c:v>
                </c:pt>
                <c:pt idx="16">
                  <c:v>1196.2459022307501</c:v>
                </c:pt>
              </c:numCache>
            </c:numRef>
          </c:val>
          <c:extLst>
            <c:ext xmlns:c16="http://schemas.microsoft.com/office/drawing/2014/chart" uri="{C3380CC4-5D6E-409C-BE32-E72D297353CC}">
              <c16:uniqueId val="{00000001-F0EC-C643-8DDB-495481D85B34}"/>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June'!$AG$2:$AG$18</c:f>
              <c:numCache>
                <c:formatCode>General</c:formatCode>
                <c:ptCount val="17"/>
                <c:pt idx="0">
                  <c:v>5427.5999999999894</c:v>
                </c:pt>
                <c:pt idx="1">
                  <c:v>4213.1999999999898</c:v>
                </c:pt>
                <c:pt idx="2">
                  <c:v>4256.99999999999</c:v>
                </c:pt>
                <c:pt idx="3">
                  <c:v>4328.3999999999905</c:v>
                </c:pt>
                <c:pt idx="4">
                  <c:v>4145.2999999999902</c:v>
                </c:pt>
                <c:pt idx="5">
                  <c:v>4577.99999999999</c:v>
                </c:pt>
                <c:pt idx="6">
                  <c:v>4517.0999999999894</c:v>
                </c:pt>
                <c:pt idx="7">
                  <c:v>4119.8999999999905</c:v>
                </c:pt>
                <c:pt idx="8">
                  <c:v>4418.8999999999896</c:v>
                </c:pt>
                <c:pt idx="9">
                  <c:v>4458.1999999999898</c:v>
                </c:pt>
                <c:pt idx="10">
                  <c:v>4094</c:v>
                </c:pt>
                <c:pt idx="11">
                  <c:v>3452.5999999999899</c:v>
                </c:pt>
                <c:pt idx="12">
                  <c:v>2548.099999999994</c:v>
                </c:pt>
                <c:pt idx="13">
                  <c:v>1732.4999999999982</c:v>
                </c:pt>
                <c:pt idx="14">
                  <c:v>2974.9999999999991</c:v>
                </c:pt>
                <c:pt idx="15">
                  <c:v>4139.4999999999909</c:v>
                </c:pt>
                <c:pt idx="16">
                  <c:v>3808.3999999999896</c:v>
                </c:pt>
              </c:numCache>
            </c:numRef>
          </c:xVal>
          <c:yVal>
            <c:numRef>
              <c:f>'Update June'!$G$2:$G$18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2B37-9545-89F0-51EAB659D8B4}"/>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Surface water</a:t>
                </a:r>
                <a:r>
                  <a:rPr lang="en-US" baseline="0"/>
                  <a:t> deliveries, maf (Local + Imported)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2432"/>
        <c:crosses val="autoZero"/>
        <c:crossBetween val="midCat"/>
        <c:dispUnits>
          <c:builtInUnit val="thousands"/>
        </c:dispUnits>
      </c:valAx>
      <c:valAx>
        <c:axId val="2071122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deliveiries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June'!$T$2:$T$18</c:f>
              <c:numCache>
                <c:formatCode>General</c:formatCode>
                <c:ptCount val="17"/>
                <c:pt idx="0">
                  <c:v>0.36923076923076897</c:v>
                </c:pt>
                <c:pt idx="1">
                  <c:v>0.112307692307692</c:v>
                </c:pt>
                <c:pt idx="2">
                  <c:v>0.39384615384615301</c:v>
                </c:pt>
                <c:pt idx="3">
                  <c:v>0.75846153846153797</c:v>
                </c:pt>
                <c:pt idx="4">
                  <c:v>0.54384615384615298</c:v>
                </c:pt>
                <c:pt idx="5">
                  <c:v>0.20461538461538401</c:v>
                </c:pt>
                <c:pt idx="6">
                  <c:v>0.15076923076922999</c:v>
                </c:pt>
                <c:pt idx="7">
                  <c:v>0.26307692307692299</c:v>
                </c:pt>
                <c:pt idx="8">
                  <c:v>0.72769230769230697</c:v>
                </c:pt>
                <c:pt idx="9">
                  <c:v>0.895384615384615</c:v>
                </c:pt>
                <c:pt idx="10">
                  <c:v>6.7692307692307593E-2</c:v>
                </c:pt>
                <c:pt idx="11">
                  <c:v>8.3076923076923007E-2</c:v>
                </c:pt>
                <c:pt idx="12">
                  <c:v>1.2307692307692301E-2</c:v>
                </c:pt>
                <c:pt idx="13">
                  <c:v>2.9230769230769199E-2</c:v>
                </c:pt>
                <c:pt idx="14">
                  <c:v>0.70538461538461505</c:v>
                </c:pt>
                <c:pt idx="15">
                  <c:v>0.41076923076923</c:v>
                </c:pt>
                <c:pt idx="16">
                  <c:v>0.79230769230769205</c:v>
                </c:pt>
              </c:numCache>
            </c:numRef>
          </c:xVal>
          <c:yVal>
            <c:numRef>
              <c:f>'Update June'!$G$2:$G$18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55BC-CE46-8ADA-57567C23D796}"/>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pumping indicator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deliveiries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regression_results!$E$1</c:f>
              <c:strCache>
                <c:ptCount val="1"/>
                <c:pt idx="0">
                  <c:v>Actual groundwater pumping</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0-048B-7F41-B5C8-BBA46D7FFA3D}"/>
            </c:ext>
          </c:extLst>
        </c:ser>
        <c:ser>
          <c:idx val="1"/>
          <c:order val="1"/>
          <c:tx>
            <c:strRef>
              <c:f>regression_results!$G$1</c:f>
              <c:strCache>
                <c:ptCount val="1"/>
                <c:pt idx="0">
                  <c:v>Estimated groundwater pumping</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regression_results!$G$2:$G$18</c:f>
              <c:numCache>
                <c:formatCode>General</c:formatCode>
                <c:ptCount val="17"/>
                <c:pt idx="0">
                  <c:v>2936.78615804115</c:v>
                </c:pt>
                <c:pt idx="1">
                  <c:v>3274.4134041453099</c:v>
                </c:pt>
                <c:pt idx="2">
                  <c:v>2904.35107752969</c:v>
                </c:pt>
                <c:pt idx="3">
                  <c:v>2486.1463672878399</c:v>
                </c:pt>
                <c:pt idx="4">
                  <c:v>2840.26130121297</c:v>
                </c:pt>
                <c:pt idx="5">
                  <c:v>3120.0286274222599</c:v>
                </c:pt>
                <c:pt idx="6">
                  <c:v>3361.6495466767601</c:v>
                </c:pt>
                <c:pt idx="7">
                  <c:v>3404.6930053521</c:v>
                </c:pt>
                <c:pt idx="8">
                  <c:v>2484.9643350347701</c:v>
                </c:pt>
                <c:pt idx="9">
                  <c:v>2404.6562160271701</c:v>
                </c:pt>
                <c:pt idx="10">
                  <c:v>3285.51472002538</c:v>
                </c:pt>
                <c:pt idx="11">
                  <c:v>3492.21223345824</c:v>
                </c:pt>
                <c:pt idx="12">
                  <c:v>4401.1676041096098</c:v>
                </c:pt>
                <c:pt idx="13">
                  <c:v>5214.8812297027798</c:v>
                </c:pt>
                <c:pt idx="14">
                  <c:v>3390.2232196165601</c:v>
                </c:pt>
                <c:pt idx="15">
                  <c:v>2872.13873645592</c:v>
                </c:pt>
                <c:pt idx="16">
                  <c:v>2490.3122179014599</c:v>
                </c:pt>
              </c:numCache>
            </c:numRef>
          </c:val>
          <c:extLst>
            <c:ext xmlns:c16="http://schemas.microsoft.com/office/drawing/2014/chart" uri="{C3380CC4-5D6E-409C-BE32-E72D297353CC}">
              <c16:uniqueId val="{00000001-048B-7F41-B5C8-BBA46D7FFA3D}"/>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Groundwater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374BA-EC3A-0E4A-92D3-489F2FBC0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3932</TotalTime>
  <Pages>20</Pages>
  <Words>4835</Words>
  <Characters>27562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Escriva-Bou, Alvar</cp:lastModifiedBy>
  <cp:revision>10</cp:revision>
  <dcterms:created xsi:type="dcterms:W3CDTF">2023-06-23T01:45:00Z</dcterms:created>
  <dcterms:modified xsi:type="dcterms:W3CDTF">2023-08-07T23:35:00Z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id="CwVcpwLH"/&gt;&lt;style id="http://www.zotero.org/styles/water-resources-research" hasBibliography="1" bibliographyStyleHasBeenSet="1"/&gt;&lt;prefs&gt;&lt;pref name="fieldType" value="Field"/&gt;&lt;/prefs&gt;&lt;/data&gt;</vt:lpwstr>
  </property>
</Properties>
</file>