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7.xml" ContentType="application/vnd.openxmlformats-officedocument.drawingml.chart+xml"/>
  <Override PartName="/word/charts/style17.xml" ContentType="application/vnd.ms-office.chartstyle+xml"/>
  <Override PartName="/word/charts/colors17.xml" ContentType="application/vnd.ms-office.chartcolorstyle+xml"/>
  <Override PartName="/word/charts/chart18.xml" ContentType="application/vnd.openxmlformats-officedocument.drawingml.chart+xml"/>
  <Override PartName="/word/charts/style18.xml" ContentType="application/vnd.ms-office.chartstyle+xml"/>
  <Override PartName="/word/charts/colors18.xml" ContentType="application/vnd.ms-office.chartcolorstyle+xml"/>
  <Override PartName="/word/charts/chart19.xml" ContentType="application/vnd.openxmlformats-officedocument.drawingml.chart+xml"/>
  <Override PartName="/word/charts/style19.xml" ContentType="application/vnd.ms-office.chartstyle+xml"/>
  <Override PartName="/word/charts/colors19.xml" ContentType="application/vnd.ms-office.chartcolorstyle+xml"/>
  <Override PartName="/word/charts/chart20.xml" ContentType="application/vnd.openxmlformats-officedocument.drawingml.chart+xml"/>
  <Override PartName="/word/charts/style20.xml" ContentType="application/vnd.ms-office.chartstyle+xml"/>
  <Override PartName="/word/charts/colors20.xml" ContentType="application/vnd.ms-office.chartcolorstyle+xml"/>
  <Override PartName="/word/charts/chart21.xml" ContentType="application/vnd.openxmlformats-officedocument.drawingml.chart+xml"/>
  <Override PartName="/word/charts/style21.xml" ContentType="application/vnd.ms-office.chartstyle+xml"/>
  <Override PartName="/word/charts/colors21.xml" ContentType="application/vnd.ms-office.chartcolorstyle+xml"/>
  <Override PartName="/word/charts/chart22.xml" ContentType="application/vnd.openxmlformats-officedocument.drawingml.chart+xml"/>
  <Override PartName="/word/charts/style22.xml" ContentType="application/vnd.ms-office.chartstyle+xml"/>
  <Override PartName="/word/charts/colors2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9A9D00E" w14:textId="465C1BF2" w:rsidR="00BF03A7" w:rsidRDefault="00BF03A7" w:rsidP="00B30F74">
      <w:pPr>
        <w:pStyle w:val="Title"/>
      </w:pPr>
      <w:bookmarkStart w:id="0" w:name="_Hlk138433640"/>
      <w:bookmarkEnd w:id="0"/>
      <w:r w:rsidRPr="00B30F74">
        <w:t>Methodology</w:t>
      </w:r>
      <w:r w:rsidRPr="007962DB">
        <w:t xml:space="preserve"> </w:t>
      </w:r>
      <w:r w:rsidR="003E4BE1">
        <w:t>3</w:t>
      </w:r>
      <w:r w:rsidRPr="007962DB">
        <w:t xml:space="preserve">. </w:t>
      </w:r>
      <w:r w:rsidR="003E4BE1">
        <w:t>Linking drought indicators with impacts in highly</w:t>
      </w:r>
      <w:r w:rsidR="008B236F">
        <w:t>-managed water systems</w:t>
      </w:r>
    </w:p>
    <w:p w14:paraId="70ED1B26" w14:textId="53377757" w:rsidR="00A44131" w:rsidRPr="00C001AC" w:rsidRDefault="00627948" w:rsidP="00627948">
      <w:pPr>
        <w:rPr>
          <w:i/>
        </w:rPr>
      </w:pPr>
      <w:r w:rsidRPr="00C001AC">
        <w:rPr>
          <w:i/>
        </w:rPr>
        <w:t xml:space="preserve">Authors: Alvar Escriva-Bou, Michael </w:t>
      </w:r>
      <w:proofErr w:type="spellStart"/>
      <w:r w:rsidRPr="00C001AC">
        <w:rPr>
          <w:i/>
        </w:rPr>
        <w:t>Dettinger</w:t>
      </w:r>
      <w:proofErr w:type="spellEnd"/>
      <w:r w:rsidRPr="00C001AC">
        <w:rPr>
          <w:i/>
        </w:rPr>
        <w:t xml:space="preserve">, </w:t>
      </w:r>
      <w:r w:rsidR="00C001AC" w:rsidRPr="00C001AC">
        <w:rPr>
          <w:i/>
        </w:rPr>
        <w:t>Jeff Mount</w:t>
      </w:r>
      <w:r w:rsidRPr="00C001AC">
        <w:rPr>
          <w:i/>
        </w:rPr>
        <w:t>…</w:t>
      </w:r>
    </w:p>
    <w:p w14:paraId="1F5B1FFE" w14:textId="24393321" w:rsidR="004D6641" w:rsidRPr="005B77DC" w:rsidRDefault="00BF03A7" w:rsidP="005B77DC">
      <w:pPr>
        <w:pStyle w:val="Heading1"/>
      </w:pPr>
      <w:r w:rsidRPr="005B77DC">
        <w:t>Introduction</w:t>
      </w:r>
    </w:p>
    <w:p w14:paraId="14B640D0" w14:textId="7B79A824" w:rsidR="00EC4996" w:rsidRDefault="00A44131" w:rsidP="007962DB">
      <w:r>
        <w:t xml:space="preserve">Although drought are natural-occurring events, </w:t>
      </w:r>
      <w:r w:rsidR="007A0EF8">
        <w:t>the risk of a drought impact is determined not only by the climatic hazard, but also by the exposure and vulnerability to these hazards</w:t>
      </w:r>
      <w:r w:rsidR="00EC4996">
        <w:t xml:space="preserve"> </w:t>
      </w:r>
      <w:r w:rsidR="00EC4996">
        <w:fldChar w:fldCharType="begin"/>
      </w:r>
      <w:r w:rsidR="00EC4996">
        <w:instrText xml:space="preserve"> ADDIN ZOTERO_ITEM CSL_CITATION {"citationID":"qHKGT4mr","properties":{"formattedCitation":"(Cardona et al., 2012)","plainCitation":"(Cardona et al., 2012)","noteIndex":0},"citationItems":[{"id":27,"uris":["http://zotero.org/users/local/zvpmpIAu/items/DTUYG9W6"],"itemData":{"id":27,"type":"chapter","container-title":"Managing the risks of extreme events and disasters to advance climate change adaptation: special report of the intergovernmental panel on climate change","page":"65-108","publisher":"Cambridge University Press","title":"Determinants of risk: exposure and vulnerability","author":[{"family":"Cardona","given":"Omar Dario"},{"family":"Van Aalst","given":"Maarten K"},{"family":"Birkmann","given":"Jörn"},{"family":"Fordham","given":"Maureen"},{"family":"Mc Gregor","given":"Glenn"},{"family":"Rosa","given":"Perez"},{"family":"Pulwarty","given":"Roger S"},{"family":"Schipper","given":"E Lisa F"},{"family":"Sinh","given":"Bach Tan"},{"family":"Décamps","given":"Henri"}],"issued":{"date-parts":[["2012"]]}}}],"schema":"https://github.com/citation-style-language/schema/raw/master/csl-citation.json"} </w:instrText>
      </w:r>
      <w:r w:rsidR="00EC4996">
        <w:fldChar w:fldCharType="separate"/>
      </w:r>
      <w:r w:rsidR="00EC4996">
        <w:rPr>
          <w:noProof/>
        </w:rPr>
        <w:t>(Cardona et al., 2012)</w:t>
      </w:r>
      <w:r w:rsidR="00EC4996">
        <w:fldChar w:fldCharType="end"/>
      </w:r>
      <w:r w:rsidR="00EC4996">
        <w:t>. In other words, drought impacts are not only a function of a natural event, but also a function of how humans manage and adapt to these events.</w:t>
      </w:r>
      <w:bookmarkStart w:id="1" w:name="_GoBack"/>
      <w:bookmarkEnd w:id="1"/>
    </w:p>
    <w:p w14:paraId="0EE083C1" w14:textId="77777777" w:rsidR="00EC4996" w:rsidRDefault="00EC4996" w:rsidP="007962DB"/>
    <w:p w14:paraId="01EEF171" w14:textId="2EE128A1" w:rsidR="00F315C3" w:rsidRDefault="00A44131" w:rsidP="007962DB">
      <w:r>
        <w:t xml:space="preserve">not only </w:t>
      </w:r>
    </w:p>
    <w:p w14:paraId="46C266E1" w14:textId="2AF19756" w:rsidR="00A44131" w:rsidRDefault="00A44131" w:rsidP="007962DB"/>
    <w:p w14:paraId="71E6C034" w14:textId="77777777" w:rsidR="00A44131" w:rsidRPr="00A44131" w:rsidRDefault="00A44131" w:rsidP="00A44131">
      <w:pPr>
        <w:spacing w:after="0"/>
        <w:rPr>
          <w:rFonts w:ascii="Times New Roman" w:eastAsia="Times New Roman" w:hAnsi="Times New Roman" w:cs="Times New Roman"/>
        </w:rPr>
      </w:pPr>
      <w:r w:rsidRPr="00A44131">
        <w:rPr>
          <w:rFonts w:ascii="Times New Roman" w:eastAsia="Times New Roman" w:hAnsi="Times New Roman" w:cs="Times New Roman"/>
        </w:rPr>
        <w:t>That risk is determined not only by the climate and weather events (the hazards) but also by the exposure and vulnerability to these hazards. Therefore, effective adaptation and disaster risk management strategies and practices also depend on a rigorous understanding of the dimensions of exposure and vulnerability, as well as a proper assessment of changes in those dimensions. This chapter aims to provide that understanding and assessment, by further detailing the determinants of risk as presented in Chapter 1.</w:t>
      </w:r>
    </w:p>
    <w:p w14:paraId="114790AB" w14:textId="77777777" w:rsidR="00A44131" w:rsidRDefault="00A44131" w:rsidP="007962DB"/>
    <w:p w14:paraId="0AF5314F" w14:textId="0C8FD1DA" w:rsidR="00A44131" w:rsidRDefault="00A44131" w:rsidP="007962DB"/>
    <w:p w14:paraId="0472575D" w14:textId="318E42FC" w:rsidR="00A44131" w:rsidRDefault="00A44131" w:rsidP="007962DB"/>
    <w:p w14:paraId="28CBF598" w14:textId="77777777" w:rsidR="00A44131" w:rsidRDefault="00A44131" w:rsidP="00A44131">
      <w:pPr>
        <w:pStyle w:val="Heading1"/>
      </w:pPr>
      <w:r>
        <w:t>Overview of the methodology</w:t>
      </w:r>
    </w:p>
    <w:p w14:paraId="71BA1DD4" w14:textId="55659ED5" w:rsidR="00A44131" w:rsidRDefault="00A44131" w:rsidP="00A44131">
      <w:r>
        <w:t>TBD</w:t>
      </w:r>
    </w:p>
    <w:p w14:paraId="39AC79DD" w14:textId="7735CA3F" w:rsidR="00A44131" w:rsidRDefault="00A44131" w:rsidP="007962DB"/>
    <w:p w14:paraId="659CC381" w14:textId="4A050600" w:rsidR="00A44131" w:rsidRDefault="00A44131" w:rsidP="007962DB"/>
    <w:p w14:paraId="3DC41B8C" w14:textId="276192C4" w:rsidR="00A44131" w:rsidRDefault="00A44131" w:rsidP="007962DB"/>
    <w:p w14:paraId="1EBCC021" w14:textId="77777777" w:rsidR="00A44131" w:rsidRPr="007962DB" w:rsidRDefault="00A44131" w:rsidP="00A44131">
      <w:pPr>
        <w:pStyle w:val="Caption"/>
      </w:pPr>
      <w:r w:rsidRPr="007962DB">
        <w:lastRenderedPageBreak/>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rsidRPr="007962DB">
        <w:t xml:space="preserve">. </w:t>
      </w:r>
      <w:r>
        <w:t>Water supply portfolio by supply provider (top panel) and by water source (bottom panel) for the San Joaquin River hydrologic region</w:t>
      </w:r>
    </w:p>
    <w:p w14:paraId="4A237845" w14:textId="37B0F175" w:rsidR="00A44131" w:rsidRDefault="00A44131" w:rsidP="00A44131">
      <w:r w:rsidRPr="00A44131">
        <w:drawing>
          <wp:inline distT="0" distB="0" distL="0" distR="0" wp14:anchorId="1A2BF6D7" wp14:editId="4FC8C043">
            <wp:extent cx="4208431" cy="28617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21228" cy="2870435"/>
                    </a:xfrm>
                    <a:prstGeom prst="rect">
                      <a:avLst/>
                    </a:prstGeom>
                  </pic:spPr>
                </pic:pic>
              </a:graphicData>
            </a:graphic>
          </wp:inline>
        </w:drawing>
      </w:r>
    </w:p>
    <w:p w14:paraId="6755A0B2" w14:textId="06AC4AD8" w:rsidR="007A0EF8" w:rsidRPr="007A0EF8" w:rsidRDefault="007A0EF8" w:rsidP="007A0EF8">
      <w:pPr>
        <w:pStyle w:val="Caption"/>
        <w:spacing w:before="0"/>
        <w:rPr>
          <w:b w:val="0"/>
        </w:rPr>
      </w:pPr>
      <w:r>
        <w:t xml:space="preserve">Notes: </w:t>
      </w:r>
      <w:r>
        <w:rPr>
          <w:b w:val="0"/>
        </w:rPr>
        <w:t xml:space="preserve">Figure adapted from </w:t>
      </w:r>
      <w:r>
        <w:rPr>
          <w:b w:val="0"/>
        </w:rPr>
        <w:fldChar w:fldCharType="begin"/>
      </w:r>
      <w:r>
        <w:rPr>
          <w:b w:val="0"/>
        </w:rPr>
        <w:instrText xml:space="preserve"> ADDIN ZOTERO_ITEM CSL_CITATION {"citationID":"55vobixh","properties":{"formattedCitation":"(IPCC, 2014)","plainCitation":"(IPCC, 2014)","noteIndex":0},"citationItems":[{"id":26,"uris":["http://zotero.org/users/local/zvpmpIAu/items/MM8DWT3H"],"itemData":{"id":26,"type":"article-journal","container-title":"Clim. Chang","journalAbbreviation":"Clim. Chang","title":"Climate change 2014: impacts, adaptation, and vulnerability. Part A: global and sectoral aspects. Contribution of Working Group II to the fifth assessment report of the Intergovernmental Panel on Climate Change","author":[{"family":"IPCC","given":""}],"issued":{"date-parts":[["2014"]]}}}],"schema":"https://github.com/citation-style-language/schema/raw/master/csl-citation.json"} </w:instrText>
      </w:r>
      <w:r>
        <w:rPr>
          <w:b w:val="0"/>
        </w:rPr>
        <w:fldChar w:fldCharType="separate"/>
      </w:r>
      <w:r>
        <w:rPr>
          <w:b w:val="0"/>
          <w:noProof/>
        </w:rPr>
        <w:t>(IPCC, 2014)</w:t>
      </w:r>
      <w:r>
        <w:rPr>
          <w:b w:val="0"/>
        </w:rPr>
        <w:fldChar w:fldCharType="end"/>
      </w:r>
      <w:r>
        <w:rPr>
          <w:b w:val="0"/>
        </w:rPr>
        <w:t xml:space="preserve"> and definitions adapted from </w:t>
      </w:r>
      <w:r>
        <w:rPr>
          <w:b w:val="0"/>
        </w:rPr>
        <w:fldChar w:fldCharType="begin"/>
      </w:r>
      <w:r>
        <w:rPr>
          <w:b w:val="0"/>
        </w:rPr>
        <w:instrText xml:space="preserve"> ADDIN ZOTERO_ITEM CSL_CITATION {"citationID":"5ZriFelx","properties":{"formattedCitation":"(Carr\\uc0\\u227{}o et al., 2016)","plainCitation":"(Carrão et al., 2016)","noteIndex":0},"citationItems":[{"id":19,"uris":["http://zotero.org/users/local/zvpmpIAu/items/EBRBRZ77"],"itemData":{"id":19,"type":"article-journal","abstract":"A global map of drought risk has been elaborated at the sub-national administrative level. The motivation for this study is the observation that little research and no concerted efforts have been made at the global level to provide a consistent and equitable drought risk management framework for multiple regions, population groups and economic sectors. Drought risk is assessed for the period 2000–2014 and is based on the product of three independent determinants: hazard, exposure and vulnerability. Drought hazard is derived from a non-parametric analysis of historical precipitation deficits at the 0.5°; drought exposure is based on a non-parametric aggregation of gridded indicators of population and livestock densities, crop cover and water stress; and drought vulnerability is computed as the arithmetic composite of high level factors of social, economic and infrastructural indicators, collected at both the national and sub-national levels. The performance evaluation of the proposed models underlines their statistical robustness and emphasizes an empirical resemblance between the geographic patterns of potential drought impacts and previous results presented in the literature. Our findings support the idea that drought risk is driven by an exponential growth of regional exposure, while hazard and vulnerability exhibit a weaker relationship with the geographic distribution of risk values. Drought risk is lower for remote regions, such as tundras and tropical forests, and higher for populated areas and regions extensively exploited for crop production and livestock farming, such as South-Central Asia, Southeast of South America, Central Europe and Southeast of the United States. As climate change projections foresee an increase of drought frequency and intensity for these regions, then there is an aggravated risk for global food security and potential for civil conflict in the medium- to long-term. Since most agricultural regions show high infrastructural vulnerability to drought, then regional adaptation to climate change may begin through implementing and fostering the widespread use of irrigation and rainwater harvesting systems. In this context, reduction in drought risk may also benefit from diversifying regional economies on different sectors of activity and reducing the dependence of their GDP on agriculture.","container-title":"Global Environmental Change","DOI":"10.1016/j.gloenvcha.2016.04.012","ISSN":"0959-3780","journalAbbreviation":"Global Environmental Change","page":"108-124","source":"ScienceDirect","title":"Mapping global patterns of drought risk: An empirical framework based on sub-national estimates of hazard, exposure and vulnerability","title-short":"Mapping global patterns of drought risk","volume":"39","author":[{"family":"Carrão","given":"Hugo"},{"family":"Naumann","given":"Gustavo"},{"family":"Barbosa","given":"Paulo"}],"issued":{"date-parts":[["2016",7,1]]}}}],"schema":"https://github.com/citation-style-language/schema/raw/master/csl-citation.json"} </w:instrText>
      </w:r>
      <w:r>
        <w:rPr>
          <w:b w:val="0"/>
        </w:rPr>
        <w:fldChar w:fldCharType="separate"/>
      </w:r>
      <w:r w:rsidRPr="007A0EF8">
        <w:rPr>
          <w:b w:val="0"/>
        </w:rPr>
        <w:t>(</w:t>
      </w:r>
      <w:proofErr w:type="spellStart"/>
      <w:r w:rsidRPr="007A0EF8">
        <w:rPr>
          <w:b w:val="0"/>
        </w:rPr>
        <w:t>Carrão</w:t>
      </w:r>
      <w:proofErr w:type="spellEnd"/>
      <w:r w:rsidRPr="007A0EF8">
        <w:rPr>
          <w:b w:val="0"/>
        </w:rPr>
        <w:t xml:space="preserve"> et al., 2016)</w:t>
      </w:r>
      <w:r>
        <w:rPr>
          <w:b w:val="0"/>
        </w:rPr>
        <w:fldChar w:fldCharType="end"/>
      </w:r>
      <w:r>
        <w:rPr>
          <w:b w:val="0"/>
        </w:rPr>
        <w:t>.</w:t>
      </w:r>
    </w:p>
    <w:p w14:paraId="5A14B44C" w14:textId="4F8A0745" w:rsidR="007A0EF8" w:rsidRPr="007A0EF8" w:rsidRDefault="007A0EF8" w:rsidP="007A0EF8">
      <w:proofErr w:type="spellStart"/>
      <w:proofErr w:type="gramStart"/>
      <w:r>
        <w:t>Sadfkj</w:t>
      </w:r>
      <w:proofErr w:type="spellEnd"/>
      <w:r>
        <w:t xml:space="preserve"> ;l</w:t>
      </w:r>
      <w:proofErr w:type="gramEnd"/>
    </w:p>
    <w:p w14:paraId="11BE27C9" w14:textId="079AAB14" w:rsidR="007A0EF8" w:rsidRPr="007A0EF8" w:rsidRDefault="007A0EF8" w:rsidP="007A0EF8"/>
    <w:p w14:paraId="654838ED" w14:textId="77777777" w:rsidR="00A44131" w:rsidRDefault="00A44131" w:rsidP="007962DB"/>
    <w:p w14:paraId="23F718A5" w14:textId="77777777" w:rsidR="00A44131" w:rsidRDefault="00A44131" w:rsidP="007962DB"/>
    <w:p w14:paraId="452D3666" w14:textId="77777777" w:rsidR="00A44131" w:rsidRDefault="00A44131" w:rsidP="007962DB"/>
    <w:p w14:paraId="38DCC261" w14:textId="49AD46C2" w:rsidR="00F315C3" w:rsidRDefault="00F315C3" w:rsidP="007962DB">
      <w:r>
        <w:t>In the following sections we first…</w:t>
      </w:r>
    </w:p>
    <w:p w14:paraId="1F604561" w14:textId="77777777" w:rsidR="00A44131" w:rsidRDefault="00A44131">
      <w:pPr>
        <w:spacing w:after="0"/>
        <w:rPr>
          <w:rFonts w:asciiTheme="majorHAnsi" w:eastAsiaTheme="majorEastAsia" w:hAnsiTheme="majorHAnsi" w:cstheme="majorHAnsi"/>
          <w:sz w:val="32"/>
          <w:szCs w:val="32"/>
        </w:rPr>
      </w:pPr>
      <w:r>
        <w:br w:type="page"/>
      </w:r>
    </w:p>
    <w:p w14:paraId="2FC6E5C0" w14:textId="728CD1F9" w:rsidR="00977D16" w:rsidRDefault="00977D16" w:rsidP="00F315C3">
      <w:pPr>
        <w:pStyle w:val="Heading1"/>
      </w:pPr>
      <w:r>
        <w:lastRenderedPageBreak/>
        <w:t>Overview of the methodology</w:t>
      </w:r>
    </w:p>
    <w:p w14:paraId="0D9BAA54" w14:textId="4F642648" w:rsidR="002E5F7B" w:rsidRDefault="002E5F7B" w:rsidP="00977D16">
      <w:r>
        <w:t xml:space="preserve">The main goal is to obtain a drought indicator for users with different water sources—or a complex supply portfolio—that </w:t>
      </w:r>
      <w:r w:rsidR="00124E6B">
        <w:t>informs about</w:t>
      </w:r>
      <w:r>
        <w:t xml:space="preserve"> the water shortages caused by overall drought conditions</w:t>
      </w:r>
      <w:r w:rsidR="00124E6B">
        <w:t xml:space="preserve"> (or by the composite drought conditions considering each of the sources)</w:t>
      </w:r>
      <w:r>
        <w:t xml:space="preserve">. To obtain such indicator, it is essential to identify the different water supply sources, develop indicators that </w:t>
      </w:r>
      <w:r w:rsidR="00124E6B">
        <w:t>estimate</w:t>
      </w:r>
      <w:r>
        <w:t xml:space="preserve"> how much water is available from each source, but also to explicitly account for management decisions. For instance, in many regions of California, groundwater serves as a backup source, so when less surface water is available, water users pump more groundwater—worsening groundwater drought status, but mitigating the lack of available supplies.</w:t>
      </w:r>
      <w:r w:rsidR="007E2B1B">
        <w:t xml:space="preserve"> These types of management decisions have to be explicitly considered in the methodology.</w:t>
      </w:r>
    </w:p>
    <w:p w14:paraId="263D9D96" w14:textId="24A1831F" w:rsidR="002E5F7B" w:rsidRDefault="00124E6B" w:rsidP="00977D16">
      <w:r>
        <w:t>As d</w:t>
      </w:r>
      <w:r w:rsidR="002E5F7B" w:rsidRPr="002E5F7B">
        <w:t xml:space="preserve">rought can be simply—but carefully—defined as “insufficient water to meet needs” </w:t>
      </w:r>
      <w:r>
        <w:fldChar w:fldCharType="begin"/>
      </w:r>
      <w:r>
        <w:instrText xml:space="preserve"> ADDIN ZOTERO_ITEM CSL_CITATION {"citationID":"cHAXM0PY","properties":{"formattedCitation":"(Redmond, 2002)","plainCitation":"(Redmond, 2002)","noteIndex":0},"citationItems":[{"id":16,"uris":["http://zotero.org/users/local/zvpmpIAu/items/7C5F9R98"],"itemData":{"id":16,"type":"article-journal","container-title":"Bulletin of the American Meteorological Society","ISSN":"0003-0007","issue":"8","journalAbbreviation":"Bulletin of the American Meteorological Society","note":"publisher: JSTOR","page":"1143-1147","title":"The depiction of drought: A commentary","volume":"83","author":[{"family":"Redmond","given":"Kelly T"}],"issued":{"date-parts":[["2002"]]}}}],"schema":"https://github.com/citation-style-language/schema/raw/master/csl-citation.json"} </w:instrText>
      </w:r>
      <w:r>
        <w:fldChar w:fldCharType="separate"/>
      </w:r>
      <w:r>
        <w:rPr>
          <w:noProof/>
        </w:rPr>
        <w:t>(Redmond, 2002)</w:t>
      </w:r>
      <w:r>
        <w:fldChar w:fldCharType="end"/>
      </w:r>
      <w:r>
        <w:t xml:space="preserve">, we base our drought indicator for users with complex </w:t>
      </w:r>
      <w:r w:rsidR="007E2B1B">
        <w:t xml:space="preserve">portfolios </w:t>
      </w:r>
      <w:r>
        <w:t>in the concept of water shortage or water deficit: the difference between demands and supplies</w:t>
      </w:r>
      <w:r w:rsidR="00AC2CC1">
        <w:t xml:space="preserve"> (</w:t>
      </w:r>
      <w:r w:rsidR="00AC2CC1">
        <w:fldChar w:fldCharType="begin"/>
      </w:r>
      <w:r w:rsidR="00AC2CC1">
        <w:instrText xml:space="preserve"> REF _Ref138523427 \h </w:instrText>
      </w:r>
      <w:r w:rsidR="00AC2CC1">
        <w:fldChar w:fldCharType="separate"/>
      </w:r>
      <w:r w:rsidR="001E28B5">
        <w:t xml:space="preserve">Equation </w:t>
      </w:r>
      <w:r w:rsidR="001E28B5">
        <w:rPr>
          <w:noProof/>
        </w:rPr>
        <w:t>1</w:t>
      </w:r>
      <w:r w:rsidR="00AC2CC1">
        <w:fldChar w:fldCharType="end"/>
      </w:r>
      <w:r w:rsidR="00AC2CC1">
        <w:t>).</w:t>
      </w:r>
      <w:r>
        <w:t xml:space="preserve"> </w:t>
      </w:r>
    </w:p>
    <w:p w14:paraId="0F461123" w14:textId="10F9A581" w:rsidR="00124E6B" w:rsidRDefault="00AC2CC1" w:rsidP="00AC2CC1">
      <w:pPr>
        <w:pStyle w:val="Caption"/>
        <w:tabs>
          <w:tab w:val="center" w:pos="5040"/>
        </w:tabs>
      </w:pPr>
      <w:bookmarkStart w:id="2" w:name="_Ref138523427"/>
      <w:r>
        <w:t xml:space="preserve">Equation </w:t>
      </w:r>
      <w:r w:rsidR="006276AB">
        <w:rPr>
          <w:noProof/>
        </w:rPr>
        <w:fldChar w:fldCharType="begin"/>
      </w:r>
      <w:r w:rsidR="006276AB">
        <w:rPr>
          <w:noProof/>
        </w:rPr>
        <w:instrText xml:space="preserve"> SEQ Equation \* ARABIC </w:instrText>
      </w:r>
      <w:r w:rsidR="006276AB">
        <w:rPr>
          <w:noProof/>
        </w:rPr>
        <w:fldChar w:fldCharType="separate"/>
      </w:r>
      <w:r w:rsidR="001E28B5">
        <w:rPr>
          <w:noProof/>
        </w:rPr>
        <w:t>1</w:t>
      </w:r>
      <w:r w:rsidR="006276AB">
        <w:rPr>
          <w:noProof/>
        </w:rPr>
        <w:fldChar w:fldCharType="end"/>
      </w:r>
      <w:bookmarkEnd w:id="2"/>
      <w:r>
        <w:tab/>
      </w:r>
      <m:oMath>
        <m:r>
          <m:rPr>
            <m:sty m:val="bi"/>
          </m:rPr>
          <w:rPr>
            <w:rFonts w:ascii="Cambria Math" w:hAnsi="Cambria Math"/>
          </w:rPr>
          <m:t>Water shortage=Expected demand-Expected supply</m:t>
        </m:r>
      </m:oMath>
    </w:p>
    <w:p w14:paraId="088A60FE" w14:textId="412B431A" w:rsidR="00313294" w:rsidRDefault="00313294" w:rsidP="00977D16">
      <w:r>
        <w:t>Assuming that agricultural acreage and outdoor</w:t>
      </w:r>
      <w:r w:rsidR="001F0754">
        <w:t xml:space="preserve"> use</w:t>
      </w:r>
      <w:r w:rsidR="002F7F31">
        <w:t xml:space="preserve"> in cities</w:t>
      </w:r>
      <w:r>
        <w:t xml:space="preserve"> is constant, changes in potential evapotranspiration are going to lead to different expected demands each year</w:t>
      </w:r>
      <w:r w:rsidR="00627948">
        <w:t>—or conversely, the same amount of water can result in varying irrigated acreage</w:t>
      </w:r>
      <w:r>
        <w:t>. So</w:t>
      </w:r>
      <w:r w:rsidR="006F4E6D">
        <w:t>, we assume these change in demands might increase or reduce shortages—</w:t>
      </w:r>
      <w:r w:rsidR="006F4E6D" w:rsidRPr="00627948">
        <w:rPr>
          <w:i/>
        </w:rPr>
        <w:t>ceteris paribus</w:t>
      </w:r>
      <w:r w:rsidR="006F4E6D">
        <w:t>. Therefore, we use the historical series of evapotranspiration to obtain the demand anomaly (obtained as the relative change in annual demands), that we can apply later to the average demands</w:t>
      </w:r>
      <w:r w:rsidR="001F0754">
        <w:t xml:space="preserve"> to obtain the expected demand</w:t>
      </w:r>
      <w:r w:rsidR="006F4E6D">
        <w:t xml:space="preserve"> (</w:t>
      </w:r>
      <w:r w:rsidR="006F4E6D">
        <w:fldChar w:fldCharType="begin"/>
      </w:r>
      <w:r w:rsidR="006F4E6D">
        <w:instrText xml:space="preserve"> REF _Ref138581432 \h </w:instrText>
      </w:r>
      <w:r w:rsidR="006F4E6D">
        <w:fldChar w:fldCharType="separate"/>
      </w:r>
      <w:r w:rsidR="001E28B5">
        <w:t xml:space="preserve">Equation </w:t>
      </w:r>
      <w:r w:rsidR="001E28B5">
        <w:rPr>
          <w:noProof/>
        </w:rPr>
        <w:t>2</w:t>
      </w:r>
      <w:r w:rsidR="006F4E6D">
        <w:fldChar w:fldCharType="end"/>
      </w:r>
      <w:r w:rsidR="006F4E6D">
        <w:t>).</w:t>
      </w:r>
    </w:p>
    <w:p w14:paraId="0F1237BE" w14:textId="20DFCD33" w:rsidR="006F4E6D" w:rsidRDefault="006F4E6D" w:rsidP="006F4E6D">
      <w:pPr>
        <w:pStyle w:val="Caption"/>
        <w:tabs>
          <w:tab w:val="center" w:pos="5040"/>
        </w:tabs>
      </w:pPr>
      <w:bookmarkStart w:id="3" w:name="_Ref138581432"/>
      <w:bookmarkStart w:id="4" w:name="OLE_LINK12"/>
      <w:r>
        <w:t xml:space="preserve">Equation </w:t>
      </w:r>
      <w:r>
        <w:rPr>
          <w:noProof/>
        </w:rPr>
        <w:fldChar w:fldCharType="begin"/>
      </w:r>
      <w:r>
        <w:rPr>
          <w:noProof/>
        </w:rPr>
        <w:instrText xml:space="preserve"> SEQ Equation \* ARABIC </w:instrText>
      </w:r>
      <w:r>
        <w:rPr>
          <w:noProof/>
        </w:rPr>
        <w:fldChar w:fldCharType="separate"/>
      </w:r>
      <w:r w:rsidR="001E28B5">
        <w:rPr>
          <w:noProof/>
        </w:rPr>
        <w:t>2</w:t>
      </w:r>
      <w:r>
        <w:rPr>
          <w:noProof/>
        </w:rPr>
        <w:fldChar w:fldCharType="end"/>
      </w:r>
      <w:bookmarkEnd w:id="3"/>
      <w:r>
        <w:tab/>
      </w:r>
      <m:oMath>
        <m:r>
          <m:rPr>
            <m:sty m:val="bi"/>
          </m:rPr>
          <w:rPr>
            <w:rFonts w:ascii="Cambria Math" w:hAnsi="Cambria Math"/>
          </w:rPr>
          <m:t>Expected demand=Average demand ∙Demand anomaly</m:t>
        </m:r>
      </m:oMath>
    </w:p>
    <w:bookmarkEnd w:id="4"/>
    <w:p w14:paraId="116832C5" w14:textId="77777777" w:rsidR="006417ED" w:rsidRDefault="006417ED">
      <w:pPr>
        <w:spacing w:after="0"/>
      </w:pPr>
      <w:r>
        <w:br w:type="page"/>
      </w:r>
    </w:p>
    <w:p w14:paraId="20021855" w14:textId="5892C23A" w:rsidR="00A704CF" w:rsidRDefault="00335BBA" w:rsidP="00977D16">
      <w:r>
        <w:lastRenderedPageBreak/>
        <w:t>Then</w:t>
      </w:r>
      <w:r w:rsidR="007E2B1B">
        <w:t>, the expected supply can be obtained as the sum of all the supplies from different sources</w:t>
      </w:r>
      <w:r w:rsidR="00A704CF">
        <w:t xml:space="preserve"> (</w:t>
      </w:r>
      <w:r w:rsidR="006F4E6D">
        <w:fldChar w:fldCharType="begin"/>
      </w:r>
      <w:r w:rsidR="006F4E6D">
        <w:instrText xml:space="preserve"> REF _Ref138581472 \h </w:instrText>
      </w:r>
      <w:r w:rsidR="006F4E6D">
        <w:fldChar w:fldCharType="separate"/>
      </w:r>
      <w:r w:rsidR="001E28B5">
        <w:t xml:space="preserve">Equation </w:t>
      </w:r>
      <w:r w:rsidR="001E28B5">
        <w:rPr>
          <w:noProof/>
        </w:rPr>
        <w:t>3</w:t>
      </w:r>
      <w:r w:rsidR="006F4E6D">
        <w:fldChar w:fldCharType="end"/>
      </w:r>
      <w:r w:rsidR="00A704CF">
        <w:t>)</w:t>
      </w:r>
      <w:r w:rsidR="007E2B1B">
        <w:t>.</w:t>
      </w:r>
    </w:p>
    <w:p w14:paraId="1EABC28C" w14:textId="29A2A0CE" w:rsidR="00A704CF" w:rsidRDefault="00A704CF" w:rsidP="00A704CF">
      <w:pPr>
        <w:pStyle w:val="Caption"/>
        <w:tabs>
          <w:tab w:val="center" w:pos="5040"/>
        </w:tabs>
      </w:pPr>
      <w:bookmarkStart w:id="5" w:name="_Ref138581472"/>
      <w:r>
        <w:t xml:space="preserve">Equation </w:t>
      </w:r>
      <w:r>
        <w:rPr>
          <w:noProof/>
        </w:rPr>
        <w:fldChar w:fldCharType="begin"/>
      </w:r>
      <w:r>
        <w:rPr>
          <w:noProof/>
        </w:rPr>
        <w:instrText xml:space="preserve"> SEQ Equation \* ARABIC </w:instrText>
      </w:r>
      <w:r>
        <w:rPr>
          <w:noProof/>
        </w:rPr>
        <w:fldChar w:fldCharType="separate"/>
      </w:r>
      <w:r w:rsidR="001E28B5">
        <w:rPr>
          <w:noProof/>
        </w:rPr>
        <w:t>3</w:t>
      </w:r>
      <w:r>
        <w:rPr>
          <w:noProof/>
        </w:rPr>
        <w:fldChar w:fldCharType="end"/>
      </w:r>
      <w:bookmarkEnd w:id="5"/>
      <w:r>
        <w:tab/>
      </w:r>
      <m:oMath>
        <m:r>
          <m:rPr>
            <m:sty m:val="bi"/>
          </m:rPr>
          <w:rPr>
            <w:rFonts w:ascii="Cambria Math" w:hAnsi="Cambria Math"/>
          </w:rPr>
          <m:t>Expected supply= Supply source 1+Supply source 2+Supply source 3…</m:t>
        </m:r>
      </m:oMath>
    </w:p>
    <w:p w14:paraId="47BC5B8B" w14:textId="772D8551" w:rsidR="00A704CF" w:rsidRDefault="006F4E6D" w:rsidP="00977D16">
      <w:r>
        <w:t>To estimate the supply from each source we</w:t>
      </w:r>
      <w:r w:rsidR="00A704CF">
        <w:t xml:space="preserve"> use the </w:t>
      </w:r>
      <w:r w:rsidR="007E2B1B">
        <w:t xml:space="preserve">indicators defined in the document </w:t>
      </w:r>
      <w:r w:rsidR="00A704CF">
        <w:t>“</w:t>
      </w:r>
      <w:r w:rsidR="007E2B1B" w:rsidRPr="001F0754">
        <w:rPr>
          <w:i/>
        </w:rPr>
        <w:t>Methodology 1. User-oriented</w:t>
      </w:r>
      <w:r w:rsidR="00A704CF" w:rsidRPr="001F0754">
        <w:rPr>
          <w:i/>
        </w:rPr>
        <w:t xml:space="preserve"> drought indicators in California</w:t>
      </w:r>
      <w:r w:rsidR="00A704CF">
        <w:t>”</w:t>
      </w:r>
      <w:r>
        <w:t xml:space="preserve">. As shown </w:t>
      </w:r>
      <w:r w:rsidR="001F0754">
        <w:t>in that document</w:t>
      </w:r>
      <w:r>
        <w:t>, we can</w:t>
      </w:r>
      <w:r w:rsidR="00A704CF">
        <w:t xml:space="preserve"> estimate surface water supplies from local sources and from imports</w:t>
      </w:r>
      <w:r>
        <w:t xml:space="preserve"> using the Surface Water Drought Indicator (SWDI)</w:t>
      </w:r>
      <w:r w:rsidR="00A704CF">
        <w:t>, as well as groundwater supplies. As we will show in the case studies below, we need to assign some priority to the water supply sources (usually surface supplies would be used first), and also define how the supply sources that are used as back up source adapt to the primary sources—in our case, how groundwater is used to mitigate surface water shortages.</w:t>
      </w:r>
      <w:r>
        <w:t xml:space="preserve"> Specifically, to obtain </w:t>
      </w:r>
      <w:r w:rsidR="00335BBA">
        <w:t>groundwater supplies we calibrate the model by using actual surface supplies (the less surface supplies the more groundwater is needed to mitigate the shortage) and the groundwater indicator.</w:t>
      </w:r>
    </w:p>
    <w:p w14:paraId="5539DCD4" w14:textId="0359D1F3" w:rsidR="00A704CF" w:rsidRDefault="006F4E6D" w:rsidP="00977D16">
      <w:r>
        <w:t>Fin</w:t>
      </w:r>
      <w:r w:rsidR="00335BBA">
        <w:t xml:space="preserve">ally, if groundwater pumping is not limited, we are not going to see any supply shortage, and it is not clear how drought is limiting water availability. In California, this has happened in many basins resulting in significant groundwater depletion, which caused wells to go dry, land subsidence and other important problems </w:t>
      </w:r>
      <w:r w:rsidR="00335BBA">
        <w:fldChar w:fldCharType="begin"/>
      </w:r>
      <w:r w:rsidR="00335BBA">
        <w:instrText xml:space="preserve"> ADDIN ZOTERO_ITEM CSL_CITATION {"citationID":"TYdqSDdl","properties":{"formattedCitation":"(Hanak et al., 2019)","plainCitation":"(Hanak et al., 2019)","noteIndex":0},"citationItems":[{"id":8,"uris":["http://zotero.org/users/local/zvpmpIAu/items/IAUXV5PV"],"itemData":{"id":8,"type":"article-journal","container-title":"Public Policy Institute of California","journalAbbreviation":"Public Policy Institute of California","title":"Water and the future of the San Joaquin Valley","volume":"100","author":[{"family":"Hanak","given":"Ellen"},{"family":"Escriva-Bou","given":"Alvar"},{"family":"Gray","given":"Brian"},{"family":"Green","given":"Sarge"},{"family":"Harter","given":"Thomas"},{"family":"Jezdimirovic","given":"Jelena"},{"family":"Lund","given":"Jay"},{"family":"Medellín-Azuara","given":"Josué"},{"family":"Moyle","given":"Peter"},{"family":"Seavy","given":"Nathaniel"}],"issued":{"date-parts":[["2019"]]}}}],"schema":"https://github.com/citation-style-language/schema/raw/master/csl-citation.json"} </w:instrText>
      </w:r>
      <w:r w:rsidR="00335BBA">
        <w:fldChar w:fldCharType="separate"/>
      </w:r>
      <w:r w:rsidR="00335BBA">
        <w:rPr>
          <w:noProof/>
        </w:rPr>
        <w:t>(Hanak et al., 2019)</w:t>
      </w:r>
      <w:r w:rsidR="00335BBA">
        <w:fldChar w:fldCharType="end"/>
      </w:r>
      <w:r w:rsidR="00335BBA">
        <w:t>.</w:t>
      </w:r>
      <w:r w:rsidR="001F0754">
        <w:t xml:space="preserve"> To account for this fact, we obtain how much of the groundwater pumping is causing groundwater overdraft, and the unsustainable groundwater use will be added to the shortages. As we show below, we </w:t>
      </w:r>
      <w:r w:rsidR="00627948">
        <w:t>obtain a</w:t>
      </w:r>
      <w:r w:rsidR="001F0754">
        <w:t xml:space="preserve"> linear regression of annual pumping and groundwater level changes to obtain the “sustainable pumping”.</w:t>
      </w:r>
    </w:p>
    <w:p w14:paraId="49B48B68" w14:textId="234FDB0D" w:rsidR="000737A0" w:rsidRDefault="000737A0" w:rsidP="00977D16">
      <w:r>
        <w:t>Once we obtain estimated shortages, we can obtain a system drought indicator based on the probability of these shortages—using the same percentile-based approach we before</w:t>
      </w:r>
      <w:r w:rsidR="00C001AC">
        <w:t>.</w:t>
      </w:r>
    </w:p>
    <w:p w14:paraId="1FE4DD1B" w14:textId="10CEC030" w:rsidR="001F0754" w:rsidRDefault="001F0754" w:rsidP="00F315C3">
      <w:pPr>
        <w:pStyle w:val="Heading1"/>
      </w:pPr>
      <w:r>
        <w:t>System drought indicator for the San Joaquin River hydrologic region</w:t>
      </w:r>
    </w:p>
    <w:p w14:paraId="2808A4D3" w14:textId="210307BA" w:rsidR="00627948" w:rsidRDefault="001F0754" w:rsidP="00627948">
      <w:r>
        <w:t xml:space="preserve">In this section we describe in more detail how we apply this methodology </w:t>
      </w:r>
      <w:r w:rsidR="000737A0">
        <w:t xml:space="preserve">to </w:t>
      </w:r>
      <w:r>
        <w:t>the San Joaquin River hydrologic region (SJR).</w:t>
      </w:r>
      <w:r w:rsidR="00627948">
        <w:t xml:space="preserve"> The SJR is located in central California (</w:t>
      </w:r>
      <w:r w:rsidR="00627948">
        <w:fldChar w:fldCharType="begin"/>
      </w:r>
      <w:r w:rsidR="00627948">
        <w:instrText xml:space="preserve"> REF _Ref138608244 \h </w:instrText>
      </w:r>
      <w:r w:rsidR="00627948">
        <w:fldChar w:fldCharType="separate"/>
      </w:r>
      <w:r w:rsidR="001E28B5" w:rsidRPr="002B398A">
        <w:t xml:space="preserve">Figure </w:t>
      </w:r>
      <w:r w:rsidR="001E28B5">
        <w:rPr>
          <w:noProof/>
        </w:rPr>
        <w:t>1</w:t>
      </w:r>
      <w:r w:rsidR="00627948">
        <w:fldChar w:fldCharType="end"/>
      </w:r>
      <w:r w:rsidR="00627948">
        <w:t>), and it’s one of the most important agricultural regions of the state.</w:t>
      </w:r>
    </w:p>
    <w:p w14:paraId="764DB386" w14:textId="306741D3" w:rsidR="00C001AC" w:rsidRDefault="00C001AC" w:rsidP="00627948">
      <w:commentRangeStart w:id="6"/>
      <w:r>
        <w:t>We first obtain the supply portfolio, and then we show what indicators we used…</w:t>
      </w:r>
      <w:commentRangeEnd w:id="6"/>
      <w:r>
        <w:rPr>
          <w:rStyle w:val="CommentReference"/>
        </w:rPr>
        <w:commentReference w:id="6"/>
      </w:r>
    </w:p>
    <w:p w14:paraId="324CFDE9" w14:textId="7565D63E" w:rsidR="00627948" w:rsidRPr="002B398A" w:rsidRDefault="00627948" w:rsidP="00627948">
      <w:pPr>
        <w:pStyle w:val="Caption"/>
      </w:pPr>
      <w:bookmarkStart w:id="7" w:name="_Ref138608244"/>
      <w:r w:rsidRPr="002B398A">
        <w:lastRenderedPageBreak/>
        <w:t xml:space="preserve">Figure </w:t>
      </w:r>
      <w:r w:rsidR="000054C6">
        <w:rPr>
          <w:noProof/>
        </w:rPr>
        <w:fldChar w:fldCharType="begin"/>
      </w:r>
      <w:r w:rsidR="000054C6">
        <w:rPr>
          <w:noProof/>
        </w:rPr>
        <w:instrText xml:space="preserve"> SEQ Figure \* ARABIC </w:instrText>
      </w:r>
      <w:r w:rsidR="000054C6">
        <w:rPr>
          <w:noProof/>
        </w:rPr>
        <w:fldChar w:fldCharType="separate"/>
      </w:r>
      <w:r w:rsidR="001E28B5">
        <w:rPr>
          <w:noProof/>
        </w:rPr>
        <w:t>1</w:t>
      </w:r>
      <w:r w:rsidR="000054C6">
        <w:rPr>
          <w:noProof/>
        </w:rPr>
        <w:fldChar w:fldCharType="end"/>
      </w:r>
      <w:bookmarkEnd w:id="7"/>
      <w:r>
        <w:t>: Localization of the San Joaquin River hydrologic region</w:t>
      </w:r>
    </w:p>
    <w:p w14:paraId="4EB59C1A" w14:textId="77777777" w:rsidR="00627948" w:rsidRDefault="00627948" w:rsidP="00627948">
      <w:r w:rsidRPr="00F74ECE">
        <w:rPr>
          <w:noProof/>
        </w:rPr>
        <w:drawing>
          <wp:inline distT="0" distB="0" distL="0" distR="0" wp14:anchorId="2F42589A" wp14:editId="1F4DCFFC">
            <wp:extent cx="3962400" cy="4295562"/>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95692" cy="4331654"/>
                    </a:xfrm>
                    <a:prstGeom prst="rect">
                      <a:avLst/>
                    </a:prstGeom>
                  </pic:spPr>
                </pic:pic>
              </a:graphicData>
            </a:graphic>
          </wp:inline>
        </w:drawing>
      </w:r>
    </w:p>
    <w:p w14:paraId="28325DB9" w14:textId="5AA9BFD3" w:rsidR="00627948" w:rsidRDefault="00A37016" w:rsidP="00627948">
      <w:pPr>
        <w:pStyle w:val="Caption"/>
        <w:spacing w:before="0"/>
      </w:pPr>
      <w:r>
        <w:t>Notes</w:t>
      </w:r>
      <w:r w:rsidR="00627948">
        <w:t xml:space="preserve">: </w:t>
      </w:r>
      <w:r w:rsidR="00627948" w:rsidRPr="00781F75">
        <w:rPr>
          <w:b w:val="0"/>
        </w:rPr>
        <w:t>California Department of Water Resources, California’s Groundwater Update 2013</w:t>
      </w:r>
    </w:p>
    <w:p w14:paraId="6B2F6ECD" w14:textId="77777777" w:rsidR="00C001AC" w:rsidRPr="00C6352C" w:rsidRDefault="00C001AC" w:rsidP="00C001AC">
      <w:pPr>
        <w:pStyle w:val="Heading2"/>
      </w:pPr>
      <w:r w:rsidRPr="00C6352C">
        <w:t>Water portfolio of the San Joaquin River hydrologic region</w:t>
      </w:r>
    </w:p>
    <w:p w14:paraId="6EA3051F" w14:textId="732B2F47" w:rsidR="00C001AC" w:rsidRDefault="00C001AC" w:rsidP="00C001AC">
      <w:r>
        <w:t xml:space="preserve">We use data from the California’s Department of Water Resources Water Data Portfolios </w:t>
      </w:r>
      <w:r>
        <w:fldChar w:fldCharType="begin"/>
      </w:r>
      <w:r w:rsidR="007A0EF8">
        <w:instrText xml:space="preserve"> ADDIN ZOTERO_ITEM CSL_CITATION {"citationID":"rxeW2VAE","properties":{"formattedCitation":"(California Department of Water Resources, n.d.)","plainCitation":"(California Department of Water Resources, n.d.)","noteIndex":0},"citationItems":[{"id":9,"uris":["http://zotero.org/users/local/zvpmpIAu/items/223ZPKSE"],"itemData":{"id":9,"type":"webpage","abstract":"The California Water Plan provides an accounting of all water that enters and leaves the state and how it is used and exchanged between the regions. This is important to all water planning activities. Water portfolio data provides information for comparison about how water uses and sources of supply can vary between wet, average, and dry hydrologic conditions for each of the California hydrologic regions.","language":"en","title":"Water Data Portfolios","URL":"https://water.ca.gov/Programs/California-Water-Plan/Water-Portfolios","author":[{"family":"California Department of Water Resources","given":""}],"accessed":{"date-parts":[["2023",6,22]]}}}],"schema":"https://github.com/citation-style-language/schema/raw/master/csl-citation.json"} </w:instrText>
      </w:r>
      <w:r>
        <w:fldChar w:fldCharType="separate"/>
      </w:r>
      <w:r>
        <w:rPr>
          <w:noProof/>
        </w:rPr>
        <w:t>(California Department of Water Resources, n.d.)</w:t>
      </w:r>
      <w:r>
        <w:fldChar w:fldCharType="end"/>
      </w:r>
      <w:r>
        <w:t xml:space="preserve"> to obtain the supply portfolio for the 2002-19 period.</w:t>
      </w:r>
      <w:r>
        <w:rPr>
          <w:rStyle w:val="FootnoteReference"/>
        </w:rPr>
        <w:footnoteReference w:id="1"/>
      </w:r>
      <w:r>
        <w:t xml:space="preserve"> The data provided by DWR focuses on the type of supply provider, differentiating between water supplied by local suppliers from local sources, federal supplies (the Central Valley Project, or CVP), state supplies (State Water Project, or SWP), groundwater pumping, and categories that are not relevant in the SJR</w:t>
      </w:r>
      <w:r w:rsidR="00487F80">
        <w:t xml:space="preserve"> (</w:t>
      </w:r>
      <w:r w:rsidR="00487F80">
        <w:fldChar w:fldCharType="begin"/>
      </w:r>
      <w:r w:rsidR="00487F80">
        <w:instrText xml:space="preserve"> REF _Ref138434049 \h </w:instrText>
      </w:r>
      <w:r w:rsidR="00487F80">
        <w:fldChar w:fldCharType="separate"/>
      </w:r>
      <w:r w:rsidR="001E28B5" w:rsidRPr="007962DB">
        <w:t xml:space="preserve">Figure </w:t>
      </w:r>
      <w:r w:rsidR="001E28B5">
        <w:rPr>
          <w:noProof/>
        </w:rPr>
        <w:t>2</w:t>
      </w:r>
      <w:r w:rsidR="00487F80">
        <w:fldChar w:fldCharType="end"/>
      </w:r>
      <w:r w:rsidR="00487F80">
        <w:t xml:space="preserve"> top panel)</w:t>
      </w:r>
      <w:r>
        <w:t>.</w:t>
      </w:r>
    </w:p>
    <w:p w14:paraId="15BAAF0D" w14:textId="5805ACD4" w:rsidR="00C001AC" w:rsidRDefault="00C001AC" w:rsidP="00C001AC">
      <w:r>
        <w:t xml:space="preserve">An important part of the CVP supplies and all of the SWP supplies in the valley come from exports from the Delta, which rely on water storage and flows not only from the SJR, but also importantly from the Sacramento River hydrologic region </w:t>
      </w:r>
      <w:r>
        <w:fldChar w:fldCharType="begin"/>
      </w:r>
      <w:r>
        <w:instrText xml:space="preserve"> ADDIN ZOTERO_ITEM CSL_CITATION {"citationID":"Q2b7a0b0","properties":{"formattedCitation":"(Gartrell et al., 2017)","plainCitation":"(Gartrell et al., 2017)","noteIndex":0},"citationItems":[{"id":13,"uris":["http://zotero.org/users/local/zvpmpIAu/items/ZN4QJQE5"],"itemData":{"id":13,"type":"article-journal","container-title":"Public Policy Institute of California","journalAbbreviation":"Public Policy Institute of California","title":"A new approach to accounting for environmental water","author":[{"family":"Gartrell","given":"Greg"},{"family":"Mount","given":"Jeffrey"},{"family":"Hanak","given":"Ellen"},{"family":"Gray","given":"Brian"}],"issued":{"date-parts":[["2017"]]}}}],"schema":"https://github.com/citation-style-language/schema/raw/master/csl-citation.json"} </w:instrText>
      </w:r>
      <w:r>
        <w:fldChar w:fldCharType="separate"/>
      </w:r>
      <w:r>
        <w:rPr>
          <w:noProof/>
        </w:rPr>
        <w:t>(Gartrell et al., 2017)</w:t>
      </w:r>
      <w:r>
        <w:fldChar w:fldCharType="end"/>
      </w:r>
      <w:r>
        <w:t xml:space="preserve">. But some CVP supplies also come from local reservoirs. Therefore, we used additional data </w:t>
      </w:r>
      <w:r w:rsidR="00487F80">
        <w:t xml:space="preserve">for </w:t>
      </w:r>
      <w:hyperlink r:id="rId13" w:history="1">
        <w:r w:rsidR="00487F80" w:rsidRPr="00487F80">
          <w:rPr>
            <w:rStyle w:val="Hyperlink"/>
          </w:rPr>
          <w:t xml:space="preserve">CVP deliveries </w:t>
        </w:r>
        <w:r w:rsidRPr="00487F80">
          <w:rPr>
            <w:rStyle w:val="Hyperlink"/>
          </w:rPr>
          <w:t xml:space="preserve">from </w:t>
        </w:r>
        <w:r w:rsidR="00487F80" w:rsidRPr="00487F80">
          <w:rPr>
            <w:rStyle w:val="Hyperlink"/>
          </w:rPr>
          <w:t>the USBR</w:t>
        </w:r>
      </w:hyperlink>
      <w:r w:rsidR="00487F80">
        <w:t xml:space="preserve"> </w:t>
      </w:r>
      <w:r>
        <w:t>to separate</w:t>
      </w:r>
      <w:r w:rsidR="0082273F">
        <w:t xml:space="preserve"> DWR’s</w:t>
      </w:r>
      <w:r>
        <w:t xml:space="preserve"> federal sources </w:t>
      </w:r>
      <w:r w:rsidR="00487F80">
        <w:t>imported through the Delta from local sources (</w:t>
      </w:r>
      <w:r w:rsidR="00487F80">
        <w:fldChar w:fldCharType="begin"/>
      </w:r>
      <w:r w:rsidR="00487F80">
        <w:instrText xml:space="preserve"> REF _Ref138434049 \h </w:instrText>
      </w:r>
      <w:r w:rsidR="00487F80">
        <w:fldChar w:fldCharType="separate"/>
      </w:r>
      <w:r w:rsidR="001E28B5" w:rsidRPr="007962DB">
        <w:t xml:space="preserve">Figure </w:t>
      </w:r>
      <w:r w:rsidR="001E28B5">
        <w:rPr>
          <w:noProof/>
        </w:rPr>
        <w:t>2</w:t>
      </w:r>
      <w:r w:rsidR="00487F80">
        <w:fldChar w:fldCharType="end"/>
      </w:r>
      <w:r w:rsidR="00487F80">
        <w:t xml:space="preserve"> bottom panel).</w:t>
      </w:r>
    </w:p>
    <w:p w14:paraId="7F48B9C7" w14:textId="77777777" w:rsidR="00C001AC" w:rsidRDefault="00C001AC" w:rsidP="00C001AC"/>
    <w:p w14:paraId="240C05B3" w14:textId="7BC28D77" w:rsidR="00C001AC" w:rsidRPr="007962DB" w:rsidRDefault="00C001AC" w:rsidP="00C001AC">
      <w:pPr>
        <w:pStyle w:val="Caption"/>
      </w:pPr>
      <w:bookmarkStart w:id="8" w:name="_Ref138434049"/>
      <w:bookmarkStart w:id="9" w:name="OLE_LINK1"/>
      <w:bookmarkStart w:id="10" w:name="OLE_LINK2"/>
      <w:r w:rsidRPr="007962DB">
        <w:lastRenderedPageBreak/>
        <w:t xml:space="preserve">Figure </w:t>
      </w:r>
      <w:r w:rsidR="000054C6">
        <w:rPr>
          <w:noProof/>
        </w:rPr>
        <w:fldChar w:fldCharType="begin"/>
      </w:r>
      <w:r w:rsidR="000054C6">
        <w:rPr>
          <w:noProof/>
        </w:rPr>
        <w:instrText xml:space="preserve"> SEQ Figure \* ARABIC </w:instrText>
      </w:r>
      <w:r w:rsidR="000054C6">
        <w:rPr>
          <w:noProof/>
        </w:rPr>
        <w:fldChar w:fldCharType="separate"/>
      </w:r>
      <w:r w:rsidR="001E28B5">
        <w:rPr>
          <w:noProof/>
        </w:rPr>
        <w:t>2</w:t>
      </w:r>
      <w:r w:rsidR="000054C6">
        <w:rPr>
          <w:noProof/>
        </w:rPr>
        <w:fldChar w:fldCharType="end"/>
      </w:r>
      <w:bookmarkEnd w:id="8"/>
      <w:r w:rsidRPr="007962DB">
        <w:t xml:space="preserve">. </w:t>
      </w:r>
      <w:r>
        <w:t>Water supply portfolio by supply provider (top panel) and by water source (bottom panel) for the San Joaquin River hydrologic region</w:t>
      </w:r>
    </w:p>
    <w:p w14:paraId="7C4367FC" w14:textId="77777777" w:rsidR="00C001AC" w:rsidRDefault="00C001AC" w:rsidP="00C001AC">
      <w:r>
        <w:rPr>
          <w:noProof/>
        </w:rPr>
        <w:drawing>
          <wp:inline distT="0" distB="0" distL="0" distR="0" wp14:anchorId="1A9B3491" wp14:editId="3D4A5631">
            <wp:extent cx="5943600" cy="2728595"/>
            <wp:effectExtent l="0" t="0" r="0" b="1905"/>
            <wp:docPr id="8" name="Chart 8">
              <a:extLst xmlns:a="http://schemas.openxmlformats.org/drawingml/2006/main">
                <a:ext uri="{FF2B5EF4-FFF2-40B4-BE49-F238E27FC236}">
                  <a16:creationId xmlns:a16="http://schemas.microsoft.com/office/drawing/2014/main" id="{1B73F6F4-0896-4848-B9B2-C4A72BAB28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40F92515" w14:textId="77777777" w:rsidR="00C001AC" w:rsidRDefault="00C001AC" w:rsidP="00C001AC">
      <w:r>
        <w:rPr>
          <w:noProof/>
        </w:rPr>
        <w:drawing>
          <wp:inline distT="0" distB="0" distL="0" distR="0" wp14:anchorId="5A8418AE" wp14:editId="2B359FE8">
            <wp:extent cx="5943600" cy="2728595"/>
            <wp:effectExtent l="0" t="0" r="0" b="1905"/>
            <wp:docPr id="9" name="Chart 9">
              <a:extLst xmlns:a="http://schemas.openxmlformats.org/drawingml/2006/main">
                <a:ext uri="{FF2B5EF4-FFF2-40B4-BE49-F238E27FC236}">
                  <a16:creationId xmlns:a16="http://schemas.microsoft.com/office/drawing/2014/main" id="{A73217D7-5EC5-924D-B042-9BB3C4AAF9A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1107E42" w14:textId="77777777" w:rsidR="00C001AC" w:rsidRDefault="00C001AC" w:rsidP="00C001AC">
      <w:pPr>
        <w:pStyle w:val="Caption"/>
        <w:spacing w:after="0"/>
      </w:pPr>
      <w:r>
        <w:t xml:space="preserve">Source: </w:t>
      </w:r>
      <w:r w:rsidRPr="002B398A">
        <w:rPr>
          <w:b w:val="0"/>
        </w:rPr>
        <w:t xml:space="preserve">Developed by the authors using </w:t>
      </w:r>
      <w:r>
        <w:rPr>
          <w:b w:val="0"/>
        </w:rPr>
        <w:t>data from DWR’s Water Data Portfolios</w:t>
      </w:r>
    </w:p>
    <w:p w14:paraId="60C86578" w14:textId="2AAC719C" w:rsidR="00C001AC" w:rsidRDefault="00C001AC" w:rsidP="00C001AC">
      <w:pPr>
        <w:pStyle w:val="Caption"/>
        <w:spacing w:before="0"/>
      </w:pPr>
      <w:r>
        <w:t xml:space="preserve">Notes: </w:t>
      </w:r>
      <w:r w:rsidR="00487F80">
        <w:rPr>
          <w:b w:val="0"/>
        </w:rPr>
        <w:t>Top panel: A</w:t>
      </w:r>
      <w:r>
        <w:rPr>
          <w:b w:val="0"/>
        </w:rPr>
        <w:t>s we only focus on direct supplies, we didn’t consider return flows and reuse. We also removed minor sources of water for the San Joaquin River hydrologic region. Local supplies refer to supplies developed by local utilities, federal to the Central Valley Project supplies including imports from the Delta and supplies from local sources in the valley, and SWP refers to the State Water project.</w:t>
      </w:r>
      <w:r w:rsidR="00487F80">
        <w:rPr>
          <w:b w:val="0"/>
        </w:rPr>
        <w:t xml:space="preserve"> Bottom panel: </w:t>
      </w:r>
      <w:r w:rsidR="0082273F">
        <w:rPr>
          <w:b w:val="0"/>
        </w:rPr>
        <w:t xml:space="preserve">Local sources include CVP </w:t>
      </w:r>
      <w:r w:rsidR="0002148B">
        <w:rPr>
          <w:b w:val="0"/>
        </w:rPr>
        <w:t>deliveries from the Madera Canal and Mil</w:t>
      </w:r>
      <w:r w:rsidR="009F7703">
        <w:rPr>
          <w:b w:val="0"/>
        </w:rPr>
        <w:t>l</w:t>
      </w:r>
      <w:r w:rsidR="0002148B">
        <w:rPr>
          <w:b w:val="0"/>
        </w:rPr>
        <w:t>erton Lake Branch, as well as deliveries from the Friant-Kern Canal, while imports include the remaining federal supplies plus the deliveries from the SWP.</w:t>
      </w:r>
    </w:p>
    <w:bookmarkEnd w:id="9"/>
    <w:bookmarkEnd w:id="10"/>
    <w:p w14:paraId="13FF2F41" w14:textId="0CDB11A9" w:rsidR="00487F80" w:rsidRDefault="00487F80" w:rsidP="00487F80">
      <w:r>
        <w:t xml:space="preserve">As </w:t>
      </w:r>
      <w:r>
        <w:fldChar w:fldCharType="begin"/>
      </w:r>
      <w:r>
        <w:instrText xml:space="preserve"> REF _Ref138434049 \h </w:instrText>
      </w:r>
      <w:r>
        <w:fldChar w:fldCharType="separate"/>
      </w:r>
      <w:r w:rsidR="001E28B5" w:rsidRPr="007962DB">
        <w:t xml:space="preserve">Figure </w:t>
      </w:r>
      <w:r w:rsidR="001E28B5">
        <w:rPr>
          <w:noProof/>
        </w:rPr>
        <w:t>2</w:t>
      </w:r>
      <w:r>
        <w:fldChar w:fldCharType="end"/>
      </w:r>
      <w:r>
        <w:t xml:space="preserve"> shows, total supplies vary significantly across years. The variability in total supplies comes especially from three different factors. First, during wet years (like 2011 or 2019) water availability in soils during the growing season increase, decreasing demands from external supplies. Second, higher temperatures (and other effects) increase evapotranspiration, raising </w:t>
      </w:r>
      <w:r>
        <w:lastRenderedPageBreak/>
        <w:t>water demands. Climate change is making this effect more and more important recently, although there is still some interannual variability.</w:t>
      </w:r>
      <w:r w:rsidR="0002148B">
        <w:t xml:space="preserve"> The assessment of the demand anomalies is trying to capture these two effects at least partially.</w:t>
      </w:r>
      <w:r>
        <w:t xml:space="preserve"> Finally, </w:t>
      </w:r>
      <w:r w:rsidR="0002148B">
        <w:t xml:space="preserve">the third factor that affects overall supplies is that </w:t>
      </w:r>
      <w:r>
        <w:t xml:space="preserve">droughts reduce overall water availability, reducing total supplies. This was </w:t>
      </w:r>
      <w:r w:rsidR="0002148B">
        <w:t xml:space="preserve">especially </w:t>
      </w:r>
      <w:r>
        <w:t>relevant</w:t>
      </w:r>
      <w:r w:rsidR="0002148B">
        <w:t xml:space="preserve"> in 2014 and 2015.</w:t>
      </w:r>
    </w:p>
    <w:p w14:paraId="6E6D3438" w14:textId="0BEB5186" w:rsidR="0002148B" w:rsidRDefault="0002148B" w:rsidP="00487F80">
      <w:r>
        <w:t>But even more relevant the variability of total supplies is the variability for each of the supply sources. Surface supplies, both from local reservoirs and from imports, decline significantly during droughts—see 2014 and 2015 as the most relevant example—while groundwater pumping increases to mitigate these shortages.</w:t>
      </w:r>
    </w:p>
    <w:p w14:paraId="0161B1E4" w14:textId="316371D3" w:rsidR="0002148B" w:rsidRPr="00C6352C" w:rsidRDefault="0002148B" w:rsidP="0002148B">
      <w:pPr>
        <w:pStyle w:val="Heading2"/>
      </w:pPr>
      <w:r>
        <w:t xml:space="preserve">Estimating </w:t>
      </w:r>
      <w:r w:rsidR="006417ED">
        <w:t>supplies, demands and shortages</w:t>
      </w:r>
    </w:p>
    <w:p w14:paraId="2EF3A635" w14:textId="378E70B6" w:rsidR="00C6352C" w:rsidRDefault="00C6352C" w:rsidP="001F0754">
      <w:r>
        <w:t>As described earlier, we obtain estimated supplies from each water source based on the drought indicators, but we also account for changes in demands, and for unsustainable groundwater use to obtain the system indicator</w:t>
      </w:r>
      <w:r w:rsidR="000737A0">
        <w:t xml:space="preserve"> (</w:t>
      </w:r>
      <w:r w:rsidR="000737A0">
        <w:fldChar w:fldCharType="begin"/>
      </w:r>
      <w:r w:rsidR="000737A0">
        <w:instrText xml:space="preserve"> REF _Ref138607279 \h </w:instrText>
      </w:r>
      <w:r w:rsidR="000737A0">
        <w:fldChar w:fldCharType="separate"/>
      </w:r>
      <w:r w:rsidR="001E28B5" w:rsidRPr="007962DB">
        <w:t xml:space="preserve">Figure </w:t>
      </w:r>
      <w:r w:rsidR="001E28B5">
        <w:rPr>
          <w:noProof/>
        </w:rPr>
        <w:t>3</w:t>
      </w:r>
      <w:r w:rsidR="000737A0">
        <w:fldChar w:fldCharType="end"/>
      </w:r>
      <w:r w:rsidR="000737A0">
        <w:t>)</w:t>
      </w:r>
      <w:r>
        <w:t>.</w:t>
      </w:r>
    </w:p>
    <w:p w14:paraId="7D7AAF59" w14:textId="3B89EAD9" w:rsidR="00C6352C" w:rsidRPr="007962DB" w:rsidRDefault="00C6352C" w:rsidP="00C6352C">
      <w:pPr>
        <w:pStyle w:val="Caption"/>
      </w:pPr>
      <w:bookmarkStart w:id="11" w:name="_Ref138607279"/>
      <w:r w:rsidRPr="007962DB">
        <w:t xml:space="preserve">Figure </w:t>
      </w:r>
      <w:r w:rsidR="000054C6">
        <w:rPr>
          <w:noProof/>
        </w:rPr>
        <w:fldChar w:fldCharType="begin"/>
      </w:r>
      <w:r w:rsidR="000054C6">
        <w:rPr>
          <w:noProof/>
        </w:rPr>
        <w:instrText xml:space="preserve"> SEQ Figure \* ARABIC </w:instrText>
      </w:r>
      <w:r w:rsidR="000054C6">
        <w:rPr>
          <w:noProof/>
        </w:rPr>
        <w:fldChar w:fldCharType="separate"/>
      </w:r>
      <w:r w:rsidR="001E28B5">
        <w:rPr>
          <w:noProof/>
        </w:rPr>
        <w:t>3</w:t>
      </w:r>
      <w:r w:rsidR="000054C6">
        <w:rPr>
          <w:noProof/>
        </w:rPr>
        <w:fldChar w:fldCharType="end"/>
      </w:r>
      <w:bookmarkEnd w:id="11"/>
      <w:r w:rsidRPr="007962DB">
        <w:t xml:space="preserve">. </w:t>
      </w:r>
      <w:r w:rsidR="000737A0">
        <w:t>Drought indicators used to obtain the system drought indicator for the San Joaquin River hydrologic region</w:t>
      </w:r>
    </w:p>
    <w:p w14:paraId="043F727E" w14:textId="0EBE6B45" w:rsidR="00C6352C" w:rsidRDefault="008F4FEF" w:rsidP="00C6352C">
      <w:r w:rsidRPr="008F4FEF">
        <w:rPr>
          <w:noProof/>
        </w:rPr>
        <w:drawing>
          <wp:inline distT="0" distB="0" distL="0" distR="0" wp14:anchorId="3A25EA4B" wp14:editId="1B674FDF">
            <wp:extent cx="5943600" cy="27197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19705"/>
                    </a:xfrm>
                    <a:prstGeom prst="rect">
                      <a:avLst/>
                    </a:prstGeom>
                  </pic:spPr>
                </pic:pic>
              </a:graphicData>
            </a:graphic>
          </wp:inline>
        </w:drawing>
      </w:r>
    </w:p>
    <w:p w14:paraId="2744897F" w14:textId="4ACDC079" w:rsidR="00C6352C" w:rsidRDefault="00A37016" w:rsidP="000737A0">
      <w:pPr>
        <w:pStyle w:val="Caption"/>
        <w:keepNext w:val="0"/>
        <w:spacing w:before="0"/>
      </w:pPr>
      <w:r>
        <w:t>Notes</w:t>
      </w:r>
      <w:r w:rsidR="00C6352C">
        <w:t xml:space="preserve">: </w:t>
      </w:r>
      <w:r w:rsidR="000737A0">
        <w:rPr>
          <w:b w:val="0"/>
        </w:rPr>
        <w:t>Developed by the authors</w:t>
      </w:r>
      <w:r w:rsidR="00C6352C">
        <w:rPr>
          <w:b w:val="0"/>
        </w:rPr>
        <w:t>.</w:t>
      </w:r>
    </w:p>
    <w:p w14:paraId="76E9530E" w14:textId="11D199A8" w:rsidR="004C762C" w:rsidRDefault="006417ED" w:rsidP="006417ED">
      <w:pPr>
        <w:pStyle w:val="Heading3"/>
      </w:pPr>
      <w:r>
        <w:t>Estimating supplies using drought indicators</w:t>
      </w:r>
    </w:p>
    <w:p w14:paraId="310070B6" w14:textId="3B7EFB72" w:rsidR="006417ED" w:rsidRDefault="006417ED" w:rsidP="006417ED">
      <w:pPr>
        <w:pStyle w:val="Heading4"/>
      </w:pPr>
      <w:r>
        <w:t>Local Surface Supplies</w:t>
      </w:r>
    </w:p>
    <w:p w14:paraId="271E570F" w14:textId="17D1D14F" w:rsidR="006417ED" w:rsidRDefault="006417ED" w:rsidP="006417ED">
      <w:r>
        <w:t>As we showed in the “</w:t>
      </w:r>
      <w:r w:rsidRPr="001F0754">
        <w:rPr>
          <w:i/>
        </w:rPr>
        <w:t>Methodology 1. User-oriented drought indicators in California</w:t>
      </w:r>
      <w:r>
        <w:t>”, surface supplies are correlated with the Surface Water Drought Indicator.</w:t>
      </w:r>
      <w:r w:rsidR="00256AB6">
        <w:t xml:space="preserve"> </w:t>
      </w:r>
      <w:r w:rsidR="00AA7167">
        <w:t xml:space="preserve">As </w:t>
      </w:r>
      <w:r w:rsidR="00AA7167">
        <w:fldChar w:fldCharType="begin"/>
      </w:r>
      <w:r w:rsidR="00AA7167">
        <w:instrText xml:space="preserve"> REF _Ref138622942 \h </w:instrText>
      </w:r>
      <w:r w:rsidR="00AA7167">
        <w:fldChar w:fldCharType="separate"/>
      </w:r>
      <w:r w:rsidR="001E28B5" w:rsidRPr="007962DB">
        <w:t xml:space="preserve">Figure </w:t>
      </w:r>
      <w:r w:rsidR="001E28B5">
        <w:rPr>
          <w:noProof/>
        </w:rPr>
        <w:t>4</w:t>
      </w:r>
      <w:r w:rsidR="00AA7167">
        <w:fldChar w:fldCharType="end"/>
      </w:r>
      <w:r w:rsidR="00AA7167">
        <w:t xml:space="preserve"> shows, the relationship is roughly linear for dryer years, while above the median (percentile </w:t>
      </w:r>
      <w:proofErr w:type="gramStart"/>
      <w:r w:rsidR="00AA7167">
        <w:t>=  0.5</w:t>
      </w:r>
      <w:proofErr w:type="gramEnd"/>
      <w:r w:rsidR="00AA7167">
        <w:t>) it plateaus, even declining a little for the wetter years. This might be explained because during wet years, precipitation directly helps maintaining soil moisture, reducing the need for additional irrigation in some parts of the year.</w:t>
      </w:r>
    </w:p>
    <w:p w14:paraId="211F62A3" w14:textId="77777777" w:rsidR="00AA7167" w:rsidRPr="006417ED" w:rsidRDefault="00AA7167" w:rsidP="006417ED"/>
    <w:p w14:paraId="1AB353E5" w14:textId="37712A6F" w:rsidR="00AA7167" w:rsidRPr="007962DB" w:rsidRDefault="00AA7167" w:rsidP="00AA7167">
      <w:pPr>
        <w:pStyle w:val="Caption"/>
      </w:pPr>
      <w:bookmarkStart w:id="12" w:name="_Ref138622942"/>
      <w:bookmarkStart w:id="13" w:name="OLE_LINK3"/>
      <w:bookmarkStart w:id="14" w:name="OLE_LINK4"/>
      <w:bookmarkStart w:id="15" w:name="OLE_LINK5"/>
      <w:r w:rsidRPr="007962DB">
        <w:lastRenderedPageBreak/>
        <w:t xml:space="preserve">Figure </w:t>
      </w:r>
      <w:r w:rsidR="000054C6">
        <w:rPr>
          <w:noProof/>
        </w:rPr>
        <w:fldChar w:fldCharType="begin"/>
      </w:r>
      <w:r w:rsidR="000054C6">
        <w:rPr>
          <w:noProof/>
        </w:rPr>
        <w:instrText xml:space="preserve"> SEQ Figure \* ARABIC </w:instrText>
      </w:r>
      <w:r w:rsidR="000054C6">
        <w:rPr>
          <w:noProof/>
        </w:rPr>
        <w:fldChar w:fldCharType="separate"/>
      </w:r>
      <w:r w:rsidR="001E28B5">
        <w:rPr>
          <w:noProof/>
        </w:rPr>
        <w:t>4</w:t>
      </w:r>
      <w:r w:rsidR="000054C6">
        <w:rPr>
          <w:noProof/>
        </w:rPr>
        <w:fldChar w:fldCharType="end"/>
      </w:r>
      <w:bookmarkEnd w:id="12"/>
      <w:r w:rsidRPr="007962DB">
        <w:t xml:space="preserve">. </w:t>
      </w:r>
      <w:r>
        <w:t>Relationship between local surface deliveries in the SJR and the Surface Water Drought Indicator</w:t>
      </w:r>
    </w:p>
    <w:p w14:paraId="42699CCE" w14:textId="310300E8" w:rsidR="00AA7167" w:rsidRDefault="00AA7167" w:rsidP="00AA7167">
      <w:r>
        <w:rPr>
          <w:noProof/>
        </w:rPr>
        <w:drawing>
          <wp:inline distT="0" distB="0" distL="0" distR="0" wp14:anchorId="5B46A011" wp14:editId="609F119C">
            <wp:extent cx="5630333" cy="2743200"/>
            <wp:effectExtent l="0" t="0" r="0" b="0"/>
            <wp:docPr id="1" name="Chart 1">
              <a:extLst xmlns:a="http://schemas.openxmlformats.org/drawingml/2006/main">
                <a:ext uri="{FF2B5EF4-FFF2-40B4-BE49-F238E27FC236}">
                  <a16:creationId xmlns:a16="http://schemas.microsoft.com/office/drawing/2014/main" id="{7A0BF295-6908-684C-B4C1-B725ECE914B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8B15D2E" w14:textId="1B4B1648" w:rsidR="00AA7167" w:rsidRDefault="00AA7167" w:rsidP="00AA7167">
      <w:pPr>
        <w:pStyle w:val="Caption"/>
        <w:spacing w:after="0"/>
      </w:pPr>
      <w:r>
        <w:t xml:space="preserve">Source: </w:t>
      </w:r>
      <w:r w:rsidRPr="002B398A">
        <w:rPr>
          <w:b w:val="0"/>
        </w:rPr>
        <w:t xml:space="preserve">Developed by the authors using </w:t>
      </w:r>
      <w:r>
        <w:rPr>
          <w:b w:val="0"/>
        </w:rPr>
        <w:t>the results of the SWDI and data from DWR’s Water Data Portfolios (updated with CVP data) for the local surface supplies. Data is for the water years 2002-19, excluding 2017.</w:t>
      </w:r>
    </w:p>
    <w:p w14:paraId="77509F73" w14:textId="3C0D00A8" w:rsidR="00AA7167" w:rsidRDefault="00AA7167" w:rsidP="00AA7167">
      <w:pPr>
        <w:pStyle w:val="Caption"/>
        <w:spacing w:before="0"/>
        <w:rPr>
          <w:b w:val="0"/>
        </w:rPr>
      </w:pPr>
      <w:r>
        <w:t xml:space="preserve">Notes: </w:t>
      </w:r>
      <w:r>
        <w:rPr>
          <w:b w:val="0"/>
        </w:rPr>
        <w:t>The x-axis (SWDI) shows the average of the monthly SWDI over the water year, while the y-axis presents the surface deliveries over the water year.</w:t>
      </w:r>
    </w:p>
    <w:bookmarkEnd w:id="13"/>
    <w:bookmarkEnd w:id="14"/>
    <w:bookmarkEnd w:id="15"/>
    <w:p w14:paraId="7B8F386F" w14:textId="53FD8942" w:rsidR="00CE0419" w:rsidRDefault="00AA7167" w:rsidP="00AA7167">
      <w:r>
        <w:t>Using this relationship, we adjusted a regression with two variables</w:t>
      </w:r>
      <w:r w:rsidR="00CE0419">
        <w:t>—SWDI and the logarithm of SWDI—that help fitting the non-linear relationship. For the 2002-19 period, we obtain a coefficient of determination</w:t>
      </w:r>
      <w:r w:rsidR="006276AB">
        <w:t xml:space="preserve"> for the local surface supplies</w:t>
      </w:r>
      <w:r w:rsidR="00CE0419">
        <w:t>, R</w:t>
      </w:r>
      <w:r w:rsidR="00CE0419">
        <w:rPr>
          <w:vertAlign w:val="superscript"/>
        </w:rPr>
        <w:t>2</w:t>
      </w:r>
      <w:r w:rsidR="00CE0419">
        <w:t>, of 0.76.</w:t>
      </w:r>
      <w:r w:rsidR="001E28B5">
        <w:t xml:space="preserve"> </w:t>
      </w:r>
    </w:p>
    <w:p w14:paraId="6C55C05D" w14:textId="1B406A6E" w:rsidR="0018265B" w:rsidRPr="007962DB" w:rsidRDefault="0018265B" w:rsidP="0018265B">
      <w:pPr>
        <w:pStyle w:val="Caption"/>
      </w:pPr>
      <w:r w:rsidRPr="007962DB">
        <w:t xml:space="preserve">Figure </w:t>
      </w:r>
      <w:r w:rsidR="000054C6">
        <w:rPr>
          <w:noProof/>
        </w:rPr>
        <w:fldChar w:fldCharType="begin"/>
      </w:r>
      <w:r w:rsidR="000054C6">
        <w:rPr>
          <w:noProof/>
        </w:rPr>
        <w:instrText xml:space="preserve"> SEQ Figure \* ARABIC </w:instrText>
      </w:r>
      <w:r w:rsidR="000054C6">
        <w:rPr>
          <w:noProof/>
        </w:rPr>
        <w:fldChar w:fldCharType="separate"/>
      </w:r>
      <w:r w:rsidR="001E28B5">
        <w:rPr>
          <w:noProof/>
        </w:rPr>
        <w:t>5</w:t>
      </w:r>
      <w:r w:rsidR="000054C6">
        <w:rPr>
          <w:noProof/>
        </w:rPr>
        <w:fldChar w:fldCharType="end"/>
      </w:r>
      <w:r w:rsidRPr="007962DB">
        <w:t xml:space="preserve">. </w:t>
      </w:r>
      <w:r w:rsidR="001E28B5">
        <w:t>Comparison of actual local surface deliveries and estimated local deliveries</w:t>
      </w:r>
    </w:p>
    <w:p w14:paraId="30C1A892" w14:textId="29C4CE7B" w:rsidR="0018265B" w:rsidRDefault="0018265B" w:rsidP="0018265B">
      <w:r>
        <w:rPr>
          <w:noProof/>
        </w:rPr>
        <w:drawing>
          <wp:inline distT="0" distB="0" distL="0" distR="0" wp14:anchorId="7E320AF6" wp14:editId="517381CF">
            <wp:extent cx="4572000" cy="2743200"/>
            <wp:effectExtent l="0" t="0" r="0" b="0"/>
            <wp:docPr id="17" name="Chart 17">
              <a:extLst xmlns:a="http://schemas.openxmlformats.org/drawingml/2006/main">
                <a:ext uri="{FF2B5EF4-FFF2-40B4-BE49-F238E27FC236}">
                  <a16:creationId xmlns:a16="http://schemas.microsoft.com/office/drawing/2014/main" id="{3C3ADCDC-F86C-2642-97FC-003B0325779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106CBB63" w14:textId="6F76443D" w:rsidR="0018265B" w:rsidRPr="005B3721" w:rsidRDefault="00A37016" w:rsidP="001E28B5">
      <w:pPr>
        <w:pStyle w:val="Caption"/>
        <w:spacing w:before="0"/>
        <w:rPr>
          <w:b w:val="0"/>
        </w:rPr>
      </w:pPr>
      <w:r>
        <w:t>Notes</w:t>
      </w:r>
      <w:r w:rsidR="0018265B">
        <w:t xml:space="preserve">: </w:t>
      </w:r>
      <w:r w:rsidR="0018265B" w:rsidRPr="005B3721">
        <w:rPr>
          <w:b w:val="0"/>
        </w:rPr>
        <w:t xml:space="preserve">Developed by the authors using the results of </w:t>
      </w:r>
      <w:r w:rsidR="001E28B5" w:rsidRPr="005B3721">
        <w:rPr>
          <w:b w:val="0"/>
        </w:rPr>
        <w:t>regression.</w:t>
      </w:r>
    </w:p>
    <w:p w14:paraId="091DB794" w14:textId="77777777" w:rsidR="0018265B" w:rsidRDefault="0018265B" w:rsidP="00AA7167"/>
    <w:p w14:paraId="43D22982" w14:textId="5562775D" w:rsidR="00CE0419" w:rsidRDefault="00CE0419" w:rsidP="00CE0419">
      <w:pPr>
        <w:pStyle w:val="Heading4"/>
      </w:pPr>
      <w:r>
        <w:lastRenderedPageBreak/>
        <w:t>Delta imports</w:t>
      </w:r>
    </w:p>
    <w:p w14:paraId="708F2C20" w14:textId="1D6E8AC2" w:rsidR="00CE0419" w:rsidRDefault="00CE0419" w:rsidP="00CE0419">
      <w:r>
        <w:t xml:space="preserve">Similarly, we correlate the deliveries from Delta imports with the SWDI of the Delta exporting basins. As </w:t>
      </w:r>
      <w:r>
        <w:fldChar w:fldCharType="begin"/>
      </w:r>
      <w:r>
        <w:instrText xml:space="preserve"> REF _Ref138623756 \h </w:instrText>
      </w:r>
      <w:r>
        <w:fldChar w:fldCharType="separate"/>
      </w:r>
      <w:r w:rsidR="001E28B5" w:rsidRPr="007962DB">
        <w:t xml:space="preserve">Figure </w:t>
      </w:r>
      <w:r w:rsidR="001E28B5">
        <w:rPr>
          <w:noProof/>
        </w:rPr>
        <w:t>6</w:t>
      </w:r>
      <w:r>
        <w:fldChar w:fldCharType="end"/>
      </w:r>
      <w:r>
        <w:t xml:space="preserve"> shows, the relationship is quite clear, although non-linear. The plateau can be explained in this case because of infrastructure constraints—there is only so much pumping </w:t>
      </w:r>
      <w:r w:rsidR="006276AB">
        <w:t xml:space="preserve">and conveyance </w:t>
      </w:r>
      <w:r>
        <w:t>capacity</w:t>
      </w:r>
      <w:r w:rsidR="006276AB">
        <w:t xml:space="preserve"> in the CVP and SWP.</w:t>
      </w:r>
    </w:p>
    <w:p w14:paraId="7E8FE661" w14:textId="49E887E5" w:rsidR="00CE0419" w:rsidRPr="007962DB" w:rsidRDefault="00CE0419" w:rsidP="00CE0419">
      <w:pPr>
        <w:pStyle w:val="Caption"/>
      </w:pPr>
      <w:bookmarkStart w:id="16" w:name="_Ref138623756"/>
      <w:r w:rsidRPr="007962DB">
        <w:t xml:space="preserve">Figure </w:t>
      </w:r>
      <w:r w:rsidR="000054C6">
        <w:rPr>
          <w:noProof/>
        </w:rPr>
        <w:fldChar w:fldCharType="begin"/>
      </w:r>
      <w:r w:rsidR="000054C6">
        <w:rPr>
          <w:noProof/>
        </w:rPr>
        <w:instrText xml:space="preserve"> SEQ Figure \* ARABIC </w:instrText>
      </w:r>
      <w:r w:rsidR="000054C6">
        <w:rPr>
          <w:noProof/>
        </w:rPr>
        <w:fldChar w:fldCharType="separate"/>
      </w:r>
      <w:r w:rsidR="001E28B5">
        <w:rPr>
          <w:noProof/>
        </w:rPr>
        <w:t>6</w:t>
      </w:r>
      <w:r w:rsidR="000054C6">
        <w:rPr>
          <w:noProof/>
        </w:rPr>
        <w:fldChar w:fldCharType="end"/>
      </w:r>
      <w:bookmarkEnd w:id="16"/>
      <w:r w:rsidRPr="007962DB">
        <w:t xml:space="preserve">. </w:t>
      </w:r>
      <w:r>
        <w:t>Relationship between Delta imports in the SJR and the Surface Water Drought Indicator of the Delta exporting basins</w:t>
      </w:r>
    </w:p>
    <w:p w14:paraId="71860980" w14:textId="0BD3ECEB" w:rsidR="00CE0419" w:rsidRDefault="00CE0419" w:rsidP="00CE0419">
      <w:r>
        <w:rPr>
          <w:noProof/>
        </w:rPr>
        <w:drawing>
          <wp:inline distT="0" distB="0" distL="0" distR="0" wp14:anchorId="5C34B54E" wp14:editId="5747D0DE">
            <wp:extent cx="4572000" cy="2743200"/>
            <wp:effectExtent l="0" t="0" r="0" b="0"/>
            <wp:docPr id="15" name="Chart 15">
              <a:extLst xmlns:a="http://schemas.openxmlformats.org/drawingml/2006/main">
                <a:ext uri="{FF2B5EF4-FFF2-40B4-BE49-F238E27FC236}">
                  <a16:creationId xmlns:a16="http://schemas.microsoft.com/office/drawing/2014/main" id="{3732EE9F-3D40-1A4C-9D33-9A56E95BFF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3E2773DA" w14:textId="63094351" w:rsidR="00CE0419" w:rsidRDefault="00CE0419" w:rsidP="00CE0419">
      <w:pPr>
        <w:pStyle w:val="Caption"/>
        <w:spacing w:after="0"/>
      </w:pPr>
      <w:r>
        <w:t xml:space="preserve">Source: </w:t>
      </w:r>
      <w:r w:rsidRPr="002B398A">
        <w:rPr>
          <w:b w:val="0"/>
        </w:rPr>
        <w:t xml:space="preserve">Developed by the authors using </w:t>
      </w:r>
      <w:r>
        <w:rPr>
          <w:b w:val="0"/>
        </w:rPr>
        <w:t>the results of the SWDI and data from DWR’s Water Data Portfolios (updated with CVP data) for Delta imports. Data is for the water years 2002-19, excluding 2017.</w:t>
      </w:r>
    </w:p>
    <w:p w14:paraId="0A9451E2" w14:textId="3486C388" w:rsidR="00CE0419" w:rsidRDefault="00CE0419" w:rsidP="00CE0419">
      <w:pPr>
        <w:pStyle w:val="Caption"/>
        <w:spacing w:before="0"/>
        <w:rPr>
          <w:b w:val="0"/>
        </w:rPr>
      </w:pPr>
      <w:r>
        <w:t xml:space="preserve">Notes: </w:t>
      </w:r>
      <w:r>
        <w:rPr>
          <w:b w:val="0"/>
        </w:rPr>
        <w:t>The x-axis (SWDI) shows the average of the monthly SWDI over the water year, while the y-axis presents the surface deliveries from Delta imports over the water year.</w:t>
      </w:r>
    </w:p>
    <w:p w14:paraId="4F34FDB2" w14:textId="3C3C7375" w:rsidR="001E28B5" w:rsidRDefault="001E28B5" w:rsidP="001E28B5">
      <w:r>
        <w:t>Analogously to the previous section, we adjusted a regression with two variables—SWDI of the exporting basins and the logarithm of SWDI of the exporting basins—that help fitting the non-linear relationship. For the 2002-19 period, we obtain a coefficient of determination for the deliveries from Delta imports, R</w:t>
      </w:r>
      <w:r>
        <w:rPr>
          <w:vertAlign w:val="superscript"/>
        </w:rPr>
        <w:t>2</w:t>
      </w:r>
      <w:r>
        <w:t xml:space="preserve">, of 0.77. </w:t>
      </w:r>
      <w:r>
        <w:fldChar w:fldCharType="begin"/>
      </w:r>
      <w:r>
        <w:instrText xml:space="preserve"> REF _Ref138675887 \h </w:instrText>
      </w:r>
      <w:r>
        <w:fldChar w:fldCharType="separate"/>
      </w:r>
      <w:r w:rsidRPr="007962DB">
        <w:t xml:space="preserve">Figure </w:t>
      </w:r>
      <w:r>
        <w:rPr>
          <w:noProof/>
        </w:rPr>
        <w:t>7</w:t>
      </w:r>
      <w:r>
        <w:fldChar w:fldCharType="end"/>
      </w:r>
      <w:r>
        <w:t xml:space="preserve"> shows the result of the adjustment.</w:t>
      </w:r>
    </w:p>
    <w:p w14:paraId="5FD365EE" w14:textId="7CB62BF5" w:rsidR="001E28B5" w:rsidRPr="007962DB" w:rsidRDefault="001E28B5" w:rsidP="001E28B5">
      <w:pPr>
        <w:pStyle w:val="Caption"/>
      </w:pPr>
      <w:bookmarkStart w:id="17" w:name="_Ref138675887"/>
      <w:bookmarkStart w:id="18" w:name="OLE_LINK6"/>
      <w:bookmarkStart w:id="19" w:name="OLE_LINK7"/>
      <w:r w:rsidRPr="007962DB">
        <w:lastRenderedPageBreak/>
        <w:t xml:space="preserve">Figure </w:t>
      </w:r>
      <w:r w:rsidR="000054C6">
        <w:rPr>
          <w:noProof/>
        </w:rPr>
        <w:fldChar w:fldCharType="begin"/>
      </w:r>
      <w:r w:rsidR="000054C6">
        <w:rPr>
          <w:noProof/>
        </w:rPr>
        <w:instrText xml:space="preserve"> SEQ Figure \* ARABIC </w:instrText>
      </w:r>
      <w:r w:rsidR="000054C6">
        <w:rPr>
          <w:noProof/>
        </w:rPr>
        <w:fldChar w:fldCharType="separate"/>
      </w:r>
      <w:r>
        <w:rPr>
          <w:noProof/>
        </w:rPr>
        <w:t>7</w:t>
      </w:r>
      <w:r w:rsidR="000054C6">
        <w:rPr>
          <w:noProof/>
        </w:rPr>
        <w:fldChar w:fldCharType="end"/>
      </w:r>
      <w:bookmarkEnd w:id="17"/>
      <w:r w:rsidRPr="007962DB">
        <w:t xml:space="preserve">. </w:t>
      </w:r>
      <w:r>
        <w:t>Comparison of actual deliveries from Delta imports and estimated deliveries from Delta imports</w:t>
      </w:r>
    </w:p>
    <w:p w14:paraId="4BFA47BB" w14:textId="22CC0C9A" w:rsidR="001E28B5" w:rsidRDefault="001E28B5" w:rsidP="001E28B5">
      <w:r>
        <w:rPr>
          <w:noProof/>
        </w:rPr>
        <w:drawing>
          <wp:inline distT="0" distB="0" distL="0" distR="0" wp14:anchorId="090C4238" wp14:editId="7924B959">
            <wp:extent cx="4572000" cy="2743200"/>
            <wp:effectExtent l="0" t="0" r="0" b="0"/>
            <wp:docPr id="19" name="Chart 19">
              <a:extLst xmlns:a="http://schemas.openxmlformats.org/drawingml/2006/main">
                <a:ext uri="{FF2B5EF4-FFF2-40B4-BE49-F238E27FC236}">
                  <a16:creationId xmlns:a16="http://schemas.microsoft.com/office/drawing/2014/main" id="{C9A87428-3B53-524D-BB1E-741BF4E1A70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5B9EBCD4" w14:textId="489EFB5C" w:rsidR="001E28B5" w:rsidRPr="005B3721" w:rsidRDefault="00A37016" w:rsidP="001E28B5">
      <w:pPr>
        <w:pStyle w:val="Caption"/>
        <w:spacing w:before="0"/>
        <w:rPr>
          <w:b w:val="0"/>
        </w:rPr>
      </w:pPr>
      <w:r>
        <w:t>Notes</w:t>
      </w:r>
      <w:r w:rsidR="001E28B5">
        <w:t xml:space="preserve">: </w:t>
      </w:r>
      <w:r w:rsidR="001E28B5" w:rsidRPr="005B3721">
        <w:rPr>
          <w:b w:val="0"/>
        </w:rPr>
        <w:t>Developed by the authors using the results of regression.</w:t>
      </w:r>
    </w:p>
    <w:bookmarkEnd w:id="18"/>
    <w:bookmarkEnd w:id="19"/>
    <w:p w14:paraId="1F157B76" w14:textId="1B4636BB" w:rsidR="006276AB" w:rsidRDefault="006276AB" w:rsidP="006276AB">
      <w:pPr>
        <w:pStyle w:val="Heading4"/>
      </w:pPr>
      <w:r>
        <w:t>Groundwater pumping</w:t>
      </w:r>
    </w:p>
    <w:p w14:paraId="1E6EAE5A" w14:textId="1436F24D" w:rsidR="0018265B" w:rsidRDefault="00042DA4" w:rsidP="006276AB">
      <w:r>
        <w:t xml:space="preserve">Groundwater pumping is used as a backup source in the SJR, </w:t>
      </w:r>
      <w:r w:rsidR="00C8009C">
        <w:t xml:space="preserve">so </w:t>
      </w:r>
      <w:r w:rsidR="0018265B">
        <w:t>while drought conditions can affect its use (for instance limiting pumping where groundwater declined affecting wells), actually it is used more during droughts to mitigate surface water shortages. Therefore, this management decision has to be considered.</w:t>
      </w:r>
      <w:r w:rsidR="009F7703">
        <w:t xml:space="preserve"> </w:t>
      </w:r>
    </w:p>
    <w:p w14:paraId="772351D0" w14:textId="057E0573" w:rsidR="009F7703" w:rsidRDefault="007B5B83">
      <w:pPr>
        <w:spacing w:after="0"/>
        <w:rPr>
          <w:b/>
          <w:i/>
          <w:iCs/>
          <w:color w:val="44546A" w:themeColor="text2"/>
          <w:sz w:val="20"/>
          <w:szCs w:val="18"/>
        </w:rPr>
      </w:pPr>
      <w:r>
        <w:fldChar w:fldCharType="begin"/>
      </w:r>
      <w:r>
        <w:instrText xml:space="preserve"> REF _Ref138676886 \h </w:instrText>
      </w:r>
      <w:r>
        <w:fldChar w:fldCharType="separate"/>
      </w:r>
      <w:r w:rsidRPr="007962DB">
        <w:t xml:space="preserve">Figure </w:t>
      </w:r>
      <w:r>
        <w:rPr>
          <w:noProof/>
        </w:rPr>
        <w:t>8</w:t>
      </w:r>
      <w:r>
        <w:fldChar w:fldCharType="end"/>
      </w:r>
      <w:r>
        <w:t xml:space="preserve"> shows the how especially during water with low surface deliveries, pumping increases significantly, although the relationship is less clear in “normal” years. To address this limitation, we also include the relationship between the groundwater pumping indicator—which represents the annual change in groundwater level, informing about the intensity of annual groundwater pumping—and annual groundwater deliveries. In this case, the relationship is not so clear for lower values of the groundwater pumping indicator, but it performs better in years with lesser changes of groundwater levels. </w:t>
      </w:r>
      <w:r w:rsidR="009F7703">
        <w:br w:type="page"/>
      </w:r>
    </w:p>
    <w:p w14:paraId="6C681360" w14:textId="4B3CBD17" w:rsidR="001E28B5" w:rsidRPr="007962DB" w:rsidRDefault="001E28B5" w:rsidP="001E28B5">
      <w:pPr>
        <w:pStyle w:val="Caption"/>
      </w:pPr>
      <w:bookmarkStart w:id="20" w:name="_Ref138676886"/>
      <w:r w:rsidRPr="007962DB">
        <w:lastRenderedPageBreak/>
        <w:t xml:space="preserve">Figure </w:t>
      </w:r>
      <w:r w:rsidR="000054C6">
        <w:rPr>
          <w:noProof/>
        </w:rPr>
        <w:fldChar w:fldCharType="begin"/>
      </w:r>
      <w:r w:rsidR="000054C6">
        <w:rPr>
          <w:noProof/>
        </w:rPr>
        <w:instrText xml:space="preserve"> SEQ Figure \* ARABIC </w:instrText>
      </w:r>
      <w:r w:rsidR="000054C6">
        <w:rPr>
          <w:noProof/>
        </w:rPr>
        <w:fldChar w:fldCharType="separate"/>
      </w:r>
      <w:r w:rsidR="007B5B83">
        <w:rPr>
          <w:noProof/>
        </w:rPr>
        <w:t>8</w:t>
      </w:r>
      <w:r w:rsidR="000054C6">
        <w:rPr>
          <w:noProof/>
        </w:rPr>
        <w:fldChar w:fldCharType="end"/>
      </w:r>
      <w:bookmarkEnd w:id="20"/>
      <w:r w:rsidRPr="007962DB">
        <w:t xml:space="preserve">. </w:t>
      </w:r>
      <w:r>
        <w:t xml:space="preserve">Relationship between </w:t>
      </w:r>
      <w:r w:rsidR="007B5B83">
        <w:t xml:space="preserve">surface deliveries and </w:t>
      </w:r>
      <w:r w:rsidR="009F7703">
        <w:t xml:space="preserve">groundwater pumping (top) and </w:t>
      </w:r>
      <w:r w:rsidR="007B5B83">
        <w:t>between the groundwater pumping indicator and groundwater pumping (bottom)</w:t>
      </w:r>
    </w:p>
    <w:p w14:paraId="6FBC3FA9" w14:textId="19DC1614" w:rsidR="001E28B5" w:rsidRDefault="009F7703" w:rsidP="001E28B5">
      <w:r>
        <w:rPr>
          <w:noProof/>
        </w:rPr>
        <w:drawing>
          <wp:inline distT="0" distB="0" distL="0" distR="0" wp14:anchorId="235BFFAA" wp14:editId="1C7238E6">
            <wp:extent cx="4749800" cy="2686050"/>
            <wp:effectExtent l="0" t="0" r="0" b="0"/>
            <wp:docPr id="21" name="Chart 21">
              <a:extLst xmlns:a="http://schemas.openxmlformats.org/drawingml/2006/main">
                <a:ext uri="{FF2B5EF4-FFF2-40B4-BE49-F238E27FC236}">
                  <a16:creationId xmlns:a16="http://schemas.microsoft.com/office/drawing/2014/main" id="{2881CBA0-3BA6-4E4C-83E2-D2FFA01A1FC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2B47C220" w14:textId="01C1EEE7" w:rsidR="009F7703" w:rsidRDefault="009F7703" w:rsidP="001E28B5">
      <w:r>
        <w:rPr>
          <w:noProof/>
        </w:rPr>
        <w:drawing>
          <wp:inline distT="0" distB="0" distL="0" distR="0" wp14:anchorId="07F6C141" wp14:editId="16759B99">
            <wp:extent cx="4749800" cy="2743200"/>
            <wp:effectExtent l="0" t="0" r="0" b="0"/>
            <wp:docPr id="22" name="Chart 22">
              <a:extLst xmlns:a="http://schemas.openxmlformats.org/drawingml/2006/main">
                <a:ext uri="{FF2B5EF4-FFF2-40B4-BE49-F238E27FC236}">
                  <a16:creationId xmlns:a16="http://schemas.microsoft.com/office/drawing/2014/main" id="{9F2554D7-9121-8A41-AC3C-BF70F2B7D2F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3E324EA" w14:textId="50DE7BA3" w:rsidR="001E28B5" w:rsidRDefault="001E28B5" w:rsidP="001E28B5">
      <w:pPr>
        <w:pStyle w:val="Caption"/>
        <w:spacing w:after="0"/>
      </w:pPr>
      <w:r>
        <w:t xml:space="preserve">Source: </w:t>
      </w:r>
      <w:r w:rsidRPr="002B398A">
        <w:rPr>
          <w:b w:val="0"/>
        </w:rPr>
        <w:t xml:space="preserve">Developed by the authors using </w:t>
      </w:r>
      <w:r>
        <w:rPr>
          <w:b w:val="0"/>
        </w:rPr>
        <w:t>the results of the DWR’s Water Data Portfolios</w:t>
      </w:r>
      <w:r w:rsidR="009F7703">
        <w:rPr>
          <w:b w:val="0"/>
        </w:rPr>
        <w:t xml:space="preserve"> and the Groundwater Pumping Indicator</w:t>
      </w:r>
      <w:r>
        <w:rPr>
          <w:b w:val="0"/>
        </w:rPr>
        <w:t>. Data is for the water years 2002-19, excluding 2017.</w:t>
      </w:r>
    </w:p>
    <w:p w14:paraId="5C0BFBD9" w14:textId="4487F4FA" w:rsidR="001E28B5" w:rsidRDefault="001E28B5" w:rsidP="001E28B5">
      <w:pPr>
        <w:pStyle w:val="Caption"/>
        <w:spacing w:before="0"/>
        <w:rPr>
          <w:b w:val="0"/>
        </w:rPr>
      </w:pPr>
      <w:r>
        <w:t xml:space="preserve">Notes: </w:t>
      </w:r>
      <w:r>
        <w:rPr>
          <w:b w:val="0"/>
        </w:rPr>
        <w:t>T</w:t>
      </w:r>
      <w:r w:rsidR="009F7703">
        <w:rPr>
          <w:b w:val="0"/>
        </w:rPr>
        <w:t>op panel: t</w:t>
      </w:r>
      <w:r>
        <w:rPr>
          <w:b w:val="0"/>
        </w:rPr>
        <w:t xml:space="preserve">he x-axis shows the </w:t>
      </w:r>
      <w:r w:rsidR="009F7703">
        <w:rPr>
          <w:b w:val="0"/>
        </w:rPr>
        <w:t>sum of the surface deliveries both from local sources and Delta imports. Bottom panel: the x-axis</w:t>
      </w:r>
      <w:r w:rsidR="007B5B83">
        <w:rPr>
          <w:b w:val="0"/>
        </w:rPr>
        <w:t xml:space="preserve"> shows the annual average of the monthly groundwater pumping indicator, which shows the annual change in groundwater levels, which is correlated with pumping intensity.</w:t>
      </w:r>
    </w:p>
    <w:p w14:paraId="59DF04B2" w14:textId="29FF75FD" w:rsidR="00AA7167" w:rsidRPr="00CE0419" w:rsidRDefault="007B5B83" w:rsidP="00AA7167">
      <w:r>
        <w:t>Therefore, for groundwater pumping we use a two-variable regression, including the estimated surface deliveries (sum of local surface supplies and Delta imports) obtained in the previous sections and the annual average of the groundwater pumping indicator. With these two variables, and for the 2002-19 period, we obtain a coefficient of determination for groundwater deliveries, R</w:t>
      </w:r>
      <w:r>
        <w:rPr>
          <w:vertAlign w:val="superscript"/>
        </w:rPr>
        <w:t>2</w:t>
      </w:r>
      <w:r>
        <w:t xml:space="preserve">, of 0.88. </w:t>
      </w:r>
      <w:r>
        <w:fldChar w:fldCharType="begin"/>
      </w:r>
      <w:r>
        <w:instrText xml:space="preserve"> REF _Ref138677592 \h </w:instrText>
      </w:r>
      <w:r>
        <w:fldChar w:fldCharType="separate"/>
      </w:r>
      <w:r w:rsidRPr="007962DB">
        <w:t xml:space="preserve">Figure </w:t>
      </w:r>
      <w:r>
        <w:rPr>
          <w:noProof/>
        </w:rPr>
        <w:t>9</w:t>
      </w:r>
      <w:r>
        <w:fldChar w:fldCharType="end"/>
      </w:r>
      <w:r>
        <w:t xml:space="preserve"> shows the result of the adjustment.</w:t>
      </w:r>
    </w:p>
    <w:p w14:paraId="0816BC2B" w14:textId="1EF86C8E" w:rsidR="007B5B83" w:rsidRPr="007962DB" w:rsidRDefault="007B5B83" w:rsidP="007B5B83">
      <w:pPr>
        <w:pStyle w:val="Caption"/>
      </w:pPr>
      <w:bookmarkStart w:id="21" w:name="_Ref138677592"/>
      <w:bookmarkStart w:id="22" w:name="OLE_LINK8"/>
      <w:bookmarkStart w:id="23" w:name="OLE_LINK9"/>
      <w:r w:rsidRPr="007962DB">
        <w:lastRenderedPageBreak/>
        <w:t xml:space="preserve">Figure </w:t>
      </w:r>
      <w:r w:rsidR="000054C6">
        <w:rPr>
          <w:noProof/>
        </w:rPr>
        <w:fldChar w:fldCharType="begin"/>
      </w:r>
      <w:r w:rsidR="000054C6">
        <w:rPr>
          <w:noProof/>
        </w:rPr>
        <w:instrText xml:space="preserve"> SEQ Figure \* ARABIC </w:instrText>
      </w:r>
      <w:r w:rsidR="000054C6">
        <w:rPr>
          <w:noProof/>
        </w:rPr>
        <w:fldChar w:fldCharType="separate"/>
      </w:r>
      <w:r>
        <w:rPr>
          <w:noProof/>
        </w:rPr>
        <w:t>9</w:t>
      </w:r>
      <w:r w:rsidR="000054C6">
        <w:rPr>
          <w:noProof/>
        </w:rPr>
        <w:fldChar w:fldCharType="end"/>
      </w:r>
      <w:bookmarkEnd w:id="21"/>
      <w:r w:rsidRPr="007962DB">
        <w:t xml:space="preserve">. </w:t>
      </w:r>
      <w:r>
        <w:t>Comparison of actual groundwater deliveries and estimated groundwater deliveries</w:t>
      </w:r>
    </w:p>
    <w:p w14:paraId="6B3D791D" w14:textId="69E98CD3" w:rsidR="007B5B83" w:rsidRDefault="007B5B83" w:rsidP="007B5B83">
      <w:r>
        <w:rPr>
          <w:noProof/>
        </w:rPr>
        <w:drawing>
          <wp:inline distT="0" distB="0" distL="0" distR="0" wp14:anchorId="3FCC70AA" wp14:editId="30F6D59B">
            <wp:extent cx="4572000" cy="2743200"/>
            <wp:effectExtent l="0" t="0" r="0" b="0"/>
            <wp:docPr id="24" name="Chart 24">
              <a:extLst xmlns:a="http://schemas.openxmlformats.org/drawingml/2006/main">
                <a:ext uri="{FF2B5EF4-FFF2-40B4-BE49-F238E27FC236}">
                  <a16:creationId xmlns:a16="http://schemas.microsoft.com/office/drawing/2014/main" id="{3FE7C5E8-DF57-CA44-B111-F7E1259AAE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305C2FEB" w14:textId="12920743" w:rsidR="007B5B83" w:rsidRDefault="00A37016" w:rsidP="007B5B83">
      <w:pPr>
        <w:pStyle w:val="Caption"/>
        <w:spacing w:before="0"/>
      </w:pPr>
      <w:r>
        <w:t>Notes</w:t>
      </w:r>
      <w:r w:rsidR="007B5B83">
        <w:t xml:space="preserve">: </w:t>
      </w:r>
      <w:r w:rsidR="007B5B83" w:rsidRPr="005B3721">
        <w:rPr>
          <w:b w:val="0"/>
        </w:rPr>
        <w:t>Developed by the authors using the results of regression.</w:t>
      </w:r>
    </w:p>
    <w:bookmarkEnd w:id="22"/>
    <w:bookmarkEnd w:id="23"/>
    <w:p w14:paraId="26DBE1B1" w14:textId="0E8AACA4" w:rsidR="00E248E4" w:rsidRDefault="00E248E4" w:rsidP="00E248E4">
      <w:pPr>
        <w:pStyle w:val="Heading4"/>
      </w:pPr>
      <w:r>
        <w:t>Combined supplies from different sources</w:t>
      </w:r>
    </w:p>
    <w:p w14:paraId="790DD9AE" w14:textId="3912C86E" w:rsidR="00CD135C" w:rsidRPr="00CD135C" w:rsidRDefault="002B62D8" w:rsidP="00CD135C">
      <w:r>
        <w:t>When combining the three sources of water we can compare the actual total deliveries with the results of the regression (</w:t>
      </w:r>
      <w:r>
        <w:fldChar w:fldCharType="begin"/>
      </w:r>
      <w:r>
        <w:instrText xml:space="preserve"> REF _Ref142154521 \h </w:instrText>
      </w:r>
      <w:r>
        <w:fldChar w:fldCharType="separate"/>
      </w:r>
      <w:r w:rsidRPr="007962DB">
        <w:t xml:space="preserve">Figure </w:t>
      </w:r>
      <w:r>
        <w:rPr>
          <w:noProof/>
        </w:rPr>
        <w:t>10</w:t>
      </w:r>
      <w:r>
        <w:fldChar w:fldCharType="end"/>
      </w:r>
      <w:r>
        <w:t xml:space="preserve">). The figure shows a good fit for total deliveries, but what is also important, fits the management decisions by adjusting groundwater pumping to the reduction in surface deliveries and vice versa. </w:t>
      </w:r>
    </w:p>
    <w:p w14:paraId="0FBEF1F1" w14:textId="34FF2D02" w:rsidR="00CD135C" w:rsidRPr="007962DB" w:rsidRDefault="00CD135C" w:rsidP="00CD135C">
      <w:pPr>
        <w:pStyle w:val="Caption"/>
      </w:pPr>
      <w:bookmarkStart w:id="24" w:name="_Ref142154521"/>
      <w:bookmarkStart w:id="25" w:name="OLE_LINK10"/>
      <w:bookmarkStart w:id="26" w:name="OLE_LINK11"/>
      <w:r w:rsidRPr="007962DB">
        <w:t xml:space="preserve">Figure </w:t>
      </w:r>
      <w:r w:rsidR="000054C6">
        <w:rPr>
          <w:noProof/>
        </w:rPr>
        <w:fldChar w:fldCharType="begin"/>
      </w:r>
      <w:r w:rsidR="000054C6">
        <w:rPr>
          <w:noProof/>
        </w:rPr>
        <w:instrText xml:space="preserve"> SEQ Figure \* ARABIC </w:instrText>
      </w:r>
      <w:r w:rsidR="000054C6">
        <w:rPr>
          <w:noProof/>
        </w:rPr>
        <w:fldChar w:fldCharType="separate"/>
      </w:r>
      <w:r>
        <w:rPr>
          <w:noProof/>
        </w:rPr>
        <w:t>10</w:t>
      </w:r>
      <w:r w:rsidR="000054C6">
        <w:rPr>
          <w:noProof/>
        </w:rPr>
        <w:fldChar w:fldCharType="end"/>
      </w:r>
      <w:bookmarkEnd w:id="24"/>
      <w:r w:rsidRPr="007962DB">
        <w:t xml:space="preserve">. </w:t>
      </w:r>
      <w:r>
        <w:t>Comparison of actual deliveries and estimated deliveries</w:t>
      </w:r>
      <w:r w:rsidR="002B62D8">
        <w:t xml:space="preserve"> from the different sources</w:t>
      </w:r>
    </w:p>
    <w:p w14:paraId="2B547063" w14:textId="1A5C0E79" w:rsidR="00CD135C" w:rsidRDefault="002B62D8" w:rsidP="00CD135C">
      <w:r>
        <w:rPr>
          <w:noProof/>
        </w:rPr>
        <w:drawing>
          <wp:inline distT="0" distB="0" distL="0" distR="0" wp14:anchorId="58A3E61D" wp14:editId="46C3B89E">
            <wp:extent cx="5943600" cy="3132667"/>
            <wp:effectExtent l="0" t="0" r="0" b="4445"/>
            <wp:docPr id="3" name="Chart 3">
              <a:extLst xmlns:a="http://schemas.openxmlformats.org/drawingml/2006/main">
                <a:ext uri="{FF2B5EF4-FFF2-40B4-BE49-F238E27FC236}">
                  <a16:creationId xmlns:a16="http://schemas.microsoft.com/office/drawing/2014/main" id="{574CDFE5-08D3-1B4B-A45D-34BC3BA577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61684487" w14:textId="13542C47" w:rsidR="00CD135C" w:rsidRPr="005B3721" w:rsidRDefault="00A37016" w:rsidP="004145BA">
      <w:pPr>
        <w:pStyle w:val="Caption"/>
        <w:keepNext w:val="0"/>
        <w:spacing w:before="0"/>
        <w:rPr>
          <w:b w:val="0"/>
        </w:rPr>
      </w:pPr>
      <w:r>
        <w:t>Notes</w:t>
      </w:r>
      <w:r w:rsidR="00CD135C">
        <w:t xml:space="preserve">: </w:t>
      </w:r>
      <w:r w:rsidR="00CD135C" w:rsidRPr="005B3721">
        <w:rPr>
          <w:b w:val="0"/>
        </w:rPr>
        <w:t>Developed by the authors using the results of regression</w:t>
      </w:r>
      <w:r w:rsidR="002B62D8" w:rsidRPr="005B3721">
        <w:rPr>
          <w:b w:val="0"/>
        </w:rPr>
        <w:t>s</w:t>
      </w:r>
    </w:p>
    <w:bookmarkEnd w:id="25"/>
    <w:bookmarkEnd w:id="26"/>
    <w:p w14:paraId="18AB3E52" w14:textId="4C065422" w:rsidR="004145BA" w:rsidRDefault="004145BA" w:rsidP="004145BA">
      <w:pPr>
        <w:pStyle w:val="Heading3"/>
      </w:pPr>
      <w:r>
        <w:lastRenderedPageBreak/>
        <w:t>Estimating demand anomalies</w:t>
      </w:r>
    </w:p>
    <w:p w14:paraId="29D66FC0" w14:textId="00513919" w:rsidR="004145BA" w:rsidRDefault="004145BA" w:rsidP="004145BA">
      <w:r>
        <w:t>In places where water is mostly used for water irrigation like in the SJR, differences in evapotranspirati</w:t>
      </w:r>
      <w:r w:rsidR="00843BF5">
        <w:t>on</w:t>
      </w:r>
      <w:r>
        <w:t xml:space="preserve"> </w:t>
      </w:r>
      <w:r w:rsidR="00843BF5">
        <w:t>can impact crop demands significantly</w:t>
      </w:r>
      <w:r>
        <w:t xml:space="preserve"> </w:t>
      </w:r>
      <w:r>
        <w:fldChar w:fldCharType="begin"/>
      </w:r>
      <w:r>
        <w:instrText xml:space="preserve"> ADDIN ZOTERO_ITEM CSL_CITATION {"citationID":"2bpA1BnG","properties":{"formattedCitation":"(Albano et al., 2022)","plainCitation":"(Albano et al., 2022)","noteIndex":0},"citationItems":[{"id":17,"uris":["http://zotero.org/users/local/zvpmpIAu/items/SPA6F6YR"],"itemData":{"id":17,"type":"article-journal","abstract":"Abstract Increased atmospheric evaporative demand has important implications for humans and ecosystems in water-scarce lands. While temperature plays a significant role in driving evaporative demand and its trend, other climate variables are also influential and their contributions to recent trends in evaporative demand are unknown. We address this gap with an assessment of recent (1980–2020) trends in annual reference evapotranspiration (ETo) and its drivers across the continental United States based on five gridded datasets. In doing so, we characterize the structural uncertainty of ETo trends and decompose the relative influences of temperature, wind speed, solar radiation, and humidity. Results highlight large and robust changes in ETo across much of the western United States, centered on the Rio Grande region where ETo increased 135–235 mm during 1980–2020. The largest uncertainties in ETo trends are in the central and eastern United States and surrounding the Upper Colorado River. Trend decomposition highlights the strong and widespread influence of temperature, which contributes to 57% of observed ETo trends, on average. ETo increases are mitigated by increases in specific humidity in non-water-limited regions, while small decreases in specific humidity and increases in wind speed and solar radiation magnify ETo increases across the West. Our results show increases in ETo across the West that are already emerging outside the range of variability observed 20–40 years ago. Our results suggest that twenty-first-century land and water managers need to plan for an already increasing influence of evaporative demand on water availability and wildfire risks. Significance Statement Increased atmospheric thirst due to climate warming has the potential to decrease water availability and increase wildfire risks in water-scarce regions. Here, we identified how much atmospheric thirst has changed across the continental United States over the past 40 years, what climate variables are driving the change, and how consistent these changes are among five data sources. We found that atmospheric thirst is consistently emerging outside the range experienced in the late twentieth century in some western regions with 57% of the change driven by temperature. Importantly, we demonstrate that increased atmospheric thirst has already become a persistent forcing of western landscapes and water supplies toward drought and will be an essential consideration for land and water management planning going forward.","container-title":"Journal of Hydrometeorology","DOI":"10.1175/JHM-D-21-0163.1","ISSN":"1525-7541, 1525-755X","issue":"4","language":"EN","note":"publisher: American Meteorological Society\nsection: Journal of Hydrometeorology","page":"505-519","source":"journals.ametsoc.org","title":"A Multidataset Assessment of Climatic Drivers and Uncertainties of Recent Trends in Evaporative Demand across the Continental United States","volume":"23","author":[{"family":"Albano","given":"Christine M."},{"family":"Abatzoglou","given":"John T."},{"family":"McEvoy","given":"Daniel J."},{"family":"Huntington","given":"Justin L."},{"family":"Morton","given":"Charles G."},{"family":"Dettinger","given":"Michael D."},{"family":"Ott","given":"Thomas J."}],"issued":{"date-parts":[["2022",4,1]]}}}],"schema":"https://github.com/citation-style-language/schema/raw/master/csl-citation.json"} </w:instrText>
      </w:r>
      <w:r>
        <w:fldChar w:fldCharType="separate"/>
      </w:r>
      <w:r>
        <w:rPr>
          <w:noProof/>
        </w:rPr>
        <w:t>(Albano et al., 2022)</w:t>
      </w:r>
      <w:r>
        <w:fldChar w:fldCharType="end"/>
      </w:r>
      <w:r>
        <w:t>. This means that similar deliveries can irrigate more or less acreage depending on the evapotranspiration</w:t>
      </w:r>
      <w:r w:rsidR="00843BF5">
        <w:t>. Therefore, it is important to account for the role of warming-induced drought stress.</w:t>
      </w:r>
    </w:p>
    <w:p w14:paraId="397157B2" w14:textId="390E99FA" w:rsidR="00843BF5" w:rsidRPr="004145BA" w:rsidRDefault="00843BF5" w:rsidP="004145BA">
      <w:r>
        <w:t xml:space="preserve">To account for changes in </w:t>
      </w:r>
      <w:proofErr w:type="spellStart"/>
      <w:r>
        <w:t>evapotranspirative</w:t>
      </w:r>
      <w:proofErr w:type="spellEnd"/>
      <w:r>
        <w:t xml:space="preserve"> demands, we obtain the deviation (in percentage) of the annual evapotranspiration with respect to the average evapotranspiration</w:t>
      </w:r>
      <w:r w:rsidR="00F43783">
        <w:t xml:space="preserve"> (</w:t>
      </w:r>
      <w:r w:rsidR="00F43783">
        <w:fldChar w:fldCharType="begin"/>
      </w:r>
      <w:r w:rsidR="00F43783">
        <w:instrText xml:space="preserve"> REF _Ref142157264 \h </w:instrText>
      </w:r>
      <w:r w:rsidR="00F43783">
        <w:fldChar w:fldCharType="separate"/>
      </w:r>
      <w:r w:rsidR="00F43783" w:rsidRPr="007962DB">
        <w:t xml:space="preserve">Figure </w:t>
      </w:r>
      <w:r w:rsidR="00F43783">
        <w:rPr>
          <w:noProof/>
        </w:rPr>
        <w:t>11</w:t>
      </w:r>
      <w:r w:rsidR="00F43783">
        <w:fldChar w:fldCharType="end"/>
      </w:r>
      <w:r w:rsidR="00F43783">
        <w:t>)</w:t>
      </w:r>
      <w:r>
        <w:t>.</w:t>
      </w:r>
    </w:p>
    <w:p w14:paraId="34AAB92C" w14:textId="5C9AD9BD" w:rsidR="003D25DA" w:rsidRPr="007962DB" w:rsidRDefault="003D25DA" w:rsidP="003D25DA">
      <w:pPr>
        <w:pStyle w:val="Caption"/>
      </w:pPr>
      <w:bookmarkStart w:id="27" w:name="_Ref142157264"/>
      <w:bookmarkStart w:id="28" w:name="OLE_LINK13"/>
      <w:bookmarkStart w:id="29" w:name="OLE_LINK14"/>
      <w:r w:rsidRPr="007962DB">
        <w:t xml:space="preserve">Figure </w:t>
      </w:r>
      <w:r w:rsidR="000054C6">
        <w:rPr>
          <w:noProof/>
        </w:rPr>
        <w:fldChar w:fldCharType="begin"/>
      </w:r>
      <w:r w:rsidR="000054C6">
        <w:rPr>
          <w:noProof/>
        </w:rPr>
        <w:instrText xml:space="preserve"> SEQ Figure \*</w:instrText>
      </w:r>
      <w:r w:rsidR="000054C6">
        <w:rPr>
          <w:noProof/>
        </w:rPr>
        <w:instrText xml:space="preserve"> ARABIC </w:instrText>
      </w:r>
      <w:r w:rsidR="000054C6">
        <w:rPr>
          <w:noProof/>
        </w:rPr>
        <w:fldChar w:fldCharType="separate"/>
      </w:r>
      <w:r>
        <w:rPr>
          <w:noProof/>
        </w:rPr>
        <w:t>11</w:t>
      </w:r>
      <w:r w:rsidR="000054C6">
        <w:rPr>
          <w:noProof/>
        </w:rPr>
        <w:fldChar w:fldCharType="end"/>
      </w:r>
      <w:bookmarkEnd w:id="27"/>
      <w:r w:rsidRPr="007962DB">
        <w:t xml:space="preserve">. </w:t>
      </w:r>
      <w:r>
        <w:t>Deviation in annual evapotranspiration</w:t>
      </w:r>
    </w:p>
    <w:p w14:paraId="148E94D8" w14:textId="28AC7918" w:rsidR="003D25DA" w:rsidRPr="00E03019" w:rsidRDefault="00E03019" w:rsidP="003D25DA">
      <w:pPr>
        <w:rPr>
          <w:b/>
        </w:rPr>
      </w:pPr>
      <w:r>
        <w:rPr>
          <w:noProof/>
        </w:rPr>
        <w:drawing>
          <wp:inline distT="0" distB="0" distL="0" distR="0" wp14:anchorId="7BAE4CBB" wp14:editId="29373A49">
            <wp:extent cx="5943600" cy="2711450"/>
            <wp:effectExtent l="0" t="0" r="0" b="0"/>
            <wp:docPr id="7" name="Chart 7">
              <a:extLst xmlns:a="http://schemas.openxmlformats.org/drawingml/2006/main">
                <a:ext uri="{FF2B5EF4-FFF2-40B4-BE49-F238E27FC236}">
                  <a16:creationId xmlns:a16="http://schemas.microsoft.com/office/drawing/2014/main" id="{0A3E4E5E-C2EB-484D-8041-8B4336C0931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CF0DD5D" w14:textId="7168D369" w:rsidR="003D25DA" w:rsidRPr="005B3721" w:rsidRDefault="00A37016" w:rsidP="003D25DA">
      <w:pPr>
        <w:pStyle w:val="Caption"/>
        <w:keepNext w:val="0"/>
        <w:spacing w:before="0"/>
        <w:rPr>
          <w:b w:val="0"/>
        </w:rPr>
      </w:pPr>
      <w:r>
        <w:t>Notes</w:t>
      </w:r>
      <w:r w:rsidR="003D25DA">
        <w:t xml:space="preserve">: </w:t>
      </w:r>
      <w:r w:rsidR="003D25DA" w:rsidRPr="005B3721">
        <w:rPr>
          <w:b w:val="0"/>
        </w:rPr>
        <w:t xml:space="preserve">Estimated by the authors as the </w:t>
      </w:r>
      <w:r w:rsidR="00F43783" w:rsidRPr="005B3721">
        <w:rPr>
          <w:b w:val="0"/>
        </w:rPr>
        <w:t>ratio of the annual evapotranspiration in the water year with respect to the average annual evapotranspiration</w:t>
      </w:r>
    </w:p>
    <w:bookmarkEnd w:id="28"/>
    <w:bookmarkEnd w:id="29"/>
    <w:p w14:paraId="0035E0DE" w14:textId="7DBCFFB7" w:rsidR="00F43783" w:rsidRDefault="00F43783" w:rsidP="00F43783">
      <w:r>
        <w:t xml:space="preserve">Then, we obtain the warming-induced change of demands by multiplying this deviation by the average annual demands. Finally, because supplies are given as estimated in the previous sections, we will obtain a change in what we call </w:t>
      </w:r>
      <w:r w:rsidRPr="00F43783">
        <w:rPr>
          <w:i/>
        </w:rPr>
        <w:t>effective supplies</w:t>
      </w:r>
      <w:r>
        <w:t xml:space="preserve">: reductions in evaporative demands will represent an increase in </w:t>
      </w:r>
      <w:r w:rsidRPr="00F43783">
        <w:rPr>
          <w:i/>
        </w:rPr>
        <w:t>effective supplies</w:t>
      </w:r>
      <w:r>
        <w:t xml:space="preserve">, and increases in evaporative demands will impact </w:t>
      </w:r>
      <w:r w:rsidRPr="00F43783">
        <w:rPr>
          <w:i/>
        </w:rPr>
        <w:t>effective supplies</w:t>
      </w:r>
      <w:r>
        <w:t xml:space="preserve"> negatively.</w:t>
      </w:r>
    </w:p>
    <w:p w14:paraId="29FDE235" w14:textId="1168FA83" w:rsidR="002C16D1" w:rsidRDefault="002C16D1" w:rsidP="002C16D1">
      <w:pPr>
        <w:pStyle w:val="Caption"/>
        <w:tabs>
          <w:tab w:val="center" w:pos="5040"/>
        </w:tabs>
      </w:pPr>
      <w:bookmarkStart w:id="30" w:name="_Ref142210683"/>
      <w:r>
        <w:t xml:space="preserve">Equation </w:t>
      </w:r>
      <w:r>
        <w:rPr>
          <w:noProof/>
        </w:rPr>
        <w:fldChar w:fldCharType="begin"/>
      </w:r>
      <w:r>
        <w:rPr>
          <w:noProof/>
        </w:rPr>
        <w:instrText xml:space="preserve"> SEQ Equation \* ARABIC </w:instrText>
      </w:r>
      <w:r>
        <w:rPr>
          <w:noProof/>
        </w:rPr>
        <w:fldChar w:fldCharType="separate"/>
      </w:r>
      <w:r>
        <w:rPr>
          <w:noProof/>
        </w:rPr>
        <w:t>4</w:t>
      </w:r>
      <w:r>
        <w:rPr>
          <w:noProof/>
        </w:rPr>
        <w:fldChar w:fldCharType="end"/>
      </w:r>
      <w:bookmarkEnd w:id="30"/>
      <w:r>
        <w:tab/>
      </w:r>
      <m:oMath>
        <m:r>
          <m:rPr>
            <m:sty m:val="bi"/>
          </m:rPr>
          <w:rPr>
            <w:rFonts w:ascii="Cambria Math" w:hAnsi="Cambria Math"/>
          </w:rPr>
          <m:t>Effective supplies=Actual supplies+</m:t>
        </m:r>
        <m:d>
          <m:dPr>
            <m:ctrlPr>
              <w:rPr>
                <w:rFonts w:ascii="Cambria Math" w:hAnsi="Cambria Math"/>
              </w:rPr>
            </m:ctrlPr>
          </m:dPr>
          <m:e>
            <m:r>
              <m:rPr>
                <m:sty m:val="bi"/>
              </m:rPr>
              <w:rPr>
                <w:rFonts w:ascii="Cambria Math" w:hAnsi="Cambria Math"/>
              </w:rPr>
              <m:t>Average demands ∙</m:t>
            </m:r>
            <m:d>
              <m:dPr>
                <m:ctrlPr>
                  <w:rPr>
                    <w:rFonts w:ascii="Cambria Math" w:hAnsi="Cambria Math"/>
                  </w:rPr>
                </m:ctrlPr>
              </m:dPr>
              <m:e>
                <m:r>
                  <m:rPr>
                    <m:sty m:val="bi"/>
                  </m:rPr>
                  <w:rPr>
                    <w:rFonts w:ascii="Cambria Math" w:hAnsi="Cambria Math"/>
                  </w:rPr>
                  <m:t>1-ET deviation</m:t>
                </m:r>
              </m:e>
            </m:d>
          </m:e>
        </m:d>
      </m:oMath>
    </w:p>
    <w:p w14:paraId="56AB08CA" w14:textId="677091FE" w:rsidR="002C16D1" w:rsidRPr="004145BA" w:rsidRDefault="00E03019" w:rsidP="00F43783">
      <w:r>
        <w:t xml:space="preserve">Following </w:t>
      </w:r>
      <w:r>
        <w:fldChar w:fldCharType="begin"/>
      </w:r>
      <w:r>
        <w:instrText xml:space="preserve"> REF _Ref142210683 \h </w:instrText>
      </w:r>
      <w:r>
        <w:fldChar w:fldCharType="separate"/>
      </w:r>
      <w:r>
        <w:t xml:space="preserve">Equation </w:t>
      </w:r>
      <w:r>
        <w:rPr>
          <w:noProof/>
        </w:rPr>
        <w:t>4</w:t>
      </w:r>
      <w:r>
        <w:fldChar w:fldCharType="end"/>
      </w:r>
      <w:r>
        <w:t xml:space="preserve"> we can </w:t>
      </w:r>
      <w:r w:rsidR="001B2E7F">
        <w:t>adjust</w:t>
      </w:r>
      <w:r>
        <w:t xml:space="preserve"> the actual supplies to account for the devia</w:t>
      </w:r>
      <w:r w:rsidR="001B2E7F">
        <w:t>tion in evapotranspiration (</w:t>
      </w:r>
      <w:r w:rsidR="001B2E7F">
        <w:fldChar w:fldCharType="begin"/>
      </w:r>
      <w:r w:rsidR="001B2E7F">
        <w:instrText xml:space="preserve"> REF _Ref142210908 \h </w:instrText>
      </w:r>
      <w:r w:rsidR="001B2E7F">
        <w:fldChar w:fldCharType="separate"/>
      </w:r>
      <w:r w:rsidR="001B2E7F" w:rsidRPr="007962DB">
        <w:t xml:space="preserve">Figure </w:t>
      </w:r>
      <w:r w:rsidR="001B2E7F">
        <w:rPr>
          <w:noProof/>
        </w:rPr>
        <w:t>12</w:t>
      </w:r>
      <w:r w:rsidR="001B2E7F">
        <w:fldChar w:fldCharType="end"/>
      </w:r>
      <w:r w:rsidR="001B2E7F">
        <w:t xml:space="preserve">). In the figure we can see how in wetter years, such 2011, the effective supplies are greater than the actual supplies, while in warmer years (like 2014 and 2015), effective supplies decrease.  </w:t>
      </w:r>
    </w:p>
    <w:p w14:paraId="031E2134" w14:textId="5CDC7EB1" w:rsidR="001B2E7F" w:rsidRPr="007962DB" w:rsidRDefault="001B2E7F" w:rsidP="001B2E7F">
      <w:pPr>
        <w:pStyle w:val="Caption"/>
      </w:pPr>
      <w:bookmarkStart w:id="31" w:name="_Ref142210908"/>
      <w:bookmarkStart w:id="32" w:name="OLE_LINK15"/>
      <w:bookmarkStart w:id="33" w:name="OLE_LINK16"/>
      <w:r w:rsidRPr="007962DB">
        <w:lastRenderedPageBreak/>
        <w:t xml:space="preserve">Figure </w:t>
      </w:r>
      <w:r w:rsidR="000054C6">
        <w:rPr>
          <w:noProof/>
        </w:rPr>
        <w:fldChar w:fldCharType="begin"/>
      </w:r>
      <w:r w:rsidR="000054C6">
        <w:rPr>
          <w:noProof/>
        </w:rPr>
        <w:instrText xml:space="preserve"> SEQ Figure \* ARABIC </w:instrText>
      </w:r>
      <w:r w:rsidR="000054C6">
        <w:rPr>
          <w:noProof/>
        </w:rPr>
        <w:fldChar w:fldCharType="separate"/>
      </w:r>
      <w:r>
        <w:rPr>
          <w:noProof/>
        </w:rPr>
        <w:t>12</w:t>
      </w:r>
      <w:r w:rsidR="000054C6">
        <w:rPr>
          <w:noProof/>
        </w:rPr>
        <w:fldChar w:fldCharType="end"/>
      </w:r>
      <w:bookmarkEnd w:id="31"/>
      <w:r w:rsidRPr="007962DB">
        <w:t xml:space="preserve">. </w:t>
      </w:r>
      <w:r>
        <w:t>Comparison of estimated supplies with effective supplies, accounting the ET deviations</w:t>
      </w:r>
    </w:p>
    <w:p w14:paraId="35EC81A9" w14:textId="32376B37" w:rsidR="001B2E7F" w:rsidRPr="00E03019" w:rsidRDefault="001B2E7F" w:rsidP="001B2E7F">
      <w:pPr>
        <w:rPr>
          <w:b/>
        </w:rPr>
      </w:pPr>
      <w:r>
        <w:rPr>
          <w:noProof/>
        </w:rPr>
        <w:drawing>
          <wp:inline distT="0" distB="0" distL="0" distR="0" wp14:anchorId="1318DCF9" wp14:editId="51B85F92">
            <wp:extent cx="5943600" cy="2529205"/>
            <wp:effectExtent l="0" t="0" r="0" b="0"/>
            <wp:docPr id="12" name="Chart 12">
              <a:extLst xmlns:a="http://schemas.openxmlformats.org/drawingml/2006/main">
                <a:ext uri="{FF2B5EF4-FFF2-40B4-BE49-F238E27FC236}">
                  <a16:creationId xmlns:a16="http://schemas.microsoft.com/office/drawing/2014/main" id="{7551E420-574C-3941-B86F-E0EE6495051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4D370BF5" w14:textId="13F4859A" w:rsidR="001B2E7F" w:rsidRPr="005B3721" w:rsidRDefault="00A37016" w:rsidP="001B2E7F">
      <w:pPr>
        <w:pStyle w:val="Caption"/>
        <w:keepNext w:val="0"/>
        <w:spacing w:before="0"/>
        <w:rPr>
          <w:b w:val="0"/>
        </w:rPr>
      </w:pPr>
      <w:r>
        <w:t>Notes</w:t>
      </w:r>
      <w:r w:rsidR="001B2E7F">
        <w:t xml:space="preserve">: </w:t>
      </w:r>
      <w:r w:rsidR="001B2E7F" w:rsidRPr="005B3721">
        <w:rPr>
          <w:b w:val="0"/>
        </w:rPr>
        <w:t>Estimated by the authors using the estimated supplies and the ET deviation</w:t>
      </w:r>
    </w:p>
    <w:bookmarkEnd w:id="32"/>
    <w:bookmarkEnd w:id="33"/>
    <w:p w14:paraId="440E628C" w14:textId="478F024F" w:rsidR="001B2E7F" w:rsidRDefault="001B2E7F" w:rsidP="001B2E7F">
      <w:pPr>
        <w:pStyle w:val="Heading3"/>
      </w:pPr>
      <w:r>
        <w:t>Accounting for changes in groundwater storage</w:t>
      </w:r>
    </w:p>
    <w:p w14:paraId="4FEA4A06" w14:textId="77777777" w:rsidR="001C2AE5" w:rsidRDefault="001B2E7F" w:rsidP="001B2E7F">
      <w:r>
        <w:t xml:space="preserve">While surface water conditions affect directly surface deliveries, management decisions—in which pumping increases in dry years to mitigate surface water shortages—create a disconnect between drought conditions and water deliveries. </w:t>
      </w:r>
      <w:r w:rsidR="001C2AE5">
        <w:t>These changes in groundwater storage help identifying which groundwater deliveries are used to respond to drought conditions from groundwater deliveries in normal and wet years.</w:t>
      </w:r>
    </w:p>
    <w:p w14:paraId="54587B8C" w14:textId="2A81BA04" w:rsidR="001B2E7F" w:rsidRPr="001B2E7F" w:rsidRDefault="001C2AE5" w:rsidP="001B2E7F">
      <w:r>
        <w:t xml:space="preserve">To account for these changes we obtain a linear relationship between the annual groundwater supplies </w:t>
      </w:r>
      <w:r w:rsidR="00DA72E1">
        <w:t xml:space="preserve">from the supply portfolio </w:t>
      </w:r>
      <w:r>
        <w:t xml:space="preserve">and the </w:t>
      </w:r>
      <w:r w:rsidR="00DA72E1">
        <w:t xml:space="preserve">annual </w:t>
      </w:r>
      <w:r>
        <w:t>changes in groundwater elevation</w:t>
      </w:r>
      <w:r w:rsidR="00DA72E1">
        <w:t>—</w:t>
      </w:r>
      <w:r>
        <w:t xml:space="preserve">obtained </w:t>
      </w:r>
      <w:r w:rsidR="00DA72E1">
        <w:t>to calculate</w:t>
      </w:r>
      <w:r>
        <w:t xml:space="preserve"> the groundwater </w:t>
      </w:r>
      <w:r w:rsidR="00DA72E1">
        <w:t>pumping intensity indicator (</w:t>
      </w:r>
      <w:r w:rsidR="00A37016">
        <w:fldChar w:fldCharType="begin"/>
      </w:r>
      <w:r w:rsidR="00A37016">
        <w:instrText xml:space="preserve"> REF _Ref142327987 \h </w:instrText>
      </w:r>
      <w:r w:rsidR="00A37016">
        <w:fldChar w:fldCharType="separate"/>
      </w:r>
      <w:r w:rsidR="00A37016" w:rsidRPr="007962DB">
        <w:t xml:space="preserve">Figure </w:t>
      </w:r>
      <w:r w:rsidR="00A37016">
        <w:rPr>
          <w:noProof/>
        </w:rPr>
        <w:t>13</w:t>
      </w:r>
      <w:r w:rsidR="00A37016">
        <w:fldChar w:fldCharType="end"/>
      </w:r>
      <w:r w:rsidR="00A37016">
        <w:t>)</w:t>
      </w:r>
      <w:r w:rsidR="00DA72E1">
        <w:t>.</w:t>
      </w:r>
      <w:r w:rsidR="00A37016">
        <w:t xml:space="preserve"> Then, and assuming that the intercept of the linear adjustment with the y-axis represents the level of sustainable groundwater use, we obtain the changes in groundwater storage as the difference of the estimated groundwater supplies with the value of the intercept—values greater than the intercept will represent groundwater depletion, while values below this value will represent an increase in groundwater storage</w:t>
      </w:r>
      <w:r w:rsidR="005B3721">
        <w:t xml:space="preserve"> (</w:t>
      </w:r>
      <w:r w:rsidR="005B3721">
        <w:fldChar w:fldCharType="begin"/>
      </w:r>
      <w:r w:rsidR="005B3721">
        <w:instrText xml:space="preserve"> REF _Ref142328852 \h </w:instrText>
      </w:r>
      <w:r w:rsidR="005B3721">
        <w:fldChar w:fldCharType="separate"/>
      </w:r>
      <w:r w:rsidR="005B3721" w:rsidRPr="007962DB">
        <w:t xml:space="preserve">Figure </w:t>
      </w:r>
      <w:r w:rsidR="005B3721">
        <w:rPr>
          <w:noProof/>
        </w:rPr>
        <w:t>14</w:t>
      </w:r>
      <w:r w:rsidR="005B3721">
        <w:fldChar w:fldCharType="end"/>
      </w:r>
      <w:r w:rsidR="005B3721">
        <w:t>)</w:t>
      </w:r>
      <w:r w:rsidR="00A37016">
        <w:t>.</w:t>
      </w:r>
    </w:p>
    <w:p w14:paraId="3F3F3A3C" w14:textId="4EC4AE60" w:rsidR="00DA72E1" w:rsidRPr="007962DB" w:rsidRDefault="00DA72E1" w:rsidP="00DA72E1">
      <w:pPr>
        <w:pStyle w:val="Caption"/>
      </w:pPr>
      <w:bookmarkStart w:id="34" w:name="_Ref142327987"/>
      <w:r w:rsidRPr="007962DB">
        <w:lastRenderedPageBreak/>
        <w:t xml:space="preserve">Figure </w:t>
      </w:r>
      <w:r w:rsidR="000054C6">
        <w:rPr>
          <w:noProof/>
        </w:rPr>
        <w:fldChar w:fldCharType="begin"/>
      </w:r>
      <w:r w:rsidR="000054C6">
        <w:rPr>
          <w:noProof/>
        </w:rPr>
        <w:instrText xml:space="preserve"> SEQ Figure \* ARABIC </w:instrText>
      </w:r>
      <w:r w:rsidR="000054C6">
        <w:rPr>
          <w:noProof/>
        </w:rPr>
        <w:fldChar w:fldCharType="separate"/>
      </w:r>
      <w:r>
        <w:rPr>
          <w:noProof/>
        </w:rPr>
        <w:t>13</w:t>
      </w:r>
      <w:r w:rsidR="000054C6">
        <w:rPr>
          <w:noProof/>
        </w:rPr>
        <w:fldChar w:fldCharType="end"/>
      </w:r>
      <w:bookmarkEnd w:id="34"/>
      <w:r w:rsidRPr="007962DB">
        <w:t xml:space="preserve">. </w:t>
      </w:r>
      <w:r>
        <w:t>Relationship between annual groundwater supplies and annual change in groundwater elevation in the San Joaquin River hydrologic region</w:t>
      </w:r>
    </w:p>
    <w:p w14:paraId="77A9D7A6" w14:textId="66780FE0" w:rsidR="00DA72E1" w:rsidRPr="00E03019" w:rsidRDefault="00DA72E1" w:rsidP="00DA72E1">
      <w:pPr>
        <w:rPr>
          <w:b/>
        </w:rPr>
      </w:pPr>
      <w:r>
        <w:rPr>
          <w:noProof/>
        </w:rPr>
        <w:drawing>
          <wp:inline distT="0" distB="0" distL="0" distR="0" wp14:anchorId="2705F046" wp14:editId="2FA8488D">
            <wp:extent cx="4572000" cy="2743200"/>
            <wp:effectExtent l="0" t="0" r="0" b="0"/>
            <wp:docPr id="14" name="Chart 14">
              <a:extLst xmlns:a="http://schemas.openxmlformats.org/drawingml/2006/main">
                <a:ext uri="{FF2B5EF4-FFF2-40B4-BE49-F238E27FC236}">
                  <a16:creationId xmlns:a16="http://schemas.microsoft.com/office/drawing/2014/main" id="{B50838C4-6789-8B44-A942-7FCEDE564D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49C302ED" w14:textId="6F461451" w:rsidR="00DA72E1" w:rsidRPr="005B3721" w:rsidRDefault="005B3721" w:rsidP="00DA72E1">
      <w:pPr>
        <w:pStyle w:val="Caption"/>
        <w:keepNext w:val="0"/>
        <w:spacing w:before="0"/>
        <w:rPr>
          <w:b w:val="0"/>
        </w:rPr>
      </w:pPr>
      <w:r>
        <w:t>Notes</w:t>
      </w:r>
      <w:r w:rsidR="00DA72E1">
        <w:t xml:space="preserve">: </w:t>
      </w:r>
      <w:r w:rsidR="00A37016" w:rsidRPr="005B3721">
        <w:rPr>
          <w:b w:val="0"/>
        </w:rPr>
        <w:t>Calculated</w:t>
      </w:r>
      <w:r w:rsidR="00DA72E1" w:rsidRPr="005B3721">
        <w:rPr>
          <w:b w:val="0"/>
        </w:rPr>
        <w:t xml:space="preserve"> by the authors using the data from</w:t>
      </w:r>
      <w:r w:rsidR="00A37016" w:rsidRPr="005B3721">
        <w:rPr>
          <w:b w:val="0"/>
        </w:rPr>
        <w:t xml:space="preserve"> DWR’s water portfolios and from changes in groundwater elevation obtained from DWR’s Periodic Groundwater Levels dataset</w:t>
      </w:r>
    </w:p>
    <w:p w14:paraId="40DCAC18" w14:textId="195BFC5D" w:rsidR="00A37016" w:rsidRPr="007962DB" w:rsidRDefault="00A37016" w:rsidP="00A37016">
      <w:pPr>
        <w:pStyle w:val="Caption"/>
      </w:pPr>
      <w:bookmarkStart w:id="35" w:name="_Ref142328852"/>
      <w:bookmarkStart w:id="36" w:name="OLE_LINK17"/>
      <w:bookmarkStart w:id="37" w:name="OLE_LINK18"/>
      <w:r w:rsidRPr="007962DB">
        <w:t xml:space="preserve">Figure </w:t>
      </w:r>
      <w:r w:rsidR="000054C6">
        <w:rPr>
          <w:noProof/>
        </w:rPr>
        <w:fldChar w:fldCharType="begin"/>
      </w:r>
      <w:r w:rsidR="000054C6">
        <w:rPr>
          <w:noProof/>
        </w:rPr>
        <w:instrText xml:space="preserve"> SEQ Figure \* ARABIC </w:instrText>
      </w:r>
      <w:r w:rsidR="000054C6">
        <w:rPr>
          <w:noProof/>
        </w:rPr>
        <w:fldChar w:fldCharType="separate"/>
      </w:r>
      <w:r>
        <w:rPr>
          <w:noProof/>
        </w:rPr>
        <w:t>14</w:t>
      </w:r>
      <w:r w:rsidR="000054C6">
        <w:rPr>
          <w:noProof/>
        </w:rPr>
        <w:fldChar w:fldCharType="end"/>
      </w:r>
      <w:bookmarkEnd w:id="35"/>
      <w:r w:rsidRPr="007962DB">
        <w:t xml:space="preserve">. </w:t>
      </w:r>
      <w:r w:rsidR="005B3721">
        <w:t>Changes in groundwater storage in the San Joaquin River hydrologic region</w:t>
      </w:r>
    </w:p>
    <w:p w14:paraId="6CC2F872" w14:textId="76796D36" w:rsidR="00A37016" w:rsidRPr="00E03019" w:rsidRDefault="00A37016" w:rsidP="00A37016">
      <w:pPr>
        <w:rPr>
          <w:b/>
        </w:rPr>
      </w:pPr>
      <w:r>
        <w:rPr>
          <w:noProof/>
        </w:rPr>
        <w:drawing>
          <wp:inline distT="0" distB="0" distL="0" distR="0" wp14:anchorId="2B5FB026" wp14:editId="65F41F03">
            <wp:extent cx="5630333" cy="2311400"/>
            <wp:effectExtent l="0" t="0" r="0" b="0"/>
            <wp:docPr id="18" name="Chart 18">
              <a:extLst xmlns:a="http://schemas.openxmlformats.org/drawingml/2006/main">
                <a:ext uri="{FF2B5EF4-FFF2-40B4-BE49-F238E27FC236}">
                  <a16:creationId xmlns:a16="http://schemas.microsoft.com/office/drawing/2014/main" id="{0593AC06-A967-4642-B4F0-365DED390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EC2248E" w14:textId="563CCAF9" w:rsidR="00A37016" w:rsidRDefault="005B3721" w:rsidP="00A37016">
      <w:pPr>
        <w:pStyle w:val="Caption"/>
        <w:keepNext w:val="0"/>
        <w:spacing w:before="0"/>
      </w:pPr>
      <w:r>
        <w:t>Notes</w:t>
      </w:r>
      <w:r w:rsidR="00A37016">
        <w:t xml:space="preserve">: </w:t>
      </w:r>
      <w:r>
        <w:rPr>
          <w:b w:val="0"/>
        </w:rPr>
        <w:t>Calculated</w:t>
      </w:r>
      <w:r w:rsidRPr="005B3721">
        <w:rPr>
          <w:b w:val="0"/>
        </w:rPr>
        <w:t xml:space="preserve"> by the authors</w:t>
      </w:r>
    </w:p>
    <w:bookmarkEnd w:id="36"/>
    <w:bookmarkEnd w:id="37"/>
    <w:p w14:paraId="6DD9353F" w14:textId="001630C8" w:rsidR="00A37016" w:rsidRPr="00A37016" w:rsidRDefault="005B3721" w:rsidP="00A37016">
      <w:r>
        <w:t>Finally, and similarly as we did for accounting for demand anomalies, we correct the annual supplies to account for the changes in groundwater storage (</w:t>
      </w:r>
      <w:r>
        <w:fldChar w:fldCharType="begin"/>
      </w:r>
      <w:r>
        <w:instrText xml:space="preserve"> REF _Ref142329019 \h </w:instrText>
      </w:r>
      <w:r>
        <w:fldChar w:fldCharType="separate"/>
      </w:r>
      <w:r w:rsidRPr="007962DB">
        <w:t xml:space="preserve">Figure </w:t>
      </w:r>
      <w:r>
        <w:rPr>
          <w:noProof/>
        </w:rPr>
        <w:t>15</w:t>
      </w:r>
      <w:r>
        <w:fldChar w:fldCharType="end"/>
      </w:r>
      <w:r>
        <w:t>). It is important to note that the actual deliveries do not change because incrementing groundwater use is a management decision to mitigate drought impacts</w:t>
      </w:r>
      <w:r w:rsidR="005B67FA">
        <w:t>. B</w:t>
      </w:r>
      <w:r>
        <w:t xml:space="preserve">ut by accounting for changes in groundwater storage, we can actually measure how droughts are causing this increase in pumping. This </w:t>
      </w:r>
      <w:r w:rsidR="005B67FA">
        <w:t xml:space="preserve">method </w:t>
      </w:r>
      <w:r>
        <w:t xml:space="preserve">can help also internalizing some other </w:t>
      </w:r>
      <w:r w:rsidR="005B67FA">
        <w:t xml:space="preserve">drought </w:t>
      </w:r>
      <w:r>
        <w:t>impacts</w:t>
      </w:r>
      <w:r w:rsidR="005B67FA">
        <w:t xml:space="preserve">—such as wells running dry by changes in groundwater levels, or the potential losses caused by the future reduction in groundwater availability. </w:t>
      </w:r>
    </w:p>
    <w:p w14:paraId="52FEF3DF" w14:textId="26CDE3EA" w:rsidR="005B3721" w:rsidRPr="007962DB" w:rsidRDefault="005B3721" w:rsidP="005B3721">
      <w:pPr>
        <w:pStyle w:val="Caption"/>
      </w:pPr>
      <w:bookmarkStart w:id="38" w:name="_Ref142329019"/>
      <w:bookmarkStart w:id="39" w:name="OLE_LINK19"/>
      <w:bookmarkStart w:id="40" w:name="OLE_LINK20"/>
      <w:r w:rsidRPr="007962DB">
        <w:lastRenderedPageBreak/>
        <w:t xml:space="preserve">Figure </w:t>
      </w:r>
      <w:r w:rsidR="000054C6">
        <w:rPr>
          <w:noProof/>
        </w:rPr>
        <w:fldChar w:fldCharType="begin"/>
      </w:r>
      <w:r w:rsidR="000054C6">
        <w:rPr>
          <w:noProof/>
        </w:rPr>
        <w:instrText xml:space="preserve"> SEQ Figure \* ARABIC </w:instrText>
      </w:r>
      <w:r w:rsidR="000054C6">
        <w:rPr>
          <w:noProof/>
        </w:rPr>
        <w:fldChar w:fldCharType="separate"/>
      </w:r>
      <w:r>
        <w:rPr>
          <w:noProof/>
        </w:rPr>
        <w:t>15</w:t>
      </w:r>
      <w:r w:rsidR="000054C6">
        <w:rPr>
          <w:noProof/>
        </w:rPr>
        <w:fldChar w:fldCharType="end"/>
      </w:r>
      <w:bookmarkEnd w:id="38"/>
      <w:r w:rsidRPr="007962DB">
        <w:t xml:space="preserve">. </w:t>
      </w:r>
      <w:r w:rsidR="005B67FA">
        <w:t>Comparison of estimated supplies with effective supplies, accounting for changes in groundwater storage</w:t>
      </w:r>
    </w:p>
    <w:p w14:paraId="19DE9E96" w14:textId="1A4A01C7" w:rsidR="005B3721" w:rsidRPr="00E03019" w:rsidRDefault="005B67FA" w:rsidP="005B3721">
      <w:pPr>
        <w:rPr>
          <w:b/>
        </w:rPr>
      </w:pPr>
      <w:r>
        <w:rPr>
          <w:noProof/>
        </w:rPr>
        <w:drawing>
          <wp:inline distT="0" distB="0" distL="0" distR="0" wp14:anchorId="2432E611" wp14:editId="4FF0006A">
            <wp:extent cx="5943600" cy="2529205"/>
            <wp:effectExtent l="0" t="0" r="0" b="0"/>
            <wp:docPr id="23" name="Chart 23">
              <a:extLst xmlns:a="http://schemas.openxmlformats.org/drawingml/2006/main">
                <a:ext uri="{FF2B5EF4-FFF2-40B4-BE49-F238E27FC236}">
                  <a16:creationId xmlns:a16="http://schemas.microsoft.com/office/drawing/2014/main" id="{39E9F08E-BEC8-384C-A8D9-4525DDCCA1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C769B8A" w14:textId="47367964" w:rsidR="005B3721" w:rsidRDefault="005B3721" w:rsidP="005B3721">
      <w:pPr>
        <w:pStyle w:val="Caption"/>
        <w:keepNext w:val="0"/>
        <w:spacing w:before="0"/>
      </w:pPr>
      <w:r>
        <w:t xml:space="preserve">Notes: </w:t>
      </w:r>
      <w:r>
        <w:rPr>
          <w:b w:val="0"/>
        </w:rPr>
        <w:t>Calculated</w:t>
      </w:r>
      <w:r w:rsidRPr="005B3721">
        <w:rPr>
          <w:b w:val="0"/>
        </w:rPr>
        <w:t xml:space="preserve"> by the authors</w:t>
      </w:r>
      <w:r w:rsidR="005B67FA" w:rsidRPr="005B67FA">
        <w:rPr>
          <w:b w:val="0"/>
        </w:rPr>
        <w:t xml:space="preserve"> </w:t>
      </w:r>
      <w:r w:rsidR="005B67FA" w:rsidRPr="005B3721">
        <w:rPr>
          <w:b w:val="0"/>
        </w:rPr>
        <w:t xml:space="preserve">using the estimated supplies and the </w:t>
      </w:r>
      <w:r w:rsidR="005B67FA">
        <w:rPr>
          <w:b w:val="0"/>
        </w:rPr>
        <w:t>changes in groundwater storage</w:t>
      </w:r>
    </w:p>
    <w:bookmarkEnd w:id="39"/>
    <w:bookmarkEnd w:id="40"/>
    <w:p w14:paraId="3FB87F39" w14:textId="7AAC9D8A" w:rsidR="005B67FA" w:rsidRDefault="005B67FA" w:rsidP="005B67FA">
      <w:pPr>
        <w:pStyle w:val="Heading3"/>
      </w:pPr>
      <w:r>
        <w:t>Estimating shortages</w:t>
      </w:r>
    </w:p>
    <w:p w14:paraId="1A4274A9" w14:textId="4C698B44" w:rsidR="00FB635C" w:rsidRDefault="00FB635C" w:rsidP="006417ED">
      <w:r>
        <w:t>After estimating the total supplies as the sum of supplies from different sources, we obtain the final effective supplies by accounting for demand anomalies and changes in groundwater storage (</w:t>
      </w:r>
      <w:r w:rsidR="00B9741F">
        <w:fldChar w:fldCharType="begin"/>
      </w:r>
      <w:r w:rsidR="00B9741F">
        <w:instrText xml:space="preserve"> REF _Ref142330844 \h </w:instrText>
      </w:r>
      <w:r w:rsidR="00B9741F">
        <w:fldChar w:fldCharType="separate"/>
      </w:r>
      <w:r w:rsidR="00B9741F" w:rsidRPr="007962DB">
        <w:t xml:space="preserve">Figure </w:t>
      </w:r>
      <w:r w:rsidR="00B9741F">
        <w:rPr>
          <w:noProof/>
        </w:rPr>
        <w:t>16</w:t>
      </w:r>
      <w:r w:rsidR="00B9741F">
        <w:fldChar w:fldCharType="end"/>
      </w:r>
      <w:r w:rsidR="00B9741F">
        <w:t>)</w:t>
      </w:r>
      <w:r>
        <w:t>.</w:t>
      </w:r>
      <w:r w:rsidR="00B9741F">
        <w:t xml:space="preserve"> Note how especially changes in groundwater storage, but also demand anomalies, change the annual distribution of estimated supplies and final effective supplies. While in the estimated supplies is difficult to see the differences between drought vs non-drought years, final effective supplies highlight clearly the drought years—especially 2014 and 2015, but also 2008 and 2009.</w:t>
      </w:r>
    </w:p>
    <w:p w14:paraId="02823DD5" w14:textId="699FD7CB" w:rsidR="00FB635C" w:rsidRPr="007962DB" w:rsidRDefault="00FB635C" w:rsidP="00FB635C">
      <w:pPr>
        <w:pStyle w:val="Caption"/>
      </w:pPr>
      <w:bookmarkStart w:id="41" w:name="_Ref142330844"/>
      <w:bookmarkStart w:id="42" w:name="OLE_LINK21"/>
      <w:bookmarkStart w:id="43" w:name="OLE_LINK22"/>
      <w:r w:rsidRPr="007962DB">
        <w:t xml:space="preserve">Figure </w:t>
      </w:r>
      <w:r w:rsidR="000054C6">
        <w:rPr>
          <w:noProof/>
        </w:rPr>
        <w:fldChar w:fldCharType="begin"/>
      </w:r>
      <w:r w:rsidR="000054C6">
        <w:rPr>
          <w:noProof/>
        </w:rPr>
        <w:instrText xml:space="preserve"> SEQ Figure \* ARABIC </w:instrText>
      </w:r>
      <w:r w:rsidR="000054C6">
        <w:rPr>
          <w:noProof/>
        </w:rPr>
        <w:fldChar w:fldCharType="separate"/>
      </w:r>
      <w:r>
        <w:rPr>
          <w:noProof/>
        </w:rPr>
        <w:t>16</w:t>
      </w:r>
      <w:r w:rsidR="000054C6">
        <w:rPr>
          <w:noProof/>
        </w:rPr>
        <w:fldChar w:fldCharType="end"/>
      </w:r>
      <w:bookmarkEnd w:id="41"/>
      <w:r w:rsidRPr="007962DB">
        <w:t xml:space="preserve">. </w:t>
      </w:r>
      <w:r>
        <w:t>Comparison of estimated supplies with final effective supplies, accounting for demand anomalies and changes in groundwater storage</w:t>
      </w:r>
    </w:p>
    <w:p w14:paraId="598ABDF6" w14:textId="114A2C6D" w:rsidR="00FB635C" w:rsidRPr="00E03019" w:rsidRDefault="00FB635C" w:rsidP="00FB635C">
      <w:pPr>
        <w:rPr>
          <w:b/>
        </w:rPr>
      </w:pPr>
      <w:r>
        <w:rPr>
          <w:noProof/>
        </w:rPr>
        <w:drawing>
          <wp:inline distT="0" distB="0" distL="0" distR="0" wp14:anchorId="65970525" wp14:editId="454CD586">
            <wp:extent cx="5943600" cy="2529205"/>
            <wp:effectExtent l="0" t="0" r="0" b="0"/>
            <wp:docPr id="26" name="Chart 26">
              <a:extLst xmlns:a="http://schemas.openxmlformats.org/drawingml/2006/main">
                <a:ext uri="{FF2B5EF4-FFF2-40B4-BE49-F238E27FC236}">
                  <a16:creationId xmlns:a16="http://schemas.microsoft.com/office/drawing/2014/main" id="{14E8587A-3C5A-7444-854A-232E0F3DB96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3AA67F4E" w14:textId="50E76E69" w:rsidR="00FB635C" w:rsidRDefault="00FB635C" w:rsidP="00FB635C">
      <w:pPr>
        <w:pStyle w:val="Caption"/>
        <w:keepNext w:val="0"/>
        <w:spacing w:before="0"/>
      </w:pPr>
      <w:r>
        <w:lastRenderedPageBreak/>
        <w:t xml:space="preserve">Notes: </w:t>
      </w:r>
      <w:r>
        <w:rPr>
          <w:b w:val="0"/>
        </w:rPr>
        <w:t>Calculated</w:t>
      </w:r>
      <w:r w:rsidRPr="005B3721">
        <w:rPr>
          <w:b w:val="0"/>
        </w:rPr>
        <w:t xml:space="preserve"> by the authors</w:t>
      </w:r>
      <w:r w:rsidRPr="005B67FA">
        <w:rPr>
          <w:b w:val="0"/>
        </w:rPr>
        <w:t xml:space="preserve"> </w:t>
      </w:r>
      <w:r w:rsidRPr="005B3721">
        <w:rPr>
          <w:b w:val="0"/>
        </w:rPr>
        <w:t xml:space="preserve">using the estimated supplies and the </w:t>
      </w:r>
      <w:r>
        <w:rPr>
          <w:b w:val="0"/>
        </w:rPr>
        <w:t>estimated demand anomalies and changes in groundwater storage</w:t>
      </w:r>
    </w:p>
    <w:bookmarkEnd w:id="42"/>
    <w:bookmarkEnd w:id="43"/>
    <w:p w14:paraId="44A36296" w14:textId="65CBA118" w:rsidR="00B9741F" w:rsidRDefault="00B9741F" w:rsidP="006417ED">
      <w:r>
        <w:t xml:space="preserve">To estimate shortages, a simple approach is to assume that deliveries are maximum when there are no drought restrictions, and annual shortages are calculated as the difference from the maximum deliveries. </w:t>
      </w:r>
      <w:r>
        <w:fldChar w:fldCharType="begin"/>
      </w:r>
      <w:r>
        <w:instrText xml:space="preserve"> REF _Ref142331159 \h </w:instrText>
      </w:r>
      <w:r>
        <w:fldChar w:fldCharType="separate"/>
      </w:r>
      <w:r w:rsidRPr="007962DB">
        <w:t xml:space="preserve">Figure </w:t>
      </w:r>
      <w:r>
        <w:rPr>
          <w:noProof/>
        </w:rPr>
        <w:t>17</w:t>
      </w:r>
      <w:r>
        <w:fldChar w:fldCharType="end"/>
      </w:r>
      <w:r>
        <w:t xml:space="preserve"> shows the estimated shortages, calculated as the annual effective deliveries with respect to the maximum annual effective deliveries, which are 2011 deliveries (one of the wettest years on the series).</w:t>
      </w:r>
    </w:p>
    <w:p w14:paraId="4B09E15E" w14:textId="181A19B0" w:rsidR="00B9741F" w:rsidRPr="007962DB" w:rsidRDefault="00B9741F" w:rsidP="00B9741F">
      <w:pPr>
        <w:pStyle w:val="Caption"/>
      </w:pPr>
      <w:bookmarkStart w:id="44" w:name="_Ref142331159"/>
      <w:bookmarkStart w:id="45" w:name="OLE_LINK23"/>
      <w:bookmarkStart w:id="46" w:name="OLE_LINK24"/>
      <w:r w:rsidRPr="007962DB">
        <w:t xml:space="preserve">Figure </w:t>
      </w:r>
      <w:fldSimple w:instr=" SEQ Figure \* ARABIC ">
        <w:r>
          <w:rPr>
            <w:noProof/>
          </w:rPr>
          <w:t>17</w:t>
        </w:r>
      </w:fldSimple>
      <w:bookmarkEnd w:id="44"/>
      <w:r w:rsidRPr="007962DB">
        <w:t xml:space="preserve">. </w:t>
      </w:r>
      <w:r>
        <w:t>Estimated annual shortages in the San Joaquin River hydrologic region</w:t>
      </w:r>
    </w:p>
    <w:p w14:paraId="5517BAEC" w14:textId="49290DF0" w:rsidR="00B9741F" w:rsidRPr="00E03019" w:rsidRDefault="00B9741F" w:rsidP="00B9741F">
      <w:pPr>
        <w:rPr>
          <w:b/>
        </w:rPr>
      </w:pPr>
      <w:r>
        <w:rPr>
          <w:noProof/>
        </w:rPr>
        <w:drawing>
          <wp:inline distT="0" distB="0" distL="0" distR="0" wp14:anchorId="47087D70" wp14:editId="275A8CAA">
            <wp:extent cx="5943600" cy="2639060"/>
            <wp:effectExtent l="0" t="0" r="0" b="2540"/>
            <wp:docPr id="28" name="Chart 28">
              <a:extLst xmlns:a="http://schemas.openxmlformats.org/drawingml/2006/main">
                <a:ext uri="{FF2B5EF4-FFF2-40B4-BE49-F238E27FC236}">
                  <a16:creationId xmlns:a16="http://schemas.microsoft.com/office/drawing/2014/main" id="{B7EE2909-BBDB-F94B-B10F-D33840A5F8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0A6ADF88" w14:textId="6FF2D3E8" w:rsidR="00B9741F" w:rsidRDefault="00B9741F" w:rsidP="00B9741F">
      <w:pPr>
        <w:pStyle w:val="Caption"/>
        <w:keepNext w:val="0"/>
        <w:spacing w:before="0"/>
      </w:pPr>
      <w:r>
        <w:t xml:space="preserve">Notes: </w:t>
      </w:r>
      <w:r>
        <w:rPr>
          <w:b w:val="0"/>
        </w:rPr>
        <w:t>Calculated</w:t>
      </w:r>
      <w:r w:rsidRPr="005B3721">
        <w:rPr>
          <w:b w:val="0"/>
        </w:rPr>
        <w:t xml:space="preserve"> by the authors</w:t>
      </w:r>
      <w:r w:rsidRPr="005B67FA">
        <w:rPr>
          <w:b w:val="0"/>
        </w:rPr>
        <w:t xml:space="preserve"> </w:t>
      </w:r>
      <w:r w:rsidRPr="005B3721">
        <w:rPr>
          <w:b w:val="0"/>
        </w:rPr>
        <w:t xml:space="preserve">using the estimated </w:t>
      </w:r>
      <w:r>
        <w:rPr>
          <w:b w:val="0"/>
        </w:rPr>
        <w:t>final effective</w:t>
      </w:r>
    </w:p>
    <w:bookmarkEnd w:id="45"/>
    <w:bookmarkEnd w:id="46"/>
    <w:p w14:paraId="06CAF8AE" w14:textId="5FC63AEC" w:rsidR="00B9741F" w:rsidRDefault="008A0BAA" w:rsidP="00B9741F">
      <w:pPr>
        <w:pStyle w:val="Heading2"/>
      </w:pPr>
      <w:r>
        <w:t>Obtaining system drought indicator for any date</w:t>
      </w:r>
    </w:p>
    <w:p w14:paraId="5B5D5734" w14:textId="643564EF" w:rsidR="008A0BAA" w:rsidRPr="00A6281A" w:rsidRDefault="008A0BAA" w:rsidP="00A6281A">
      <w:r>
        <w:t xml:space="preserve">We have obtained annual shortages for years with water deliveries from DWR’s water balance dataset using the drought indicators developed in Methodology 1. Therefore, we can extrapolate this methodology to obtain drought conditions and shortages for any point in time. </w:t>
      </w:r>
      <w:r w:rsidR="00E0306C">
        <w:t>U</w:t>
      </w:r>
      <w:r>
        <w:t xml:space="preserve">sing these </w:t>
      </w:r>
      <w:r w:rsidR="00E0306C">
        <w:t>methods,</w:t>
      </w:r>
      <w:r>
        <w:t xml:space="preserve"> we can estimate now supplies from each of the sources</w:t>
      </w:r>
      <w:r w:rsidR="00E0306C">
        <w:t xml:space="preserve"> (</w:t>
      </w:r>
      <w:r w:rsidR="00E0306C">
        <w:fldChar w:fldCharType="begin"/>
      </w:r>
      <w:r w:rsidR="00E0306C">
        <w:instrText xml:space="preserve"> REF _Ref142333562 \h </w:instrText>
      </w:r>
      <w:r w:rsidR="00E0306C">
        <w:fldChar w:fldCharType="separate"/>
      </w:r>
      <w:r w:rsidR="00E0306C" w:rsidRPr="007962DB">
        <w:t xml:space="preserve">Figure </w:t>
      </w:r>
      <w:r w:rsidR="00E0306C">
        <w:rPr>
          <w:noProof/>
        </w:rPr>
        <w:t>18</w:t>
      </w:r>
      <w:r w:rsidR="00E0306C">
        <w:fldChar w:fldCharType="end"/>
      </w:r>
      <w:r w:rsidR="00E0306C">
        <w:t>)</w:t>
      </w:r>
      <w:r>
        <w:t>, demand anomalies</w:t>
      </w:r>
      <w:r w:rsidR="00E0306C">
        <w:t xml:space="preserve"> (</w:t>
      </w:r>
      <w:r w:rsidR="00E0306C">
        <w:fldChar w:fldCharType="begin"/>
      </w:r>
      <w:r w:rsidR="00E0306C">
        <w:instrText xml:space="preserve"> REF _Ref142333709 \h </w:instrText>
      </w:r>
      <w:r w:rsidR="00E0306C">
        <w:fldChar w:fldCharType="separate"/>
      </w:r>
      <w:r w:rsidR="00E0306C" w:rsidRPr="007962DB">
        <w:t xml:space="preserve">Figure </w:t>
      </w:r>
      <w:r w:rsidR="00E0306C">
        <w:rPr>
          <w:noProof/>
        </w:rPr>
        <w:t>19</w:t>
      </w:r>
      <w:r w:rsidR="00E0306C">
        <w:fldChar w:fldCharType="end"/>
      </w:r>
      <w:r w:rsidR="00E0306C">
        <w:t>),</w:t>
      </w:r>
      <w:r>
        <w:t xml:space="preserve"> and changes in groundwater storage</w:t>
      </w:r>
      <w:r w:rsidR="00E0306C">
        <w:t xml:space="preserve"> (</w:t>
      </w:r>
      <w:r w:rsidR="00E0306C">
        <w:fldChar w:fldCharType="begin"/>
      </w:r>
      <w:r w:rsidR="00E0306C">
        <w:instrText xml:space="preserve"> REF _Ref142334012 \h </w:instrText>
      </w:r>
      <w:r w:rsidR="00E0306C">
        <w:fldChar w:fldCharType="separate"/>
      </w:r>
      <w:r w:rsidR="00E0306C" w:rsidRPr="007962DB">
        <w:t xml:space="preserve">Figure </w:t>
      </w:r>
      <w:r w:rsidR="00E0306C">
        <w:rPr>
          <w:noProof/>
        </w:rPr>
        <w:t>20</w:t>
      </w:r>
      <w:r w:rsidR="00E0306C">
        <w:fldChar w:fldCharType="end"/>
      </w:r>
      <w:r w:rsidR="00E0306C">
        <w:t>) to</w:t>
      </w:r>
      <w:r>
        <w:t xml:space="preserve"> finally obtain </w:t>
      </w:r>
      <w:r w:rsidR="00E0306C">
        <w:t>effective deliveries (</w:t>
      </w:r>
      <w:r w:rsidR="00E0306C">
        <w:fldChar w:fldCharType="begin"/>
      </w:r>
      <w:r w:rsidR="00E0306C">
        <w:instrText xml:space="preserve"> REF _Ref142333893 \h </w:instrText>
      </w:r>
      <w:r w:rsidR="00E0306C">
        <w:fldChar w:fldCharType="separate"/>
      </w:r>
      <w:r w:rsidR="00E0306C" w:rsidRPr="007962DB">
        <w:t xml:space="preserve">Figure </w:t>
      </w:r>
      <w:r w:rsidR="00E0306C">
        <w:rPr>
          <w:noProof/>
        </w:rPr>
        <w:t>21</w:t>
      </w:r>
      <w:r w:rsidR="00E0306C">
        <w:fldChar w:fldCharType="end"/>
      </w:r>
      <w:r w:rsidR="00E0306C">
        <w:t>) and system</w:t>
      </w:r>
      <w:r>
        <w:t xml:space="preserve"> shortages</w:t>
      </w:r>
      <w:r w:rsidR="00E0306C">
        <w:t xml:space="preserve"> (</w:t>
      </w:r>
      <w:r w:rsidR="00E0306C">
        <w:fldChar w:fldCharType="begin"/>
      </w:r>
      <w:r w:rsidR="00E0306C">
        <w:instrText xml:space="preserve"> REF _Ref142334155 \h </w:instrText>
      </w:r>
      <w:r w:rsidR="00E0306C">
        <w:fldChar w:fldCharType="separate"/>
      </w:r>
      <w:r w:rsidR="00E0306C" w:rsidRPr="007962DB">
        <w:t xml:space="preserve">Figure </w:t>
      </w:r>
      <w:r w:rsidR="00E0306C">
        <w:rPr>
          <w:noProof/>
        </w:rPr>
        <w:t>22</w:t>
      </w:r>
      <w:r w:rsidR="00E0306C">
        <w:fldChar w:fldCharType="end"/>
      </w:r>
      <w:r w:rsidR="00E0306C">
        <w:t>)</w:t>
      </w:r>
      <w:r>
        <w:t>.</w:t>
      </w:r>
    </w:p>
    <w:p w14:paraId="7CA71C00" w14:textId="05C4DF82" w:rsidR="00E0306C" w:rsidRPr="007962DB" w:rsidRDefault="00E0306C" w:rsidP="00E0306C">
      <w:pPr>
        <w:pStyle w:val="Caption"/>
      </w:pPr>
      <w:bookmarkStart w:id="47" w:name="_Ref142333562"/>
      <w:bookmarkStart w:id="48" w:name="OLE_LINK25"/>
      <w:bookmarkStart w:id="49" w:name="OLE_LINK26"/>
      <w:r w:rsidRPr="007962DB">
        <w:lastRenderedPageBreak/>
        <w:t xml:space="preserve">Figure </w:t>
      </w:r>
      <w:fldSimple w:instr=" SEQ Figure \* ARABIC ">
        <w:r>
          <w:rPr>
            <w:noProof/>
          </w:rPr>
          <w:t>18</w:t>
        </w:r>
      </w:fldSimple>
      <w:bookmarkEnd w:id="47"/>
      <w:r w:rsidRPr="007962DB">
        <w:t xml:space="preserve">. </w:t>
      </w:r>
      <w:r>
        <w:t>Estimated annual deliveries from each source since 1991</w:t>
      </w:r>
    </w:p>
    <w:p w14:paraId="31EA1C65" w14:textId="68A0C6E8" w:rsidR="00E0306C" w:rsidRPr="00E03019" w:rsidRDefault="00E0306C" w:rsidP="00E0306C">
      <w:pPr>
        <w:rPr>
          <w:b/>
        </w:rPr>
      </w:pPr>
      <w:r>
        <w:rPr>
          <w:noProof/>
        </w:rPr>
        <w:drawing>
          <wp:inline distT="0" distB="0" distL="0" distR="0" wp14:anchorId="7AFBB0D5" wp14:editId="1E0EE4DC">
            <wp:extent cx="5943600" cy="2593340"/>
            <wp:effectExtent l="0" t="0" r="0" b="0"/>
            <wp:docPr id="30" name="Chart 30">
              <a:extLst xmlns:a="http://schemas.openxmlformats.org/drawingml/2006/main">
                <a:ext uri="{FF2B5EF4-FFF2-40B4-BE49-F238E27FC236}">
                  <a16:creationId xmlns:a16="http://schemas.microsoft.com/office/drawing/2014/main" id="{B3808C1E-68B1-954E-8BA6-BBCBE2A54DD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7D5013D9" w14:textId="732A2106"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bookmarkEnd w:id="48"/>
      <w:bookmarkEnd w:id="49"/>
    </w:p>
    <w:p w14:paraId="23DFA262" w14:textId="49FD226A" w:rsidR="00E0306C" w:rsidRPr="007962DB" w:rsidRDefault="00E0306C" w:rsidP="00E0306C">
      <w:pPr>
        <w:pStyle w:val="Caption"/>
      </w:pPr>
      <w:bookmarkStart w:id="50" w:name="_Ref142333709"/>
      <w:r w:rsidRPr="007962DB">
        <w:t xml:space="preserve">Figure </w:t>
      </w:r>
      <w:fldSimple w:instr=" SEQ Figure \* ARABIC ">
        <w:r>
          <w:rPr>
            <w:noProof/>
          </w:rPr>
          <w:t>19</w:t>
        </w:r>
      </w:fldSimple>
      <w:bookmarkEnd w:id="50"/>
      <w:r w:rsidRPr="007962DB">
        <w:t xml:space="preserve">. </w:t>
      </w:r>
      <w:r>
        <w:t>Estimated demand anomalies since 1991</w:t>
      </w:r>
    </w:p>
    <w:p w14:paraId="556554FA" w14:textId="507F9DDB" w:rsidR="00E0306C" w:rsidRPr="00E03019" w:rsidRDefault="00E0306C" w:rsidP="00E0306C">
      <w:pPr>
        <w:rPr>
          <w:b/>
        </w:rPr>
      </w:pPr>
      <w:r>
        <w:rPr>
          <w:noProof/>
        </w:rPr>
        <w:drawing>
          <wp:inline distT="0" distB="0" distL="0" distR="0" wp14:anchorId="4AD7B72B" wp14:editId="7B2F7F27">
            <wp:extent cx="5943600" cy="2593340"/>
            <wp:effectExtent l="0" t="0" r="0" b="0"/>
            <wp:docPr id="32" name="Chart 32">
              <a:extLst xmlns:a="http://schemas.openxmlformats.org/drawingml/2006/main">
                <a:ext uri="{FF2B5EF4-FFF2-40B4-BE49-F238E27FC236}">
                  <a16:creationId xmlns:a16="http://schemas.microsoft.com/office/drawing/2014/main" id="{5E3F6F3A-E562-E745-843D-0279B1B1A40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E348812" w14:textId="24EA8BF7"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p>
    <w:p w14:paraId="3A673AA5" w14:textId="21327B59" w:rsidR="00E0306C" w:rsidRPr="007962DB" w:rsidRDefault="00E0306C" w:rsidP="00E0306C">
      <w:pPr>
        <w:pStyle w:val="Caption"/>
      </w:pPr>
      <w:bookmarkStart w:id="51" w:name="_Ref142334012"/>
      <w:r w:rsidRPr="007962DB">
        <w:lastRenderedPageBreak/>
        <w:t xml:space="preserve">Figure </w:t>
      </w:r>
      <w:fldSimple w:instr=" SEQ Figure \* ARABIC ">
        <w:r>
          <w:rPr>
            <w:noProof/>
          </w:rPr>
          <w:t>20</w:t>
        </w:r>
      </w:fldSimple>
      <w:bookmarkEnd w:id="51"/>
      <w:r w:rsidRPr="007962DB">
        <w:t xml:space="preserve">. </w:t>
      </w:r>
      <w:r>
        <w:t>Estimated changes in groundwater storage since 1991</w:t>
      </w:r>
    </w:p>
    <w:p w14:paraId="2541AD20" w14:textId="1B931962" w:rsidR="00E0306C" w:rsidRPr="00E03019" w:rsidRDefault="00E0306C" w:rsidP="00E0306C">
      <w:pPr>
        <w:rPr>
          <w:b/>
        </w:rPr>
      </w:pPr>
      <w:r>
        <w:rPr>
          <w:noProof/>
        </w:rPr>
        <w:drawing>
          <wp:inline distT="0" distB="0" distL="0" distR="0" wp14:anchorId="75417FCB" wp14:editId="63C89DAC">
            <wp:extent cx="5943600" cy="2593340"/>
            <wp:effectExtent l="0" t="0" r="0" b="0"/>
            <wp:docPr id="34" name="Chart 34">
              <a:extLst xmlns:a="http://schemas.openxmlformats.org/drawingml/2006/main">
                <a:ext uri="{FF2B5EF4-FFF2-40B4-BE49-F238E27FC236}">
                  <a16:creationId xmlns:a16="http://schemas.microsoft.com/office/drawing/2014/main" id="{FCB261BF-39E0-6642-99DE-6C51D426C8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639B6EA7" w14:textId="77777777"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p>
    <w:p w14:paraId="58F4DD3B" w14:textId="3F7178B2" w:rsidR="00E0306C" w:rsidRPr="007962DB" w:rsidRDefault="00E0306C" w:rsidP="00E0306C">
      <w:pPr>
        <w:pStyle w:val="Caption"/>
      </w:pPr>
      <w:bookmarkStart w:id="52" w:name="_Ref142333893"/>
      <w:r w:rsidRPr="007962DB">
        <w:t xml:space="preserve">Figure </w:t>
      </w:r>
      <w:fldSimple w:instr=" SEQ Figure \* ARABIC ">
        <w:r>
          <w:rPr>
            <w:noProof/>
          </w:rPr>
          <w:t>21</w:t>
        </w:r>
      </w:fldSimple>
      <w:bookmarkEnd w:id="52"/>
      <w:r w:rsidRPr="007962DB">
        <w:t xml:space="preserve">. </w:t>
      </w:r>
      <w:r>
        <w:t>Estimated final effective deliveries since 1991</w:t>
      </w:r>
    </w:p>
    <w:p w14:paraId="44D80FC7" w14:textId="7B844007" w:rsidR="00E0306C" w:rsidRPr="00E03019" w:rsidRDefault="00E0306C" w:rsidP="00E0306C">
      <w:pPr>
        <w:rPr>
          <w:b/>
        </w:rPr>
      </w:pPr>
      <w:r>
        <w:rPr>
          <w:noProof/>
        </w:rPr>
        <w:drawing>
          <wp:inline distT="0" distB="0" distL="0" distR="0" wp14:anchorId="1B993C90" wp14:editId="2C08BA04">
            <wp:extent cx="5943600" cy="2593340"/>
            <wp:effectExtent l="0" t="0" r="0" b="0"/>
            <wp:docPr id="36" name="Chart 36">
              <a:extLst xmlns:a="http://schemas.openxmlformats.org/drawingml/2006/main">
                <a:ext uri="{FF2B5EF4-FFF2-40B4-BE49-F238E27FC236}">
                  <a16:creationId xmlns:a16="http://schemas.microsoft.com/office/drawing/2014/main" id="{E3F40293-EEF1-8545-B2F7-403AF587A9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2FE21BFC" w14:textId="77777777"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p>
    <w:p w14:paraId="390ADAD1" w14:textId="7B97ED63" w:rsidR="00E0306C" w:rsidRPr="007962DB" w:rsidRDefault="00E0306C" w:rsidP="00E0306C">
      <w:pPr>
        <w:pStyle w:val="Caption"/>
      </w:pPr>
      <w:bookmarkStart w:id="53" w:name="_Ref142334155"/>
      <w:bookmarkStart w:id="54" w:name="OLE_LINK27"/>
      <w:bookmarkStart w:id="55" w:name="OLE_LINK28"/>
      <w:r w:rsidRPr="007962DB">
        <w:lastRenderedPageBreak/>
        <w:t xml:space="preserve">Figure </w:t>
      </w:r>
      <w:fldSimple w:instr=" SEQ Figure \* ARABIC ">
        <w:r>
          <w:rPr>
            <w:noProof/>
          </w:rPr>
          <w:t>22</w:t>
        </w:r>
      </w:fldSimple>
      <w:bookmarkEnd w:id="53"/>
      <w:r w:rsidRPr="007962DB">
        <w:t xml:space="preserve">. </w:t>
      </w:r>
      <w:r>
        <w:t>Estimated system shortages since 1991</w:t>
      </w:r>
    </w:p>
    <w:p w14:paraId="70796960" w14:textId="41779593" w:rsidR="00E0306C" w:rsidRPr="00E03019" w:rsidRDefault="00E0306C" w:rsidP="00E0306C">
      <w:pPr>
        <w:rPr>
          <w:b/>
        </w:rPr>
      </w:pPr>
      <w:r>
        <w:rPr>
          <w:noProof/>
        </w:rPr>
        <w:drawing>
          <wp:inline distT="0" distB="0" distL="0" distR="0" wp14:anchorId="23B1F668" wp14:editId="1EF36491">
            <wp:extent cx="5943600" cy="2593340"/>
            <wp:effectExtent l="0" t="0" r="0" b="0"/>
            <wp:docPr id="38" name="Chart 38">
              <a:extLst xmlns:a="http://schemas.openxmlformats.org/drawingml/2006/main">
                <a:ext uri="{FF2B5EF4-FFF2-40B4-BE49-F238E27FC236}">
                  <a16:creationId xmlns:a16="http://schemas.microsoft.com/office/drawing/2014/main" id="{C4E8D681-09B6-F94B-BB71-127C2CEBA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7CCC85D3" w14:textId="77777777" w:rsidR="00E0306C" w:rsidRDefault="00E0306C" w:rsidP="00E0306C">
      <w:pPr>
        <w:pStyle w:val="Caption"/>
        <w:keepNext w:val="0"/>
        <w:spacing w:before="0"/>
        <w:rPr>
          <w:b w:val="0"/>
        </w:rPr>
      </w:pPr>
      <w:r>
        <w:t xml:space="preserve">Notes: </w:t>
      </w:r>
      <w:r>
        <w:rPr>
          <w:b w:val="0"/>
        </w:rPr>
        <w:t>Calculated</w:t>
      </w:r>
      <w:r w:rsidRPr="005B3721">
        <w:rPr>
          <w:b w:val="0"/>
        </w:rPr>
        <w:t xml:space="preserve"> by the authors</w:t>
      </w:r>
    </w:p>
    <w:bookmarkEnd w:id="54"/>
    <w:bookmarkEnd w:id="55"/>
    <w:p w14:paraId="10837D4C" w14:textId="2DB6E34C" w:rsidR="009016C7" w:rsidRPr="00B30F74" w:rsidRDefault="008E709B" w:rsidP="00B30F74">
      <w:r>
        <w:t>Although in the previous figures we have show</w:t>
      </w:r>
      <w:r w:rsidR="004B0E6B">
        <w:t>n</w:t>
      </w:r>
      <w:r>
        <w:t xml:space="preserve"> the annual average of the </w:t>
      </w:r>
      <w:r w:rsidR="004B0E6B">
        <w:t>deliveries and shortages</w:t>
      </w:r>
      <w:r>
        <w:t>, we can obtain the</w:t>
      </w:r>
      <w:r w:rsidR="004B0E6B">
        <w:t xml:space="preserve">se values for any month in the dataset. Then, to obtain the system drought indicator we will use a similar approach than we used in Methodology 1, obtaining the distribution of shortages for each month, and then obtaining the monthly percentile of these shortages, to be consistent with the drought indicators obtained previously. </w:t>
      </w:r>
      <w:r w:rsidR="004B0E6B">
        <w:fldChar w:fldCharType="begin"/>
      </w:r>
      <w:r w:rsidR="004B0E6B">
        <w:instrText xml:space="preserve"> REF _Ref142350022 \h </w:instrText>
      </w:r>
      <w:r w:rsidR="004B0E6B">
        <w:fldChar w:fldCharType="separate"/>
      </w:r>
      <w:r w:rsidR="004B0E6B" w:rsidRPr="007962DB">
        <w:t xml:space="preserve">Figure </w:t>
      </w:r>
      <w:r w:rsidR="004B0E6B">
        <w:rPr>
          <w:noProof/>
        </w:rPr>
        <w:t>23</w:t>
      </w:r>
      <w:r w:rsidR="004B0E6B">
        <w:fldChar w:fldCharType="end"/>
      </w:r>
      <w:r w:rsidR="004B0E6B">
        <w:t xml:space="preserve"> show the system drought indicator and its associated shortages.</w:t>
      </w:r>
    </w:p>
    <w:p w14:paraId="5D87262A" w14:textId="46231D27" w:rsidR="004B0E6B" w:rsidRPr="007962DB" w:rsidRDefault="004B0E6B" w:rsidP="004B0E6B">
      <w:pPr>
        <w:pStyle w:val="Caption"/>
      </w:pPr>
      <w:bookmarkStart w:id="56" w:name="_Ref142350022"/>
      <w:r w:rsidRPr="007962DB">
        <w:t xml:space="preserve">Figure </w:t>
      </w:r>
      <w:fldSimple w:instr=" SEQ Figure \* ARABIC ">
        <w:r>
          <w:rPr>
            <w:noProof/>
          </w:rPr>
          <w:t>23</w:t>
        </w:r>
      </w:fldSimple>
      <w:bookmarkEnd w:id="56"/>
      <w:r w:rsidRPr="007962DB">
        <w:t xml:space="preserve">. </w:t>
      </w:r>
      <w:r>
        <w:t>Drought system indicator and water shortages in the San Joaquin River HR for every month since 1991</w:t>
      </w:r>
    </w:p>
    <w:p w14:paraId="24D006BB" w14:textId="1E0F0227" w:rsidR="004B0E6B" w:rsidRPr="00E03019" w:rsidRDefault="004B0E6B" w:rsidP="004B0E6B">
      <w:pPr>
        <w:rPr>
          <w:b/>
        </w:rPr>
      </w:pPr>
      <w:r w:rsidRPr="004B0E6B">
        <w:rPr>
          <w:b/>
          <w:noProof/>
        </w:rPr>
        <w:drawing>
          <wp:inline distT="0" distB="0" distL="0" distR="0" wp14:anchorId="40D257DA" wp14:editId="6FD0FC11">
            <wp:extent cx="5943600" cy="275717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757170"/>
                    </a:xfrm>
                    <a:prstGeom prst="rect">
                      <a:avLst/>
                    </a:prstGeom>
                  </pic:spPr>
                </pic:pic>
              </a:graphicData>
            </a:graphic>
          </wp:inline>
        </w:drawing>
      </w:r>
    </w:p>
    <w:p w14:paraId="5B9EF5DE" w14:textId="77777777" w:rsidR="004B0E6B" w:rsidRDefault="004B0E6B" w:rsidP="004B0E6B">
      <w:pPr>
        <w:pStyle w:val="Caption"/>
        <w:keepNext w:val="0"/>
        <w:spacing w:before="0"/>
        <w:rPr>
          <w:b w:val="0"/>
        </w:rPr>
      </w:pPr>
      <w:r>
        <w:t xml:space="preserve">Notes: </w:t>
      </w:r>
      <w:r>
        <w:rPr>
          <w:b w:val="0"/>
        </w:rPr>
        <w:t>Calculated</w:t>
      </w:r>
      <w:r w:rsidRPr="005B3721">
        <w:rPr>
          <w:b w:val="0"/>
        </w:rPr>
        <w:t xml:space="preserve"> by the authors</w:t>
      </w:r>
    </w:p>
    <w:p w14:paraId="3CB4EEC9" w14:textId="216E3BA2" w:rsidR="004772BB" w:rsidRDefault="004772BB" w:rsidP="004772BB">
      <w:pPr>
        <w:pStyle w:val="Heading1"/>
      </w:pPr>
      <w:r>
        <w:lastRenderedPageBreak/>
        <w:t>Conclusions</w:t>
      </w:r>
    </w:p>
    <w:p w14:paraId="1CF27624" w14:textId="4E7A751F" w:rsidR="004772BB" w:rsidRDefault="004772BB" w:rsidP="004772BB">
      <w:r>
        <w:t>With this methodology, we have developed a drought indicator to be used in water systems with complex supply portfolios, taking into consideration management decisions—including the overuse of groundwater resources.</w:t>
      </w:r>
    </w:p>
    <w:p w14:paraId="4AEBF6E2" w14:textId="78C8DBD0" w:rsidR="004772BB" w:rsidRDefault="004772BB" w:rsidP="004772BB">
      <w:r>
        <w:t>Using drought indicators developed in Methodology 1 to understand water deliveries and management decisions, we obtained the system drought indicator for a number of years (2002-2019) where we had detailed delivery data from DWR water balance dataset. But because we based our approach in indicators from data readily available, we could extrapolate the methodology to any month, obtaining system water shortages and its corresponding water system drought indicator.</w:t>
      </w:r>
    </w:p>
    <w:p w14:paraId="4CA5B31F" w14:textId="3C67AA38" w:rsidR="004772BB" w:rsidRPr="004772BB" w:rsidRDefault="004772BB" w:rsidP="004772BB">
      <w:r>
        <w:t xml:space="preserve">Although we have applied the methodology to the San Joaquin River hydrologic region—an agricultural region—this method could be applied to any water user </w:t>
      </w:r>
      <w:r w:rsidR="001D207D">
        <w:t>with delivery data available—being able to obtain sectoral water drought indicators. In California, this is especially relevant for cities and agricultural districts with complex supply portfolios.</w:t>
      </w:r>
    </w:p>
    <w:p w14:paraId="38BB5991" w14:textId="23DD61BE" w:rsidR="0086363E" w:rsidRDefault="0086363E" w:rsidP="004772BB">
      <w:pPr>
        <w:pStyle w:val="Heading3"/>
        <w:numPr>
          <w:ilvl w:val="0"/>
          <w:numId w:val="0"/>
        </w:numPr>
      </w:pPr>
      <w:r>
        <w:br w:type="page"/>
      </w:r>
    </w:p>
    <w:p w14:paraId="5457848D" w14:textId="65C581C7" w:rsidR="0086363E" w:rsidRPr="005B77DC" w:rsidRDefault="0086363E" w:rsidP="0086363E">
      <w:pPr>
        <w:pStyle w:val="Heading1"/>
      </w:pPr>
      <w:r>
        <w:lastRenderedPageBreak/>
        <w:t>References</w:t>
      </w:r>
    </w:p>
    <w:p w14:paraId="258F74CD" w14:textId="77777777" w:rsidR="00EC4996" w:rsidRPr="00EC4996" w:rsidRDefault="0086363E" w:rsidP="00EC4996">
      <w:pPr>
        <w:pStyle w:val="Bibliography"/>
        <w:rPr>
          <w:rFonts w:ascii="Calibri" w:cs="Calibri"/>
        </w:rPr>
      </w:pPr>
      <w:r>
        <w:fldChar w:fldCharType="begin"/>
      </w:r>
      <w:r w:rsidR="006417ED">
        <w:instrText xml:space="preserve"> ADDIN ZOTERO_BIBL {"uncited":[],"omitted":[],"custom":[]} CSL_BIBLIOGRAPHY </w:instrText>
      </w:r>
      <w:r>
        <w:fldChar w:fldCharType="separate"/>
      </w:r>
      <w:r w:rsidR="00EC4996" w:rsidRPr="00EC4996">
        <w:rPr>
          <w:rFonts w:ascii="Calibri" w:cs="Calibri"/>
        </w:rPr>
        <w:t xml:space="preserve">Albano, C. M., </w:t>
      </w:r>
      <w:proofErr w:type="spellStart"/>
      <w:r w:rsidR="00EC4996" w:rsidRPr="00EC4996">
        <w:rPr>
          <w:rFonts w:ascii="Calibri" w:cs="Calibri"/>
        </w:rPr>
        <w:t>Abatzoglou</w:t>
      </w:r>
      <w:proofErr w:type="spellEnd"/>
      <w:r w:rsidR="00EC4996" w:rsidRPr="00EC4996">
        <w:rPr>
          <w:rFonts w:ascii="Calibri" w:cs="Calibri"/>
        </w:rPr>
        <w:t xml:space="preserve">, J. T., McEvoy, D. J., Huntington, J. L., Morton, C. G., </w:t>
      </w:r>
      <w:proofErr w:type="spellStart"/>
      <w:r w:rsidR="00EC4996" w:rsidRPr="00EC4996">
        <w:rPr>
          <w:rFonts w:ascii="Calibri" w:cs="Calibri"/>
        </w:rPr>
        <w:t>Dettinger</w:t>
      </w:r>
      <w:proofErr w:type="spellEnd"/>
      <w:r w:rsidR="00EC4996" w:rsidRPr="00EC4996">
        <w:rPr>
          <w:rFonts w:ascii="Calibri" w:cs="Calibri"/>
        </w:rPr>
        <w:t xml:space="preserve">, M. D., &amp; Ott, T. J. (2022). A </w:t>
      </w:r>
      <w:proofErr w:type="spellStart"/>
      <w:r w:rsidR="00EC4996" w:rsidRPr="00EC4996">
        <w:rPr>
          <w:rFonts w:ascii="Calibri" w:cs="Calibri"/>
        </w:rPr>
        <w:t>Multidataset</w:t>
      </w:r>
      <w:proofErr w:type="spellEnd"/>
      <w:r w:rsidR="00EC4996" w:rsidRPr="00EC4996">
        <w:rPr>
          <w:rFonts w:ascii="Calibri" w:cs="Calibri"/>
        </w:rPr>
        <w:t xml:space="preserve"> Assessment of Climatic Drivers and Uncertainties of Recent Trends in Evaporative Demand across the Continental United States. </w:t>
      </w:r>
      <w:r w:rsidR="00EC4996" w:rsidRPr="00EC4996">
        <w:rPr>
          <w:rFonts w:ascii="Calibri" w:cs="Calibri"/>
          <w:i/>
          <w:iCs/>
        </w:rPr>
        <w:t>Journal of Hydrometeorology</w:t>
      </w:r>
      <w:r w:rsidR="00EC4996" w:rsidRPr="00EC4996">
        <w:rPr>
          <w:rFonts w:ascii="Calibri" w:cs="Calibri"/>
        </w:rPr>
        <w:t xml:space="preserve">, </w:t>
      </w:r>
      <w:r w:rsidR="00EC4996" w:rsidRPr="00EC4996">
        <w:rPr>
          <w:rFonts w:ascii="Calibri" w:cs="Calibri"/>
          <w:i/>
          <w:iCs/>
        </w:rPr>
        <w:t>23</w:t>
      </w:r>
      <w:r w:rsidR="00EC4996" w:rsidRPr="00EC4996">
        <w:rPr>
          <w:rFonts w:ascii="Calibri" w:cs="Calibri"/>
        </w:rPr>
        <w:t>(4), 505–519. https://doi.org/10.1175/JHM-D-21-0163.1</w:t>
      </w:r>
    </w:p>
    <w:p w14:paraId="0B80AB87" w14:textId="77777777" w:rsidR="00EC4996" w:rsidRPr="00EC4996" w:rsidRDefault="00EC4996" w:rsidP="00EC4996">
      <w:pPr>
        <w:pStyle w:val="Bibliography"/>
        <w:rPr>
          <w:rFonts w:ascii="Calibri" w:cs="Calibri"/>
        </w:rPr>
      </w:pPr>
      <w:r w:rsidRPr="00EC4996">
        <w:rPr>
          <w:rFonts w:ascii="Calibri" w:cs="Calibri"/>
        </w:rPr>
        <w:t>California Department of Water Resources. (n.d.). Water Data Portfolios. Retrieved June 22, 2023, from https://water.ca.gov/Programs/California-Water-Plan/Water-Portfolios</w:t>
      </w:r>
    </w:p>
    <w:p w14:paraId="6240FF5B" w14:textId="77777777" w:rsidR="00EC4996" w:rsidRPr="00EC4996" w:rsidRDefault="00EC4996" w:rsidP="00EC4996">
      <w:pPr>
        <w:pStyle w:val="Bibliography"/>
        <w:rPr>
          <w:rFonts w:ascii="Calibri" w:cs="Calibri"/>
        </w:rPr>
      </w:pPr>
      <w:r w:rsidRPr="00EC4996">
        <w:rPr>
          <w:rFonts w:ascii="Calibri" w:cs="Calibri"/>
          <w:lang w:val="es-ES"/>
        </w:rPr>
        <w:t xml:space="preserve">Cardona, O. D., Van Aalst, M. K., </w:t>
      </w:r>
      <w:proofErr w:type="spellStart"/>
      <w:r w:rsidRPr="00EC4996">
        <w:rPr>
          <w:rFonts w:ascii="Calibri" w:cs="Calibri"/>
          <w:lang w:val="es-ES"/>
        </w:rPr>
        <w:t>Birkmann</w:t>
      </w:r>
      <w:proofErr w:type="spellEnd"/>
      <w:r w:rsidRPr="00EC4996">
        <w:rPr>
          <w:rFonts w:ascii="Calibri" w:cs="Calibri"/>
          <w:lang w:val="es-ES"/>
        </w:rPr>
        <w:t xml:space="preserve">, J., </w:t>
      </w:r>
      <w:proofErr w:type="spellStart"/>
      <w:r w:rsidRPr="00EC4996">
        <w:rPr>
          <w:rFonts w:ascii="Calibri" w:cs="Calibri"/>
          <w:lang w:val="es-ES"/>
        </w:rPr>
        <w:t>Fordham</w:t>
      </w:r>
      <w:proofErr w:type="spellEnd"/>
      <w:r w:rsidRPr="00EC4996">
        <w:rPr>
          <w:rFonts w:ascii="Calibri" w:cs="Calibri"/>
          <w:lang w:val="es-ES"/>
        </w:rPr>
        <w:t xml:space="preserve">, M., Mc </w:t>
      </w:r>
      <w:proofErr w:type="spellStart"/>
      <w:r w:rsidRPr="00EC4996">
        <w:rPr>
          <w:rFonts w:ascii="Calibri" w:cs="Calibri"/>
          <w:lang w:val="es-ES"/>
        </w:rPr>
        <w:t>Gregor</w:t>
      </w:r>
      <w:proofErr w:type="spellEnd"/>
      <w:r w:rsidRPr="00EC4996">
        <w:rPr>
          <w:rFonts w:ascii="Calibri" w:cs="Calibri"/>
          <w:lang w:val="es-ES"/>
        </w:rPr>
        <w:t xml:space="preserve">, G., Rosa, P., et al. </w:t>
      </w:r>
      <w:r w:rsidRPr="00EC4996">
        <w:rPr>
          <w:rFonts w:ascii="Calibri" w:cs="Calibri"/>
        </w:rPr>
        <w:t xml:space="preserve">(2012). Determinants of risk: exposure and vulnerability. In </w:t>
      </w:r>
      <w:r w:rsidRPr="00EC4996">
        <w:rPr>
          <w:rFonts w:ascii="Calibri" w:cs="Calibri"/>
          <w:i/>
          <w:iCs/>
        </w:rPr>
        <w:t>Managing the risks of extreme events and disasters to advance climate change adaptation: special report of the intergovernmental panel on climate change</w:t>
      </w:r>
      <w:r w:rsidRPr="00EC4996">
        <w:rPr>
          <w:rFonts w:ascii="Calibri" w:cs="Calibri"/>
        </w:rPr>
        <w:t xml:space="preserve"> (pp. 65–108). Cambridge University Press.</w:t>
      </w:r>
    </w:p>
    <w:p w14:paraId="7291316E" w14:textId="77777777" w:rsidR="00EC4996" w:rsidRPr="00EC4996" w:rsidRDefault="00EC4996" w:rsidP="00EC4996">
      <w:pPr>
        <w:pStyle w:val="Bibliography"/>
        <w:rPr>
          <w:rFonts w:ascii="Calibri" w:cs="Calibri"/>
        </w:rPr>
      </w:pPr>
      <w:proofErr w:type="spellStart"/>
      <w:r w:rsidRPr="00EC4996">
        <w:rPr>
          <w:rFonts w:ascii="Calibri" w:cs="Calibri"/>
        </w:rPr>
        <w:t>Carrão</w:t>
      </w:r>
      <w:proofErr w:type="spellEnd"/>
      <w:r w:rsidRPr="00EC4996">
        <w:rPr>
          <w:rFonts w:ascii="Calibri" w:cs="Calibri"/>
        </w:rPr>
        <w:t xml:space="preserve">, H., Naumann, G., &amp; Barbosa, P. (2016). Mapping global patterns of drought risk: An empirical framework based on sub-national estimates of hazard, exposure and vulnerability. </w:t>
      </w:r>
      <w:r w:rsidRPr="00EC4996">
        <w:rPr>
          <w:rFonts w:ascii="Calibri" w:cs="Calibri"/>
          <w:i/>
          <w:iCs/>
        </w:rPr>
        <w:t>Global Environmental Change</w:t>
      </w:r>
      <w:r w:rsidRPr="00EC4996">
        <w:rPr>
          <w:rFonts w:ascii="Calibri" w:cs="Calibri"/>
        </w:rPr>
        <w:t xml:space="preserve">, </w:t>
      </w:r>
      <w:r w:rsidRPr="00EC4996">
        <w:rPr>
          <w:rFonts w:ascii="Calibri" w:cs="Calibri"/>
          <w:i/>
          <w:iCs/>
        </w:rPr>
        <w:t>39</w:t>
      </w:r>
      <w:r w:rsidRPr="00EC4996">
        <w:rPr>
          <w:rFonts w:ascii="Calibri" w:cs="Calibri"/>
        </w:rPr>
        <w:t>, 108–124. https://doi.org/10.1016/j.gloenvcha.2016.04.012</w:t>
      </w:r>
    </w:p>
    <w:p w14:paraId="47222DF7" w14:textId="77777777" w:rsidR="00EC4996" w:rsidRPr="00EC4996" w:rsidRDefault="00EC4996" w:rsidP="00EC4996">
      <w:pPr>
        <w:pStyle w:val="Bibliography"/>
        <w:rPr>
          <w:rFonts w:ascii="Calibri" w:cs="Calibri"/>
        </w:rPr>
      </w:pPr>
      <w:proofErr w:type="spellStart"/>
      <w:r w:rsidRPr="00EC4996">
        <w:rPr>
          <w:rFonts w:ascii="Calibri" w:cs="Calibri"/>
        </w:rPr>
        <w:t>Gartrell</w:t>
      </w:r>
      <w:proofErr w:type="spellEnd"/>
      <w:r w:rsidRPr="00EC4996">
        <w:rPr>
          <w:rFonts w:ascii="Calibri" w:cs="Calibri"/>
        </w:rPr>
        <w:t xml:space="preserve">, G., Mount, J., </w:t>
      </w:r>
      <w:proofErr w:type="spellStart"/>
      <w:r w:rsidRPr="00EC4996">
        <w:rPr>
          <w:rFonts w:ascii="Calibri" w:cs="Calibri"/>
        </w:rPr>
        <w:t>Hanak</w:t>
      </w:r>
      <w:proofErr w:type="spellEnd"/>
      <w:r w:rsidRPr="00EC4996">
        <w:rPr>
          <w:rFonts w:ascii="Calibri" w:cs="Calibri"/>
        </w:rPr>
        <w:t xml:space="preserve">, E., &amp; Gray, B. (2017). A new approach to accounting for environmental water. </w:t>
      </w:r>
      <w:r w:rsidRPr="00EC4996">
        <w:rPr>
          <w:rFonts w:ascii="Calibri" w:cs="Calibri"/>
          <w:i/>
          <w:iCs/>
        </w:rPr>
        <w:t>Public Policy Institute of California</w:t>
      </w:r>
      <w:r w:rsidRPr="00EC4996">
        <w:rPr>
          <w:rFonts w:ascii="Calibri" w:cs="Calibri"/>
        </w:rPr>
        <w:t>.</w:t>
      </w:r>
    </w:p>
    <w:p w14:paraId="054A30E1" w14:textId="77777777" w:rsidR="00EC4996" w:rsidRPr="00EC4996" w:rsidRDefault="00EC4996" w:rsidP="00EC4996">
      <w:pPr>
        <w:pStyle w:val="Bibliography"/>
        <w:rPr>
          <w:rFonts w:ascii="Calibri" w:cs="Calibri"/>
        </w:rPr>
      </w:pPr>
      <w:proofErr w:type="spellStart"/>
      <w:r w:rsidRPr="00EC4996">
        <w:rPr>
          <w:rFonts w:ascii="Calibri" w:cs="Calibri"/>
        </w:rPr>
        <w:t>Hanak</w:t>
      </w:r>
      <w:proofErr w:type="spellEnd"/>
      <w:r w:rsidRPr="00EC4996">
        <w:rPr>
          <w:rFonts w:ascii="Calibri" w:cs="Calibri"/>
        </w:rPr>
        <w:t xml:space="preserve">, E., Escriva-Bou, A., Gray, B., Green, S., Harter, T., </w:t>
      </w:r>
      <w:proofErr w:type="spellStart"/>
      <w:r w:rsidRPr="00EC4996">
        <w:rPr>
          <w:rFonts w:ascii="Calibri" w:cs="Calibri"/>
        </w:rPr>
        <w:t>Jezdimirovic</w:t>
      </w:r>
      <w:proofErr w:type="spellEnd"/>
      <w:r w:rsidRPr="00EC4996">
        <w:rPr>
          <w:rFonts w:ascii="Calibri" w:cs="Calibri"/>
        </w:rPr>
        <w:t xml:space="preserve">, J., et al. (2019). Water and the future of the San Joaquin Valley. </w:t>
      </w:r>
      <w:r w:rsidRPr="00EC4996">
        <w:rPr>
          <w:rFonts w:ascii="Calibri" w:cs="Calibri"/>
          <w:i/>
          <w:iCs/>
        </w:rPr>
        <w:t>Public Policy Institute of California</w:t>
      </w:r>
      <w:r w:rsidRPr="00EC4996">
        <w:rPr>
          <w:rFonts w:ascii="Calibri" w:cs="Calibri"/>
        </w:rPr>
        <w:t xml:space="preserve">, </w:t>
      </w:r>
      <w:r w:rsidRPr="00EC4996">
        <w:rPr>
          <w:rFonts w:ascii="Calibri" w:cs="Calibri"/>
          <w:i/>
          <w:iCs/>
        </w:rPr>
        <w:t>100</w:t>
      </w:r>
      <w:r w:rsidRPr="00EC4996">
        <w:rPr>
          <w:rFonts w:ascii="Calibri" w:cs="Calibri"/>
        </w:rPr>
        <w:t>.</w:t>
      </w:r>
    </w:p>
    <w:p w14:paraId="0A41DA8B" w14:textId="77777777" w:rsidR="00EC4996" w:rsidRPr="00EC4996" w:rsidRDefault="00EC4996" w:rsidP="00EC4996">
      <w:pPr>
        <w:pStyle w:val="Bibliography"/>
        <w:rPr>
          <w:rFonts w:ascii="Calibri" w:cs="Calibri"/>
        </w:rPr>
      </w:pPr>
      <w:r w:rsidRPr="00EC4996">
        <w:rPr>
          <w:rFonts w:ascii="Calibri" w:cs="Calibri"/>
        </w:rPr>
        <w:lastRenderedPageBreak/>
        <w:t xml:space="preserve">IPCC. (2014). Climate change 2014: impacts, adaptation, and vulnerability. Part A: global and sectoral aspects. Contribution of Working Group II to the fifth assessment report of the Intergovernmental Panel on Climate Change. </w:t>
      </w:r>
      <w:proofErr w:type="spellStart"/>
      <w:r w:rsidRPr="00EC4996">
        <w:rPr>
          <w:rFonts w:ascii="Calibri" w:cs="Calibri"/>
          <w:i/>
          <w:iCs/>
        </w:rPr>
        <w:t>Clim</w:t>
      </w:r>
      <w:proofErr w:type="spellEnd"/>
      <w:r w:rsidRPr="00EC4996">
        <w:rPr>
          <w:rFonts w:ascii="Calibri" w:cs="Calibri"/>
          <w:i/>
          <w:iCs/>
        </w:rPr>
        <w:t>. Chang</w:t>
      </w:r>
      <w:r w:rsidRPr="00EC4996">
        <w:rPr>
          <w:rFonts w:ascii="Calibri" w:cs="Calibri"/>
        </w:rPr>
        <w:t>.</w:t>
      </w:r>
    </w:p>
    <w:p w14:paraId="1B69BFD2" w14:textId="77777777" w:rsidR="00EC4996" w:rsidRPr="00EC4996" w:rsidRDefault="00EC4996" w:rsidP="00EC4996">
      <w:pPr>
        <w:pStyle w:val="Bibliography"/>
        <w:rPr>
          <w:rFonts w:ascii="Calibri" w:cs="Calibri"/>
        </w:rPr>
      </w:pPr>
      <w:r w:rsidRPr="00EC4996">
        <w:rPr>
          <w:rFonts w:ascii="Calibri" w:cs="Calibri"/>
        </w:rPr>
        <w:t xml:space="preserve">Redmond, K. T. (2002). The depiction of drought: A commentary. </w:t>
      </w:r>
      <w:r w:rsidRPr="00EC4996">
        <w:rPr>
          <w:rFonts w:ascii="Calibri" w:cs="Calibri"/>
          <w:i/>
          <w:iCs/>
        </w:rPr>
        <w:t>Bulletin of the American Meteorological Society</w:t>
      </w:r>
      <w:r w:rsidRPr="00EC4996">
        <w:rPr>
          <w:rFonts w:ascii="Calibri" w:cs="Calibri"/>
        </w:rPr>
        <w:t xml:space="preserve">, </w:t>
      </w:r>
      <w:r w:rsidRPr="00EC4996">
        <w:rPr>
          <w:rFonts w:ascii="Calibri" w:cs="Calibri"/>
          <w:i/>
          <w:iCs/>
        </w:rPr>
        <w:t>83</w:t>
      </w:r>
      <w:r w:rsidRPr="00EC4996">
        <w:rPr>
          <w:rFonts w:ascii="Calibri" w:cs="Calibri"/>
        </w:rPr>
        <w:t>(8), 1143–1147.</w:t>
      </w:r>
    </w:p>
    <w:p w14:paraId="3DD5F652" w14:textId="12365F4E" w:rsidR="00BE7EC2" w:rsidRPr="00BE7EC2" w:rsidRDefault="0086363E" w:rsidP="0028395D">
      <w:r>
        <w:fldChar w:fldCharType="end"/>
      </w:r>
    </w:p>
    <w:sectPr w:rsidR="00BE7EC2" w:rsidRPr="00BE7EC2" w:rsidSect="00CA707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Escriva-Bou, Alvar" w:date="2023-06-25T18:05:00Z" w:initials="EA">
    <w:p w14:paraId="0455083C" w14:textId="0EFBA442" w:rsidR="00FB635C" w:rsidRDefault="00FB635C">
      <w:pPr>
        <w:pStyle w:val="CommentText"/>
      </w:pPr>
      <w:r>
        <w:rPr>
          <w:rStyle w:val="CommentReference"/>
        </w:rPr>
        <w:annotationRef/>
      </w:r>
      <w:r>
        <w:t>TBD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455083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455083C" w16cid:durableId="2843004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80D406B" w14:textId="77777777" w:rsidR="000054C6" w:rsidRDefault="000054C6" w:rsidP="005B77DC">
      <w:pPr>
        <w:spacing w:after="0"/>
      </w:pPr>
      <w:r>
        <w:separator/>
      </w:r>
    </w:p>
  </w:endnote>
  <w:endnote w:type="continuationSeparator" w:id="0">
    <w:p w14:paraId="7CFE2210" w14:textId="77777777" w:rsidR="000054C6" w:rsidRDefault="000054C6" w:rsidP="005B77D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3D064BA" w14:textId="77777777" w:rsidR="000054C6" w:rsidRDefault="000054C6" w:rsidP="005B77DC">
      <w:pPr>
        <w:spacing w:after="0"/>
      </w:pPr>
      <w:r>
        <w:separator/>
      </w:r>
    </w:p>
  </w:footnote>
  <w:footnote w:type="continuationSeparator" w:id="0">
    <w:p w14:paraId="740A9DC7" w14:textId="77777777" w:rsidR="000054C6" w:rsidRDefault="000054C6" w:rsidP="005B77DC">
      <w:pPr>
        <w:spacing w:after="0"/>
      </w:pPr>
      <w:r>
        <w:continuationSeparator/>
      </w:r>
    </w:p>
  </w:footnote>
  <w:footnote w:id="1">
    <w:p w14:paraId="414818F1" w14:textId="77777777" w:rsidR="00FB635C" w:rsidRPr="00F87CE2" w:rsidRDefault="00FB635C" w:rsidP="00C001AC">
      <w:pPr>
        <w:pStyle w:val="FootnoteText"/>
      </w:pPr>
      <w:r>
        <w:rPr>
          <w:rStyle w:val="FootnoteReference"/>
        </w:rPr>
        <w:footnoteRef/>
      </w:r>
      <w:r>
        <w:t xml:space="preserve"> Data for 2017 is missing in DWR’s database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8D64CB"/>
    <w:multiLevelType w:val="hybridMultilevel"/>
    <w:tmpl w:val="B74C79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8B2B5D"/>
    <w:multiLevelType w:val="hybridMultilevel"/>
    <w:tmpl w:val="51E428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C8B7B94"/>
    <w:multiLevelType w:val="hybridMultilevel"/>
    <w:tmpl w:val="3A9A738E"/>
    <w:lvl w:ilvl="0" w:tplc="2F321404">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B120FF"/>
    <w:multiLevelType w:val="hybridMultilevel"/>
    <w:tmpl w:val="29BEDA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6A4B3B"/>
    <w:multiLevelType w:val="multilevel"/>
    <w:tmpl w:val="9F306892"/>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420" w:hanging="420"/>
      </w:pPr>
      <w:rPr>
        <w:rFonts w:hint="default"/>
      </w:rPr>
    </w:lvl>
    <w:lvl w:ilvl="2">
      <w:start w:val="1"/>
      <w:numFmt w:val="decimal"/>
      <w:pStyle w:val="Heading3"/>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2351D96"/>
    <w:multiLevelType w:val="hybridMultilevel"/>
    <w:tmpl w:val="F02A3DD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543B1DA8"/>
    <w:multiLevelType w:val="hybridMultilevel"/>
    <w:tmpl w:val="ECA07E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5"/>
  </w:num>
  <w:num w:numId="3">
    <w:abstractNumId w:val="2"/>
  </w:num>
  <w:num w:numId="4">
    <w:abstractNumId w:val="6"/>
  </w:num>
  <w:num w:numId="5">
    <w:abstractNumId w:val="3"/>
  </w:num>
  <w:num w:numId="6">
    <w:abstractNumId w:val="4"/>
  </w:num>
  <w:num w:numId="7">
    <w:abstractNumId w:val="0"/>
  </w:num>
  <w:num w:numId="8">
    <w:abstractNumId w:val="4"/>
  </w:num>
  <w:num w:numId="9">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Escriva-Bou, Alvar">
    <w15:presenceInfo w15:providerId="AD" w15:userId="S::escriva@ucla.edu::be4c4738-dacb-4398-9ed8-a7b703aa9c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0AD2"/>
    <w:rsid w:val="000054C6"/>
    <w:rsid w:val="00016808"/>
    <w:rsid w:val="0002148B"/>
    <w:rsid w:val="00042DA4"/>
    <w:rsid w:val="000737A0"/>
    <w:rsid w:val="00075232"/>
    <w:rsid w:val="000B4333"/>
    <w:rsid w:val="000F0798"/>
    <w:rsid w:val="000F500E"/>
    <w:rsid w:val="001032AB"/>
    <w:rsid w:val="00107A45"/>
    <w:rsid w:val="00124E6B"/>
    <w:rsid w:val="00150A01"/>
    <w:rsid w:val="00150EE3"/>
    <w:rsid w:val="0018265B"/>
    <w:rsid w:val="001A287F"/>
    <w:rsid w:val="001B2E7F"/>
    <w:rsid w:val="001B68B3"/>
    <w:rsid w:val="001C2AE5"/>
    <w:rsid w:val="001D207D"/>
    <w:rsid w:val="001E28B5"/>
    <w:rsid w:val="001F0754"/>
    <w:rsid w:val="00205B6A"/>
    <w:rsid w:val="002126E3"/>
    <w:rsid w:val="00242127"/>
    <w:rsid w:val="00252DA8"/>
    <w:rsid w:val="00256AB6"/>
    <w:rsid w:val="0028395D"/>
    <w:rsid w:val="00285E3F"/>
    <w:rsid w:val="002A32D4"/>
    <w:rsid w:val="002B1519"/>
    <w:rsid w:val="002B398A"/>
    <w:rsid w:val="002B62D8"/>
    <w:rsid w:val="002C16D1"/>
    <w:rsid w:val="002E24B0"/>
    <w:rsid w:val="002E5F7B"/>
    <w:rsid w:val="002F7F31"/>
    <w:rsid w:val="00303528"/>
    <w:rsid w:val="00313294"/>
    <w:rsid w:val="0031367A"/>
    <w:rsid w:val="00335BBA"/>
    <w:rsid w:val="003C210E"/>
    <w:rsid w:val="003D25DA"/>
    <w:rsid w:val="003E4BE1"/>
    <w:rsid w:val="004145BA"/>
    <w:rsid w:val="004772BB"/>
    <w:rsid w:val="00487F80"/>
    <w:rsid w:val="004B0E6B"/>
    <w:rsid w:val="004B165F"/>
    <w:rsid w:val="004C762C"/>
    <w:rsid w:val="004D6641"/>
    <w:rsid w:val="0050413E"/>
    <w:rsid w:val="005176A4"/>
    <w:rsid w:val="005B3721"/>
    <w:rsid w:val="005B67FA"/>
    <w:rsid w:val="005B77DC"/>
    <w:rsid w:val="005C1727"/>
    <w:rsid w:val="005E02D8"/>
    <w:rsid w:val="006276AB"/>
    <w:rsid w:val="00627948"/>
    <w:rsid w:val="006417ED"/>
    <w:rsid w:val="006830EB"/>
    <w:rsid w:val="006A4A17"/>
    <w:rsid w:val="006D657B"/>
    <w:rsid w:val="006F0CE6"/>
    <w:rsid w:val="006F4E6D"/>
    <w:rsid w:val="00702673"/>
    <w:rsid w:val="00741E8C"/>
    <w:rsid w:val="00781F75"/>
    <w:rsid w:val="00783774"/>
    <w:rsid w:val="007962DB"/>
    <w:rsid w:val="007A0EF8"/>
    <w:rsid w:val="007B4944"/>
    <w:rsid w:val="007B5B83"/>
    <w:rsid w:val="007B7C03"/>
    <w:rsid w:val="007E2B1B"/>
    <w:rsid w:val="0082273F"/>
    <w:rsid w:val="00825D8E"/>
    <w:rsid w:val="00843BF5"/>
    <w:rsid w:val="008634B0"/>
    <w:rsid w:val="0086363E"/>
    <w:rsid w:val="00896ACE"/>
    <w:rsid w:val="008A0BAA"/>
    <w:rsid w:val="008A4A27"/>
    <w:rsid w:val="008B236F"/>
    <w:rsid w:val="008E3C82"/>
    <w:rsid w:val="008E709B"/>
    <w:rsid w:val="008F4FEF"/>
    <w:rsid w:val="009016C7"/>
    <w:rsid w:val="009215D4"/>
    <w:rsid w:val="00925F69"/>
    <w:rsid w:val="0095119B"/>
    <w:rsid w:val="00977D16"/>
    <w:rsid w:val="00983B55"/>
    <w:rsid w:val="009A1C90"/>
    <w:rsid w:val="009A6612"/>
    <w:rsid w:val="009C074F"/>
    <w:rsid w:val="009C5125"/>
    <w:rsid w:val="009F7703"/>
    <w:rsid w:val="00A37016"/>
    <w:rsid w:val="00A44131"/>
    <w:rsid w:val="00A6281A"/>
    <w:rsid w:val="00A704CF"/>
    <w:rsid w:val="00AA7167"/>
    <w:rsid w:val="00AB0C5F"/>
    <w:rsid w:val="00AC0AD2"/>
    <w:rsid w:val="00AC2CC1"/>
    <w:rsid w:val="00B21023"/>
    <w:rsid w:val="00B242B1"/>
    <w:rsid w:val="00B30F74"/>
    <w:rsid w:val="00B51F2F"/>
    <w:rsid w:val="00B6184E"/>
    <w:rsid w:val="00B875B2"/>
    <w:rsid w:val="00B9741F"/>
    <w:rsid w:val="00BE7EC2"/>
    <w:rsid w:val="00BF03A7"/>
    <w:rsid w:val="00C001AC"/>
    <w:rsid w:val="00C23DF3"/>
    <w:rsid w:val="00C3640A"/>
    <w:rsid w:val="00C6352C"/>
    <w:rsid w:val="00C67A5E"/>
    <w:rsid w:val="00C8009C"/>
    <w:rsid w:val="00C96B9A"/>
    <w:rsid w:val="00CA364B"/>
    <w:rsid w:val="00CA7076"/>
    <w:rsid w:val="00CD135C"/>
    <w:rsid w:val="00CE0419"/>
    <w:rsid w:val="00D32E72"/>
    <w:rsid w:val="00D3442E"/>
    <w:rsid w:val="00D41A6F"/>
    <w:rsid w:val="00D540BE"/>
    <w:rsid w:val="00DA72E1"/>
    <w:rsid w:val="00DD0E7C"/>
    <w:rsid w:val="00E03019"/>
    <w:rsid w:val="00E0306C"/>
    <w:rsid w:val="00E109D8"/>
    <w:rsid w:val="00E20058"/>
    <w:rsid w:val="00E21C91"/>
    <w:rsid w:val="00E248E4"/>
    <w:rsid w:val="00E5353A"/>
    <w:rsid w:val="00E8123D"/>
    <w:rsid w:val="00EC4996"/>
    <w:rsid w:val="00EF1452"/>
    <w:rsid w:val="00F11AE0"/>
    <w:rsid w:val="00F315C3"/>
    <w:rsid w:val="00F43783"/>
    <w:rsid w:val="00F56B62"/>
    <w:rsid w:val="00F66E59"/>
    <w:rsid w:val="00F74ECE"/>
    <w:rsid w:val="00F87CE2"/>
    <w:rsid w:val="00FB3B52"/>
    <w:rsid w:val="00FB6197"/>
    <w:rsid w:val="00FB635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3B73F"/>
  <w15:chartTrackingRefBased/>
  <w15:docId w15:val="{0C45359E-FDCA-0449-AAF5-F6C0D7E0B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962DB"/>
    <w:pPr>
      <w:spacing w:after="120"/>
    </w:pPr>
  </w:style>
  <w:style w:type="paragraph" w:styleId="Heading1">
    <w:name w:val="heading 1"/>
    <w:basedOn w:val="Normal"/>
    <w:next w:val="Normal"/>
    <w:link w:val="Heading1Char"/>
    <w:uiPriority w:val="9"/>
    <w:qFormat/>
    <w:rsid w:val="004C762C"/>
    <w:pPr>
      <w:keepNext/>
      <w:keepLines/>
      <w:numPr>
        <w:numId w:val="6"/>
      </w:numPr>
      <w:spacing w:before="240" w:after="60"/>
      <w:outlineLvl w:val="0"/>
    </w:pPr>
    <w:rPr>
      <w:rFonts w:asciiTheme="majorHAnsi" w:eastAsiaTheme="majorEastAsia" w:hAnsiTheme="majorHAnsi" w:cstheme="majorHAnsi"/>
      <w:sz w:val="32"/>
      <w:szCs w:val="32"/>
    </w:rPr>
  </w:style>
  <w:style w:type="paragraph" w:styleId="Heading2">
    <w:name w:val="heading 2"/>
    <w:basedOn w:val="Normal"/>
    <w:next w:val="Normal"/>
    <w:link w:val="Heading2Char"/>
    <w:uiPriority w:val="9"/>
    <w:unhideWhenUsed/>
    <w:qFormat/>
    <w:rsid w:val="004C762C"/>
    <w:pPr>
      <w:keepNext/>
      <w:numPr>
        <w:ilvl w:val="1"/>
        <w:numId w:val="6"/>
      </w:numPr>
      <w:spacing w:before="120" w:after="60"/>
      <w:ind w:left="418" w:hanging="418"/>
      <w:outlineLvl w:val="1"/>
    </w:pPr>
    <w:rPr>
      <w:rFonts w:asciiTheme="majorHAnsi" w:hAnsiTheme="majorHAnsi" w:cstheme="majorHAnsi"/>
      <w:sz w:val="28"/>
    </w:rPr>
  </w:style>
  <w:style w:type="paragraph" w:styleId="Heading3">
    <w:name w:val="heading 3"/>
    <w:basedOn w:val="Heading2"/>
    <w:next w:val="Normal"/>
    <w:link w:val="Heading3Char"/>
    <w:uiPriority w:val="9"/>
    <w:unhideWhenUsed/>
    <w:qFormat/>
    <w:rsid w:val="004C762C"/>
    <w:pPr>
      <w:numPr>
        <w:ilvl w:val="2"/>
      </w:numPr>
      <w:outlineLvl w:val="2"/>
    </w:pPr>
    <w:rPr>
      <w:sz w:val="24"/>
    </w:rPr>
  </w:style>
  <w:style w:type="paragraph" w:styleId="Heading4">
    <w:name w:val="heading 4"/>
    <w:basedOn w:val="Normal"/>
    <w:next w:val="Normal"/>
    <w:link w:val="Heading4Char"/>
    <w:uiPriority w:val="9"/>
    <w:unhideWhenUsed/>
    <w:qFormat/>
    <w:rsid w:val="006417ED"/>
    <w:pPr>
      <w:keepNext/>
      <w:keepLines/>
      <w:outlineLvl w:val="3"/>
    </w:pPr>
    <w:rPr>
      <w:rFonts w:asciiTheme="majorHAnsi" w:eastAsiaTheme="majorEastAsia" w:hAnsiTheme="majorHAnsi" w:cstheme="majorBidi"/>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AC0AD2"/>
    <w:pPr>
      <w:autoSpaceDE w:val="0"/>
      <w:autoSpaceDN w:val="0"/>
      <w:adjustRightInd w:val="0"/>
    </w:pPr>
    <w:rPr>
      <w:rFonts w:ascii="Calibri" w:hAnsi="Calibri" w:cs="Calibri"/>
      <w:color w:val="000000"/>
    </w:rPr>
  </w:style>
  <w:style w:type="character" w:styleId="Hyperlink">
    <w:name w:val="Hyperlink"/>
    <w:basedOn w:val="DefaultParagraphFont"/>
    <w:uiPriority w:val="99"/>
    <w:unhideWhenUsed/>
    <w:rsid w:val="00AC0AD2"/>
    <w:rPr>
      <w:color w:val="0563C1" w:themeColor="hyperlink"/>
      <w:u w:val="single"/>
    </w:rPr>
  </w:style>
  <w:style w:type="character" w:styleId="UnresolvedMention">
    <w:name w:val="Unresolved Mention"/>
    <w:basedOn w:val="DefaultParagraphFont"/>
    <w:uiPriority w:val="99"/>
    <w:semiHidden/>
    <w:unhideWhenUsed/>
    <w:rsid w:val="00AC0AD2"/>
    <w:rPr>
      <w:color w:val="605E5C"/>
      <w:shd w:val="clear" w:color="auto" w:fill="E1DFDD"/>
    </w:rPr>
  </w:style>
  <w:style w:type="paragraph" w:styleId="ListParagraph">
    <w:name w:val="List Paragraph"/>
    <w:basedOn w:val="Normal"/>
    <w:uiPriority w:val="34"/>
    <w:qFormat/>
    <w:rsid w:val="004D6641"/>
    <w:pPr>
      <w:ind w:left="720"/>
      <w:contextualSpacing/>
    </w:pPr>
  </w:style>
  <w:style w:type="paragraph" w:styleId="Caption">
    <w:name w:val="caption"/>
    <w:basedOn w:val="Normal"/>
    <w:next w:val="Normal"/>
    <w:uiPriority w:val="35"/>
    <w:unhideWhenUsed/>
    <w:qFormat/>
    <w:rsid w:val="007962DB"/>
    <w:pPr>
      <w:keepNext/>
      <w:spacing w:before="240" w:after="200"/>
    </w:pPr>
    <w:rPr>
      <w:b/>
      <w:i/>
      <w:iCs/>
      <w:color w:val="44546A" w:themeColor="text2"/>
      <w:sz w:val="20"/>
      <w:szCs w:val="18"/>
    </w:rPr>
  </w:style>
  <w:style w:type="character" w:styleId="CommentReference">
    <w:name w:val="annotation reference"/>
    <w:basedOn w:val="DefaultParagraphFont"/>
    <w:uiPriority w:val="99"/>
    <w:semiHidden/>
    <w:unhideWhenUsed/>
    <w:rsid w:val="00FB3B52"/>
    <w:rPr>
      <w:sz w:val="16"/>
      <w:szCs w:val="16"/>
    </w:rPr>
  </w:style>
  <w:style w:type="paragraph" w:styleId="CommentText">
    <w:name w:val="annotation text"/>
    <w:basedOn w:val="Normal"/>
    <w:link w:val="CommentTextChar"/>
    <w:uiPriority w:val="99"/>
    <w:unhideWhenUsed/>
    <w:rsid w:val="00FB3B52"/>
    <w:rPr>
      <w:sz w:val="20"/>
      <w:szCs w:val="20"/>
    </w:rPr>
  </w:style>
  <w:style w:type="character" w:customStyle="1" w:styleId="CommentTextChar">
    <w:name w:val="Comment Text Char"/>
    <w:basedOn w:val="DefaultParagraphFont"/>
    <w:link w:val="CommentText"/>
    <w:uiPriority w:val="99"/>
    <w:rsid w:val="00FB3B52"/>
    <w:rPr>
      <w:sz w:val="20"/>
      <w:szCs w:val="20"/>
    </w:rPr>
  </w:style>
  <w:style w:type="paragraph" w:styleId="CommentSubject">
    <w:name w:val="annotation subject"/>
    <w:basedOn w:val="CommentText"/>
    <w:next w:val="CommentText"/>
    <w:link w:val="CommentSubjectChar"/>
    <w:uiPriority w:val="99"/>
    <w:semiHidden/>
    <w:unhideWhenUsed/>
    <w:rsid w:val="00FB3B52"/>
    <w:rPr>
      <w:b/>
      <w:bCs/>
    </w:rPr>
  </w:style>
  <w:style w:type="character" w:customStyle="1" w:styleId="CommentSubjectChar">
    <w:name w:val="Comment Subject Char"/>
    <w:basedOn w:val="CommentTextChar"/>
    <w:link w:val="CommentSubject"/>
    <w:uiPriority w:val="99"/>
    <w:semiHidden/>
    <w:rsid w:val="00FB3B52"/>
    <w:rPr>
      <w:b/>
      <w:bCs/>
      <w:sz w:val="20"/>
      <w:szCs w:val="20"/>
    </w:rPr>
  </w:style>
  <w:style w:type="paragraph" w:styleId="BalloonText">
    <w:name w:val="Balloon Text"/>
    <w:basedOn w:val="Normal"/>
    <w:link w:val="BalloonTextChar"/>
    <w:uiPriority w:val="99"/>
    <w:semiHidden/>
    <w:unhideWhenUsed/>
    <w:rsid w:val="00FB3B5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FB3B52"/>
    <w:rPr>
      <w:rFonts w:ascii="Times New Roman" w:hAnsi="Times New Roman" w:cs="Times New Roman"/>
      <w:sz w:val="18"/>
      <w:szCs w:val="18"/>
    </w:rPr>
  </w:style>
  <w:style w:type="paragraph" w:styleId="NormalWeb">
    <w:name w:val="Normal (Web)"/>
    <w:basedOn w:val="Normal"/>
    <w:uiPriority w:val="99"/>
    <w:semiHidden/>
    <w:unhideWhenUsed/>
    <w:rsid w:val="00FB3B52"/>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FB3B52"/>
    <w:rPr>
      <w:b/>
      <w:bCs/>
    </w:rPr>
  </w:style>
  <w:style w:type="paragraph" w:styleId="Title">
    <w:name w:val="Title"/>
    <w:basedOn w:val="Normal"/>
    <w:next w:val="Normal"/>
    <w:link w:val="TitleChar"/>
    <w:uiPriority w:val="10"/>
    <w:qFormat/>
    <w:rsid w:val="007962DB"/>
    <w:pPr>
      <w:contextualSpacing/>
    </w:pPr>
    <w:rPr>
      <w:rFonts w:asciiTheme="majorHAnsi" w:eastAsiaTheme="majorEastAsia" w:hAnsiTheme="majorHAnsi" w:cstheme="majorBidi"/>
      <w:spacing w:val="-10"/>
      <w:kern w:val="28"/>
      <w:sz w:val="40"/>
      <w:szCs w:val="56"/>
    </w:rPr>
  </w:style>
  <w:style w:type="character" w:customStyle="1" w:styleId="TitleChar">
    <w:name w:val="Title Char"/>
    <w:basedOn w:val="DefaultParagraphFont"/>
    <w:link w:val="Title"/>
    <w:uiPriority w:val="10"/>
    <w:rsid w:val="007962DB"/>
    <w:rPr>
      <w:rFonts w:asciiTheme="majorHAnsi" w:eastAsiaTheme="majorEastAsia" w:hAnsiTheme="majorHAnsi" w:cstheme="majorBidi"/>
      <w:spacing w:val="-10"/>
      <w:kern w:val="28"/>
      <w:sz w:val="40"/>
      <w:szCs w:val="56"/>
    </w:rPr>
  </w:style>
  <w:style w:type="character" w:customStyle="1" w:styleId="Heading1Char">
    <w:name w:val="Heading 1 Char"/>
    <w:basedOn w:val="DefaultParagraphFont"/>
    <w:link w:val="Heading1"/>
    <w:uiPriority w:val="9"/>
    <w:rsid w:val="004C762C"/>
    <w:rPr>
      <w:rFonts w:asciiTheme="majorHAnsi" w:eastAsiaTheme="majorEastAsia" w:hAnsiTheme="majorHAnsi" w:cstheme="majorHAnsi"/>
      <w:sz w:val="32"/>
      <w:szCs w:val="32"/>
    </w:rPr>
  </w:style>
  <w:style w:type="character" w:customStyle="1" w:styleId="Heading2Char">
    <w:name w:val="Heading 2 Char"/>
    <w:basedOn w:val="DefaultParagraphFont"/>
    <w:link w:val="Heading2"/>
    <w:uiPriority w:val="9"/>
    <w:rsid w:val="004C762C"/>
    <w:rPr>
      <w:rFonts w:asciiTheme="majorHAnsi" w:hAnsiTheme="majorHAnsi" w:cstheme="majorHAnsi"/>
      <w:sz w:val="28"/>
    </w:rPr>
  </w:style>
  <w:style w:type="paragraph" w:styleId="FootnoteText">
    <w:name w:val="footnote text"/>
    <w:basedOn w:val="Normal"/>
    <w:link w:val="FootnoteTextChar"/>
    <w:uiPriority w:val="99"/>
    <w:semiHidden/>
    <w:unhideWhenUsed/>
    <w:rsid w:val="005B77DC"/>
    <w:pPr>
      <w:spacing w:after="0"/>
    </w:pPr>
    <w:rPr>
      <w:sz w:val="20"/>
      <w:szCs w:val="20"/>
    </w:rPr>
  </w:style>
  <w:style w:type="character" w:customStyle="1" w:styleId="FootnoteTextChar">
    <w:name w:val="Footnote Text Char"/>
    <w:basedOn w:val="DefaultParagraphFont"/>
    <w:link w:val="FootnoteText"/>
    <w:uiPriority w:val="99"/>
    <w:semiHidden/>
    <w:rsid w:val="005B77DC"/>
    <w:rPr>
      <w:sz w:val="20"/>
      <w:szCs w:val="20"/>
    </w:rPr>
  </w:style>
  <w:style w:type="character" w:styleId="FootnoteReference">
    <w:name w:val="footnote reference"/>
    <w:basedOn w:val="DefaultParagraphFont"/>
    <w:uiPriority w:val="99"/>
    <w:semiHidden/>
    <w:unhideWhenUsed/>
    <w:rsid w:val="005B77DC"/>
    <w:rPr>
      <w:vertAlign w:val="superscript"/>
    </w:rPr>
  </w:style>
  <w:style w:type="character" w:styleId="FollowedHyperlink">
    <w:name w:val="FollowedHyperlink"/>
    <w:basedOn w:val="DefaultParagraphFont"/>
    <w:uiPriority w:val="99"/>
    <w:semiHidden/>
    <w:unhideWhenUsed/>
    <w:rsid w:val="00242127"/>
    <w:rPr>
      <w:color w:val="954F72" w:themeColor="followedHyperlink"/>
      <w:u w:val="single"/>
    </w:rPr>
  </w:style>
  <w:style w:type="character" w:customStyle="1" w:styleId="Heading3Char">
    <w:name w:val="Heading 3 Char"/>
    <w:basedOn w:val="DefaultParagraphFont"/>
    <w:link w:val="Heading3"/>
    <w:uiPriority w:val="9"/>
    <w:rsid w:val="004C762C"/>
    <w:rPr>
      <w:rFonts w:asciiTheme="majorHAnsi" w:hAnsiTheme="majorHAnsi" w:cstheme="majorHAnsi"/>
    </w:rPr>
  </w:style>
  <w:style w:type="paragraph" w:styleId="Bibliography">
    <w:name w:val="Bibliography"/>
    <w:basedOn w:val="Normal"/>
    <w:next w:val="Normal"/>
    <w:uiPriority w:val="37"/>
    <w:unhideWhenUsed/>
    <w:rsid w:val="0086363E"/>
    <w:pPr>
      <w:spacing w:after="0" w:line="480" w:lineRule="auto"/>
      <w:ind w:left="720" w:hanging="720"/>
    </w:pPr>
  </w:style>
  <w:style w:type="character" w:styleId="PlaceholderText">
    <w:name w:val="Placeholder Text"/>
    <w:basedOn w:val="DefaultParagraphFont"/>
    <w:uiPriority w:val="99"/>
    <w:semiHidden/>
    <w:rsid w:val="00AC2CC1"/>
    <w:rPr>
      <w:color w:val="808080"/>
    </w:rPr>
  </w:style>
  <w:style w:type="character" w:customStyle="1" w:styleId="Heading4Char">
    <w:name w:val="Heading 4 Char"/>
    <w:basedOn w:val="DefaultParagraphFont"/>
    <w:link w:val="Heading4"/>
    <w:uiPriority w:val="9"/>
    <w:rsid w:val="006417ED"/>
    <w:rPr>
      <w:rFonts w:asciiTheme="majorHAnsi" w:eastAsiaTheme="majorEastAsia" w:hAnsiTheme="majorHAnsi" w:cstheme="majorBidi"/>
      <w:iCs/>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266658">
      <w:bodyDiv w:val="1"/>
      <w:marLeft w:val="0"/>
      <w:marRight w:val="0"/>
      <w:marTop w:val="0"/>
      <w:marBottom w:val="0"/>
      <w:divBdr>
        <w:top w:val="none" w:sz="0" w:space="0" w:color="auto"/>
        <w:left w:val="none" w:sz="0" w:space="0" w:color="auto"/>
        <w:bottom w:val="none" w:sz="0" w:space="0" w:color="auto"/>
        <w:right w:val="none" w:sz="0" w:space="0" w:color="auto"/>
      </w:divBdr>
    </w:div>
    <w:div w:id="459342016">
      <w:bodyDiv w:val="1"/>
      <w:marLeft w:val="0"/>
      <w:marRight w:val="0"/>
      <w:marTop w:val="0"/>
      <w:marBottom w:val="0"/>
      <w:divBdr>
        <w:top w:val="none" w:sz="0" w:space="0" w:color="auto"/>
        <w:left w:val="none" w:sz="0" w:space="0" w:color="auto"/>
        <w:bottom w:val="none" w:sz="0" w:space="0" w:color="auto"/>
        <w:right w:val="none" w:sz="0" w:space="0" w:color="auto"/>
      </w:divBdr>
    </w:div>
    <w:div w:id="628976305">
      <w:bodyDiv w:val="1"/>
      <w:marLeft w:val="0"/>
      <w:marRight w:val="0"/>
      <w:marTop w:val="0"/>
      <w:marBottom w:val="0"/>
      <w:divBdr>
        <w:top w:val="none" w:sz="0" w:space="0" w:color="auto"/>
        <w:left w:val="none" w:sz="0" w:space="0" w:color="auto"/>
        <w:bottom w:val="none" w:sz="0" w:space="0" w:color="auto"/>
        <w:right w:val="none" w:sz="0" w:space="0" w:color="auto"/>
      </w:divBdr>
    </w:div>
    <w:div w:id="707755748">
      <w:bodyDiv w:val="1"/>
      <w:marLeft w:val="0"/>
      <w:marRight w:val="0"/>
      <w:marTop w:val="0"/>
      <w:marBottom w:val="0"/>
      <w:divBdr>
        <w:top w:val="none" w:sz="0" w:space="0" w:color="auto"/>
        <w:left w:val="none" w:sz="0" w:space="0" w:color="auto"/>
        <w:bottom w:val="none" w:sz="0" w:space="0" w:color="auto"/>
        <w:right w:val="none" w:sz="0" w:space="0" w:color="auto"/>
      </w:divBdr>
    </w:div>
    <w:div w:id="878320925">
      <w:bodyDiv w:val="1"/>
      <w:marLeft w:val="0"/>
      <w:marRight w:val="0"/>
      <w:marTop w:val="0"/>
      <w:marBottom w:val="0"/>
      <w:divBdr>
        <w:top w:val="none" w:sz="0" w:space="0" w:color="auto"/>
        <w:left w:val="none" w:sz="0" w:space="0" w:color="auto"/>
        <w:bottom w:val="none" w:sz="0" w:space="0" w:color="auto"/>
        <w:right w:val="none" w:sz="0" w:space="0" w:color="auto"/>
      </w:divBdr>
    </w:div>
    <w:div w:id="1159542114">
      <w:bodyDiv w:val="1"/>
      <w:marLeft w:val="0"/>
      <w:marRight w:val="0"/>
      <w:marTop w:val="0"/>
      <w:marBottom w:val="0"/>
      <w:divBdr>
        <w:top w:val="none" w:sz="0" w:space="0" w:color="auto"/>
        <w:left w:val="none" w:sz="0" w:space="0" w:color="auto"/>
        <w:bottom w:val="none" w:sz="0" w:space="0" w:color="auto"/>
        <w:right w:val="none" w:sz="0" w:space="0" w:color="auto"/>
      </w:divBdr>
    </w:div>
    <w:div w:id="2005819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sbr.gov/mp/cvo/deliv.html" TargetMode="External"/><Relationship Id="rId18" Type="http://schemas.openxmlformats.org/officeDocument/2006/relationships/chart" Target="charts/chart4.xml"/><Relationship Id="rId26" Type="http://schemas.openxmlformats.org/officeDocument/2006/relationships/chart" Target="charts/chart12.xml"/><Relationship Id="rId39" Type="http://schemas.microsoft.com/office/2011/relationships/people" Target="people.xml"/><Relationship Id="rId21" Type="http://schemas.openxmlformats.org/officeDocument/2006/relationships/chart" Target="charts/chart7.xml"/><Relationship Id="rId34" Type="http://schemas.openxmlformats.org/officeDocument/2006/relationships/chart" Target="charts/chart20.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chart" Target="charts/chart3.xml"/><Relationship Id="rId25" Type="http://schemas.openxmlformats.org/officeDocument/2006/relationships/chart" Target="charts/chart11.xml"/><Relationship Id="rId33" Type="http://schemas.openxmlformats.org/officeDocument/2006/relationships/chart" Target="charts/chart19.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chart" Target="charts/chart6.xml"/><Relationship Id="rId29" Type="http://schemas.openxmlformats.org/officeDocument/2006/relationships/chart" Target="charts/chart15.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chart" Target="charts/chart10.xml"/><Relationship Id="rId32" Type="http://schemas.openxmlformats.org/officeDocument/2006/relationships/chart" Target="charts/chart18.xml"/><Relationship Id="rId37" Type="http://schemas.openxmlformats.org/officeDocument/2006/relationships/image" Target="media/image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chart" Target="charts/chart9.xml"/><Relationship Id="rId28" Type="http://schemas.openxmlformats.org/officeDocument/2006/relationships/chart" Target="charts/chart14.xml"/><Relationship Id="rId36" Type="http://schemas.openxmlformats.org/officeDocument/2006/relationships/chart" Target="charts/chart22.xml"/><Relationship Id="rId10" Type="http://schemas.microsoft.com/office/2011/relationships/commentsExtended" Target="commentsExtended.xml"/><Relationship Id="rId19" Type="http://schemas.openxmlformats.org/officeDocument/2006/relationships/chart" Target="charts/chart5.xml"/><Relationship Id="rId31" Type="http://schemas.openxmlformats.org/officeDocument/2006/relationships/chart" Target="charts/chart17.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chart" Target="charts/chart1.xml"/><Relationship Id="rId22" Type="http://schemas.openxmlformats.org/officeDocument/2006/relationships/chart" Target="charts/chart8.xml"/><Relationship Id="rId27" Type="http://schemas.openxmlformats.org/officeDocument/2006/relationships/chart" Target="charts/chart13.xml"/><Relationship Id="rId30" Type="http://schemas.openxmlformats.org/officeDocument/2006/relationships/chart" Target="charts/chart16.xml"/><Relationship Id="rId35" Type="http://schemas.openxmlformats.org/officeDocument/2006/relationships/chart" Target="charts/chart21.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6.xml"/><Relationship Id="rId1" Type="http://schemas.microsoft.com/office/2011/relationships/chartStyle" Target="style16.xml"/></Relationships>
</file>

<file path=word/charts/_rels/chart17.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7.xml"/><Relationship Id="rId1" Type="http://schemas.microsoft.com/office/2011/relationships/chartStyle" Target="style17.xml"/></Relationships>
</file>

<file path=word/charts/_rels/chart18.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8.xml"/><Relationship Id="rId1" Type="http://schemas.microsoft.com/office/2011/relationships/chartStyle" Target="style18.xml"/></Relationships>
</file>

<file path=word/charts/_rels/chart19.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19.xml"/><Relationship Id="rId1" Type="http://schemas.microsoft.com/office/2011/relationships/chartStyle" Target="style19.xml"/></Relationships>
</file>

<file path=word/charts/_rels/chart2.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2.xml"/><Relationship Id="rId1" Type="http://schemas.microsoft.com/office/2011/relationships/chartStyle" Target="style2.xml"/></Relationships>
</file>

<file path=word/charts/_rels/chart20.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20.xml"/><Relationship Id="rId1" Type="http://schemas.microsoft.com/office/2011/relationships/chartStyle" Target="style20.xml"/></Relationships>
</file>

<file path=word/charts/_rels/chart21.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21.xml"/><Relationship Id="rId1" Type="http://schemas.microsoft.com/office/2011/relationships/chartStyle" Target="style21.xml"/></Relationships>
</file>

<file path=word/charts/_rels/chart22.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22.xml"/><Relationship Id="rId1" Type="http://schemas.microsoft.com/office/2011/relationships/chartStyle" Target="style22.xml"/></Relationships>
</file>

<file path=word/charts/_rels/chart3.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Users/alvar/Library/CloudStorage/Dropbox/01_PPIC/14_NIDIS%20Coping%20with%20Drought/01_PPIC%20folder/@final/other%20outputs/System%20drought%20indicator%20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3"/>
          <c:order val="0"/>
          <c:tx>
            <c:strRef>
              <c:f>Sheet1!$G$1</c:f>
              <c:strCache>
                <c:ptCount val="1"/>
                <c:pt idx="0">
                  <c:v>Local supplies</c:v>
                </c:pt>
              </c:strCache>
            </c:strRef>
          </c:tx>
          <c:spPr>
            <a:solidFill>
              <a:schemeClr val="accent4"/>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Sheet1!$G$2:$G$18</c:f>
              <c:numCache>
                <c:formatCode>General</c:formatCode>
                <c:ptCount val="17"/>
                <c:pt idx="0">
                  <c:v>3514</c:v>
                </c:pt>
                <c:pt idx="1">
                  <c:v>2431.6</c:v>
                </c:pt>
                <c:pt idx="2">
                  <c:v>2781.9</c:v>
                </c:pt>
                <c:pt idx="3">
                  <c:v>2781.9</c:v>
                </c:pt>
                <c:pt idx="4">
                  <c:v>2403.8000000000002</c:v>
                </c:pt>
                <c:pt idx="5">
                  <c:v>2914.2</c:v>
                </c:pt>
                <c:pt idx="6">
                  <c:v>3063.2</c:v>
                </c:pt>
                <c:pt idx="7">
                  <c:v>2602.3000000000002</c:v>
                </c:pt>
                <c:pt idx="8">
                  <c:v>2827.4</c:v>
                </c:pt>
                <c:pt idx="9">
                  <c:v>2724.3</c:v>
                </c:pt>
                <c:pt idx="10">
                  <c:v>2450.3000000000002</c:v>
                </c:pt>
                <c:pt idx="11">
                  <c:v>1943</c:v>
                </c:pt>
                <c:pt idx="12">
                  <c:v>1534.8</c:v>
                </c:pt>
                <c:pt idx="13">
                  <c:v>977</c:v>
                </c:pt>
                <c:pt idx="14">
                  <c:v>1813.3</c:v>
                </c:pt>
                <c:pt idx="15">
                  <c:v>2457.4</c:v>
                </c:pt>
                <c:pt idx="16">
                  <c:v>2228.6999999999998</c:v>
                </c:pt>
              </c:numCache>
            </c:numRef>
          </c:val>
          <c:extLst>
            <c:ext xmlns:c16="http://schemas.microsoft.com/office/drawing/2014/chart" uri="{C3380CC4-5D6E-409C-BE32-E72D297353CC}">
              <c16:uniqueId val="{00000000-FFC3-CF47-97BD-5E64CABEE880}"/>
            </c:ext>
          </c:extLst>
        </c:ser>
        <c:ser>
          <c:idx val="0"/>
          <c:order val="1"/>
          <c:tx>
            <c:strRef>
              <c:f>Sheet1!$D$1</c:f>
              <c:strCache>
                <c:ptCount val="1"/>
                <c:pt idx="0">
                  <c:v>Federal (CVP)</c:v>
                </c:pt>
              </c:strCache>
            </c:strRef>
          </c:tx>
          <c:spPr>
            <a:solidFill>
              <a:schemeClr val="accent1"/>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Sheet1!$D$2:$D$18</c:f>
              <c:numCache>
                <c:formatCode>General</c:formatCode>
                <c:ptCount val="17"/>
                <c:pt idx="0">
                  <c:v>1905.7</c:v>
                </c:pt>
                <c:pt idx="1">
                  <c:v>1764.9</c:v>
                </c:pt>
                <c:pt idx="2">
                  <c:v>1460.9</c:v>
                </c:pt>
                <c:pt idx="3">
                  <c:v>1541.8</c:v>
                </c:pt>
                <c:pt idx="4">
                  <c:v>1736</c:v>
                </c:pt>
                <c:pt idx="5">
                  <c:v>1639.4</c:v>
                </c:pt>
                <c:pt idx="6">
                  <c:v>1444.8</c:v>
                </c:pt>
                <c:pt idx="7">
                  <c:v>1471.9</c:v>
                </c:pt>
                <c:pt idx="8">
                  <c:v>1563.1</c:v>
                </c:pt>
                <c:pt idx="9">
                  <c:v>1707.7</c:v>
                </c:pt>
                <c:pt idx="10">
                  <c:v>1616.2</c:v>
                </c:pt>
                <c:pt idx="11">
                  <c:v>1465.4</c:v>
                </c:pt>
                <c:pt idx="12">
                  <c:v>982</c:v>
                </c:pt>
                <c:pt idx="13">
                  <c:v>742.8</c:v>
                </c:pt>
                <c:pt idx="14">
                  <c:v>1153.9000000000001</c:v>
                </c:pt>
                <c:pt idx="15">
                  <c:v>1676.19999999999</c:v>
                </c:pt>
                <c:pt idx="16">
                  <c:v>1576.7</c:v>
                </c:pt>
              </c:numCache>
            </c:numRef>
          </c:val>
          <c:extLst>
            <c:ext xmlns:c16="http://schemas.microsoft.com/office/drawing/2014/chart" uri="{C3380CC4-5D6E-409C-BE32-E72D297353CC}">
              <c16:uniqueId val="{00000001-FFC3-CF47-97BD-5E64CABEE880}"/>
            </c:ext>
          </c:extLst>
        </c:ser>
        <c:ser>
          <c:idx val="5"/>
          <c:order val="2"/>
          <c:tx>
            <c:strRef>
              <c:f>Sheet1!$I$1</c:f>
              <c:strCache>
                <c:ptCount val="1"/>
                <c:pt idx="0">
                  <c:v>SWP</c:v>
                </c:pt>
              </c:strCache>
            </c:strRef>
          </c:tx>
          <c:spPr>
            <a:solidFill>
              <a:schemeClr val="accent6"/>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Sheet1!$I$2:$I$18</c:f>
              <c:numCache>
                <c:formatCode>General</c:formatCode>
                <c:ptCount val="17"/>
                <c:pt idx="0">
                  <c:v>7.9</c:v>
                </c:pt>
                <c:pt idx="1">
                  <c:v>16.7</c:v>
                </c:pt>
                <c:pt idx="2">
                  <c:v>14.2</c:v>
                </c:pt>
                <c:pt idx="3">
                  <c:v>4.7</c:v>
                </c:pt>
                <c:pt idx="4">
                  <c:v>5.5</c:v>
                </c:pt>
                <c:pt idx="5">
                  <c:v>24.4</c:v>
                </c:pt>
                <c:pt idx="6">
                  <c:v>9.1</c:v>
                </c:pt>
                <c:pt idx="7">
                  <c:v>45.7</c:v>
                </c:pt>
                <c:pt idx="8">
                  <c:v>28.4</c:v>
                </c:pt>
                <c:pt idx="9">
                  <c:v>26.2</c:v>
                </c:pt>
                <c:pt idx="10">
                  <c:v>27.5</c:v>
                </c:pt>
                <c:pt idx="11">
                  <c:v>44.2</c:v>
                </c:pt>
                <c:pt idx="12">
                  <c:v>31.3</c:v>
                </c:pt>
                <c:pt idx="13">
                  <c:v>12.7</c:v>
                </c:pt>
                <c:pt idx="14">
                  <c:v>7.8</c:v>
                </c:pt>
                <c:pt idx="15">
                  <c:v>5.9</c:v>
                </c:pt>
                <c:pt idx="16">
                  <c:v>3</c:v>
                </c:pt>
              </c:numCache>
            </c:numRef>
          </c:val>
          <c:extLst>
            <c:ext xmlns:c16="http://schemas.microsoft.com/office/drawing/2014/chart" uri="{C3380CC4-5D6E-409C-BE32-E72D297353CC}">
              <c16:uniqueId val="{00000002-FFC3-CF47-97BD-5E64CABEE880}"/>
            </c:ext>
          </c:extLst>
        </c:ser>
        <c:ser>
          <c:idx val="1"/>
          <c:order val="3"/>
          <c:tx>
            <c:strRef>
              <c:f>Sheet1!$E$1</c:f>
              <c:strCache>
                <c:ptCount val="1"/>
                <c:pt idx="0">
                  <c:v>Groundwater</c:v>
                </c:pt>
              </c:strCache>
            </c:strRef>
          </c:tx>
          <c:spPr>
            <a:solidFill>
              <a:schemeClr val="accent2"/>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Sheet1!$E$2:$E$18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val>
          <c:extLst>
            <c:ext xmlns:c16="http://schemas.microsoft.com/office/drawing/2014/chart" uri="{C3380CC4-5D6E-409C-BE32-E72D297353CC}">
              <c16:uniqueId val="{00000003-FFC3-CF47-97BD-5E64CABEE880}"/>
            </c:ext>
          </c:extLst>
        </c:ser>
        <c:dLbls>
          <c:showLegendKey val="0"/>
          <c:showVal val="0"/>
          <c:showCatName val="0"/>
          <c:showSerName val="0"/>
          <c:showPercent val="0"/>
          <c:showBubbleSize val="0"/>
        </c:dLbls>
        <c:gapWidth val="44"/>
        <c:overlap val="100"/>
        <c:axId val="2046635120"/>
        <c:axId val="2046636800"/>
      </c:barChart>
      <c:catAx>
        <c:axId val="204663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46636800"/>
        <c:crosses val="autoZero"/>
        <c:auto val="1"/>
        <c:lblAlgn val="ctr"/>
        <c:lblOffset val="100"/>
        <c:noMultiLvlLbl val="0"/>
      </c:catAx>
      <c:valAx>
        <c:axId val="2046636800"/>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4663512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1"/>
          <c:order val="0"/>
          <c:tx>
            <c:strRef>
              <c:f>regression_results!$Y$1</c:f>
              <c:strCache>
                <c:ptCount val="1"/>
                <c:pt idx="0">
                  <c:v>Local sources</c:v>
                </c:pt>
              </c:strCache>
            </c:strRef>
          </c:tx>
          <c:spPr>
            <a:solidFill>
              <a:schemeClr val="accent2"/>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regression_results!$Y$2:$Y$51</c:f>
              <c:numCache>
                <c:formatCode>General</c:formatCode>
                <c:ptCount val="50"/>
                <c:pt idx="0">
                  <c:v>4246.6321152607798</c:v>
                </c:pt>
                <c:pt idx="3">
                  <c:v>3019.7505541638002</c:v>
                </c:pt>
                <c:pt idx="6">
                  <c:v>3026.08129575155</c:v>
                </c:pt>
                <c:pt idx="9">
                  <c:v>3139.7450483898601</c:v>
                </c:pt>
                <c:pt idx="12">
                  <c:v>2944.2656881959401</c:v>
                </c:pt>
                <c:pt idx="15">
                  <c:v>3461.93315731131</c:v>
                </c:pt>
                <c:pt idx="18">
                  <c:v>3468.5646786994398</c:v>
                </c:pt>
                <c:pt idx="21">
                  <c:v>3096.29289167058</c:v>
                </c:pt>
                <c:pt idx="24">
                  <c:v>3328.5865046603199</c:v>
                </c:pt>
                <c:pt idx="27">
                  <c:v>3250.0925395762802</c:v>
                </c:pt>
                <c:pt idx="30">
                  <c:v>2994.3544962137998</c:v>
                </c:pt>
                <c:pt idx="33">
                  <c:v>2430.2484990985899</c:v>
                </c:pt>
                <c:pt idx="36">
                  <c:v>1808.75837331921</c:v>
                </c:pt>
                <c:pt idx="39">
                  <c:v>1098.2532192772401</c:v>
                </c:pt>
                <c:pt idx="42">
                  <c:v>2092.0779276949902</c:v>
                </c:pt>
                <c:pt idx="45">
                  <c:v>3145.4172743020099</c:v>
                </c:pt>
                <c:pt idx="48">
                  <c:v>2750.5200926256998</c:v>
                </c:pt>
              </c:numCache>
            </c:numRef>
          </c:val>
          <c:extLst>
            <c:ext xmlns:c16="http://schemas.microsoft.com/office/drawing/2014/chart" uri="{C3380CC4-5D6E-409C-BE32-E72D297353CC}">
              <c16:uniqueId val="{00000000-25DC-6A48-91D1-DA37B5AE1446}"/>
            </c:ext>
          </c:extLst>
        </c:ser>
        <c:ser>
          <c:idx val="2"/>
          <c:order val="1"/>
          <c:tx>
            <c:strRef>
              <c:f>regression_results!$Z$1</c:f>
              <c:strCache>
                <c:ptCount val="1"/>
                <c:pt idx="0">
                  <c:v>Actual Delta imports</c:v>
                </c:pt>
              </c:strCache>
            </c:strRef>
          </c:tx>
          <c:spPr>
            <a:solidFill>
              <a:schemeClr val="accent5"/>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regression_results!$Z$2:$Z$51</c:f>
              <c:numCache>
                <c:formatCode>General</c:formatCode>
                <c:ptCount val="50"/>
                <c:pt idx="0">
                  <c:v>1180.9678847392099</c:v>
                </c:pt>
                <c:pt idx="3">
                  <c:v>1193.4494458361901</c:v>
                </c:pt>
                <c:pt idx="6">
                  <c:v>1230.91870424844</c:v>
                </c:pt>
                <c:pt idx="9">
                  <c:v>1188.65495161013</c:v>
                </c:pt>
                <c:pt idx="12">
                  <c:v>1201.03431180405</c:v>
                </c:pt>
                <c:pt idx="15">
                  <c:v>1116.06684268868</c:v>
                </c:pt>
                <c:pt idx="18">
                  <c:v>1048.5353213005501</c:v>
                </c:pt>
                <c:pt idx="21">
                  <c:v>1023.60710832941</c:v>
                </c:pt>
                <c:pt idx="24">
                  <c:v>1090.31349533967</c:v>
                </c:pt>
                <c:pt idx="27">
                  <c:v>1208.1074604237101</c:v>
                </c:pt>
                <c:pt idx="30">
                  <c:v>1099.6455037861999</c:v>
                </c:pt>
                <c:pt idx="33">
                  <c:v>1022.3515009014</c:v>
                </c:pt>
                <c:pt idx="36">
                  <c:v>739.34162668078397</c:v>
                </c:pt>
                <c:pt idx="39">
                  <c:v>634.24678072275799</c:v>
                </c:pt>
                <c:pt idx="42">
                  <c:v>882.92207230500901</c:v>
                </c:pt>
                <c:pt idx="45">
                  <c:v>994.082725697981</c:v>
                </c:pt>
                <c:pt idx="48">
                  <c:v>1057.87990737429</c:v>
                </c:pt>
              </c:numCache>
            </c:numRef>
          </c:val>
          <c:extLst>
            <c:ext xmlns:c16="http://schemas.microsoft.com/office/drawing/2014/chart" uri="{C3380CC4-5D6E-409C-BE32-E72D297353CC}">
              <c16:uniqueId val="{00000001-25DC-6A48-91D1-DA37B5AE1446}"/>
            </c:ext>
          </c:extLst>
        </c:ser>
        <c:ser>
          <c:idx val="3"/>
          <c:order val="2"/>
          <c:tx>
            <c:strRef>
              <c:f>regression_results!$AA$1</c:f>
              <c:strCache>
                <c:ptCount val="1"/>
                <c:pt idx="0">
                  <c:v>Actual groundwater pumping</c:v>
                </c:pt>
              </c:strCache>
            </c:strRef>
          </c:tx>
          <c:spPr>
            <a:solidFill>
              <a:schemeClr val="accent6"/>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regression_results!$AA$2:$AA$51</c:f>
              <c:numCache>
                <c:formatCode>General</c:formatCode>
                <c:ptCount val="50"/>
                <c:pt idx="0">
                  <c:v>2720.1</c:v>
                </c:pt>
                <c:pt idx="3">
                  <c:v>2551.8000000000002</c:v>
                </c:pt>
                <c:pt idx="6">
                  <c:v>2936.7</c:v>
                </c:pt>
                <c:pt idx="9">
                  <c:v>2163.9</c:v>
                </c:pt>
                <c:pt idx="12">
                  <c:v>2669.6</c:v>
                </c:pt>
                <c:pt idx="15">
                  <c:v>3401.9</c:v>
                </c:pt>
                <c:pt idx="18">
                  <c:v>3656.2</c:v>
                </c:pt>
                <c:pt idx="21">
                  <c:v>3646.4</c:v>
                </c:pt>
                <c:pt idx="24">
                  <c:v>2507.1999999999998</c:v>
                </c:pt>
                <c:pt idx="27">
                  <c:v>2324.1</c:v>
                </c:pt>
                <c:pt idx="30">
                  <c:v>3361.8</c:v>
                </c:pt>
                <c:pt idx="33">
                  <c:v>3632.2</c:v>
                </c:pt>
                <c:pt idx="36">
                  <c:v>4510.8999999999996</c:v>
                </c:pt>
                <c:pt idx="39">
                  <c:v>4983.8999999999996</c:v>
                </c:pt>
                <c:pt idx="42">
                  <c:v>3633.5</c:v>
                </c:pt>
                <c:pt idx="45">
                  <c:v>2993.1</c:v>
                </c:pt>
                <c:pt idx="48">
                  <c:v>2671.1</c:v>
                </c:pt>
              </c:numCache>
            </c:numRef>
          </c:val>
          <c:extLst>
            <c:ext xmlns:c16="http://schemas.microsoft.com/office/drawing/2014/chart" uri="{C3380CC4-5D6E-409C-BE32-E72D297353CC}">
              <c16:uniqueId val="{00000002-25DC-6A48-91D1-DA37B5AE1446}"/>
            </c:ext>
          </c:extLst>
        </c:ser>
        <c:ser>
          <c:idx val="4"/>
          <c:order val="3"/>
          <c:tx>
            <c:strRef>
              <c:f>regression_results!$AB$1</c:f>
              <c:strCache>
                <c:ptCount val="1"/>
                <c:pt idx="0">
                  <c:v>Estimated local sources</c:v>
                </c:pt>
              </c:strCache>
            </c:strRef>
          </c:tx>
          <c:spPr>
            <a:solidFill>
              <a:schemeClr val="accent2">
                <a:lumMod val="60000"/>
                <a:lumOff val="40000"/>
              </a:schemeClr>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regression_results!$AB$2:$AB$51</c:f>
              <c:numCache>
                <c:formatCode>General</c:formatCode>
                <c:ptCount val="50"/>
                <c:pt idx="1">
                  <c:v>3275.4217177436099</c:v>
                </c:pt>
                <c:pt idx="4">
                  <c:v>3260.4792507656898</c:v>
                </c:pt>
                <c:pt idx="7">
                  <c:v>3278.08585340134</c:v>
                </c:pt>
                <c:pt idx="10">
                  <c:v>3147.75633159275</c:v>
                </c:pt>
                <c:pt idx="13">
                  <c:v>2988.3521210900399</c:v>
                </c:pt>
                <c:pt idx="16">
                  <c:v>3282.8519583246398</c:v>
                </c:pt>
                <c:pt idx="19">
                  <c:v>3112.5770926464002</c:v>
                </c:pt>
                <c:pt idx="22">
                  <c:v>2894.7265652777601</c:v>
                </c:pt>
                <c:pt idx="25">
                  <c:v>3281.28043180855</c:v>
                </c:pt>
                <c:pt idx="28">
                  <c:v>2992.3611812416998</c:v>
                </c:pt>
                <c:pt idx="31">
                  <c:v>3271.9507533894098</c:v>
                </c:pt>
                <c:pt idx="34">
                  <c:v>3060.95740049801</c:v>
                </c:pt>
                <c:pt idx="37">
                  <c:v>2017.0744889057501</c:v>
                </c:pt>
                <c:pt idx="40">
                  <c:v>920.65814446012701</c:v>
                </c:pt>
                <c:pt idx="43">
                  <c:v>2224.25837000915</c:v>
                </c:pt>
                <c:pt idx="46">
                  <c:v>3231.6707205787402</c:v>
                </c:pt>
                <c:pt idx="49">
                  <c:v>3061.1119744777602</c:v>
                </c:pt>
              </c:numCache>
            </c:numRef>
          </c:val>
          <c:extLst>
            <c:ext xmlns:c16="http://schemas.microsoft.com/office/drawing/2014/chart" uri="{C3380CC4-5D6E-409C-BE32-E72D297353CC}">
              <c16:uniqueId val="{00000003-25DC-6A48-91D1-DA37B5AE1446}"/>
            </c:ext>
          </c:extLst>
        </c:ser>
        <c:ser>
          <c:idx val="5"/>
          <c:order val="4"/>
          <c:tx>
            <c:strRef>
              <c:f>regression_results!$AC$1</c:f>
              <c:strCache>
                <c:ptCount val="1"/>
                <c:pt idx="0">
                  <c:v>Estimated Delta imports</c:v>
                </c:pt>
              </c:strCache>
            </c:strRef>
          </c:tx>
          <c:spPr>
            <a:solidFill>
              <a:schemeClr val="accent5">
                <a:lumMod val="60000"/>
                <a:lumOff val="40000"/>
              </a:schemeClr>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regression_results!$AC$2:$AC$51</c:f>
              <c:numCache>
                <c:formatCode>General</c:formatCode>
                <c:ptCount val="50"/>
                <c:pt idx="1">
                  <c:v>1092.9055585050601</c:v>
                </c:pt>
                <c:pt idx="4">
                  <c:v>1076.3317366450899</c:v>
                </c:pt>
                <c:pt idx="7">
                  <c:v>1093.39118301248</c:v>
                </c:pt>
                <c:pt idx="10">
                  <c:v>1177.8016870926399</c:v>
                </c:pt>
                <c:pt idx="13">
                  <c:v>1203.6611501730799</c:v>
                </c:pt>
                <c:pt idx="16">
                  <c:v>1114.4873465589901</c:v>
                </c:pt>
                <c:pt idx="19">
                  <c:v>1024.02101177432</c:v>
                </c:pt>
                <c:pt idx="22">
                  <c:v>972.10901519334595</c:v>
                </c:pt>
                <c:pt idx="25">
                  <c:v>1102.4029174418499</c:v>
                </c:pt>
                <c:pt idx="28">
                  <c:v>1203.5702179946099</c:v>
                </c:pt>
                <c:pt idx="31">
                  <c:v>1130.0807098154501</c:v>
                </c:pt>
                <c:pt idx="34">
                  <c:v>1005.45129744362</c:v>
                </c:pt>
                <c:pt idx="37">
                  <c:v>827.010456193697</c:v>
                </c:pt>
                <c:pt idx="40">
                  <c:v>682.11787462194195</c:v>
                </c:pt>
                <c:pt idx="43">
                  <c:v>853.82100498356795</c:v>
                </c:pt>
                <c:pt idx="46">
                  <c:v>1156.71657410799</c:v>
                </c:pt>
                <c:pt idx="49">
                  <c:v>1196.2459022307501</c:v>
                </c:pt>
              </c:numCache>
            </c:numRef>
          </c:val>
          <c:extLst>
            <c:ext xmlns:c16="http://schemas.microsoft.com/office/drawing/2014/chart" uri="{C3380CC4-5D6E-409C-BE32-E72D297353CC}">
              <c16:uniqueId val="{00000004-25DC-6A48-91D1-DA37B5AE1446}"/>
            </c:ext>
          </c:extLst>
        </c:ser>
        <c:ser>
          <c:idx val="6"/>
          <c:order val="5"/>
          <c:tx>
            <c:strRef>
              <c:f>regression_results!$AD$1</c:f>
              <c:strCache>
                <c:ptCount val="1"/>
                <c:pt idx="0">
                  <c:v>Estimated groundwater pumping</c:v>
                </c:pt>
              </c:strCache>
            </c:strRef>
          </c:tx>
          <c:spPr>
            <a:solidFill>
              <a:schemeClr val="accent6">
                <a:lumMod val="60000"/>
                <a:lumOff val="40000"/>
              </a:schemeClr>
            </a:solidFill>
            <a:ln>
              <a:noFill/>
            </a:ln>
            <a:effectLst/>
          </c:spPr>
          <c:invertIfNegative val="0"/>
          <c:cat>
            <c:numRef>
              <c:f>regression_results!$X$2:$X$51</c:f>
              <c:numCache>
                <c:formatCode>General</c:formatCode>
                <c:ptCount val="50"/>
                <c:pt idx="0">
                  <c:v>2002</c:v>
                </c:pt>
                <c:pt idx="3">
                  <c:v>2003</c:v>
                </c:pt>
                <c:pt idx="6">
                  <c:v>2004</c:v>
                </c:pt>
                <c:pt idx="9">
                  <c:v>2005</c:v>
                </c:pt>
                <c:pt idx="12">
                  <c:v>2006</c:v>
                </c:pt>
                <c:pt idx="15">
                  <c:v>2007</c:v>
                </c:pt>
                <c:pt idx="18">
                  <c:v>2008</c:v>
                </c:pt>
                <c:pt idx="21">
                  <c:v>2009</c:v>
                </c:pt>
                <c:pt idx="24">
                  <c:v>2010</c:v>
                </c:pt>
                <c:pt idx="27">
                  <c:v>2011</c:v>
                </c:pt>
                <c:pt idx="30">
                  <c:v>2012</c:v>
                </c:pt>
                <c:pt idx="33">
                  <c:v>2013</c:v>
                </c:pt>
                <c:pt idx="36">
                  <c:v>2014</c:v>
                </c:pt>
                <c:pt idx="39">
                  <c:v>2015</c:v>
                </c:pt>
                <c:pt idx="42">
                  <c:v>2016</c:v>
                </c:pt>
                <c:pt idx="45">
                  <c:v>2018</c:v>
                </c:pt>
                <c:pt idx="48">
                  <c:v>2019</c:v>
                </c:pt>
              </c:numCache>
            </c:numRef>
          </c:cat>
          <c:val>
            <c:numRef>
              <c:f>regression_results!$AD$2:$AD$51</c:f>
              <c:numCache>
                <c:formatCode>General</c:formatCode>
                <c:ptCount val="50"/>
                <c:pt idx="1">
                  <c:v>2936.78615804115</c:v>
                </c:pt>
                <c:pt idx="4">
                  <c:v>3274.4134041453099</c:v>
                </c:pt>
                <c:pt idx="7">
                  <c:v>2904.35107752969</c:v>
                </c:pt>
                <c:pt idx="10">
                  <c:v>2486.1463672878399</c:v>
                </c:pt>
                <c:pt idx="13">
                  <c:v>2840.26130121297</c:v>
                </c:pt>
                <c:pt idx="16">
                  <c:v>3120.0286274222599</c:v>
                </c:pt>
                <c:pt idx="19">
                  <c:v>3361.6495466767601</c:v>
                </c:pt>
                <c:pt idx="22">
                  <c:v>3404.6930053521</c:v>
                </c:pt>
                <c:pt idx="25">
                  <c:v>2484.9643350347701</c:v>
                </c:pt>
                <c:pt idx="28">
                  <c:v>2404.6562160271701</c:v>
                </c:pt>
                <c:pt idx="31">
                  <c:v>3285.51472002538</c:v>
                </c:pt>
                <c:pt idx="34">
                  <c:v>3492.21223345824</c:v>
                </c:pt>
                <c:pt idx="37">
                  <c:v>4401.1676041096098</c:v>
                </c:pt>
                <c:pt idx="40">
                  <c:v>5214.8812297027798</c:v>
                </c:pt>
                <c:pt idx="43">
                  <c:v>3390.2232196165601</c:v>
                </c:pt>
                <c:pt idx="46">
                  <c:v>2872.13873645592</c:v>
                </c:pt>
                <c:pt idx="49">
                  <c:v>2490.3122179014599</c:v>
                </c:pt>
              </c:numCache>
            </c:numRef>
          </c:val>
          <c:extLst>
            <c:ext xmlns:c16="http://schemas.microsoft.com/office/drawing/2014/chart" uri="{C3380CC4-5D6E-409C-BE32-E72D297353CC}">
              <c16:uniqueId val="{00000005-25DC-6A48-91D1-DA37B5AE1446}"/>
            </c:ext>
          </c:extLst>
        </c:ser>
        <c:dLbls>
          <c:showLegendKey val="0"/>
          <c:showVal val="0"/>
          <c:showCatName val="0"/>
          <c:showSerName val="0"/>
          <c:showPercent val="0"/>
          <c:showBubbleSize val="0"/>
        </c:dLbls>
        <c:gapWidth val="30"/>
        <c:overlap val="100"/>
        <c:axId val="1033727360"/>
        <c:axId val="945661072"/>
      </c:barChart>
      <c:catAx>
        <c:axId val="10337273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2220000" spcFirstLastPara="1" vertOverflow="ellipsis"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945661072"/>
        <c:crosses val="autoZero"/>
        <c:auto val="1"/>
        <c:lblAlgn val="ctr"/>
        <c:lblOffset val="100"/>
        <c:noMultiLvlLbl val="0"/>
      </c:catAx>
      <c:valAx>
        <c:axId val="945661072"/>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Water deliveries (millions of acre-feet)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103372736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regression_results!$I$1</c:f>
              <c:strCache>
                <c:ptCount val="1"/>
                <c:pt idx="0">
                  <c:v>anomaly</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regression_results!$I$2:$I$18</c:f>
              <c:numCache>
                <c:formatCode>General</c:formatCode>
                <c:ptCount val="17"/>
                <c:pt idx="0">
                  <c:v>1.01763728256667</c:v>
                </c:pt>
                <c:pt idx="1">
                  <c:v>0.99723752782278996</c:v>
                </c:pt>
                <c:pt idx="2">
                  <c:v>1.0271673821480201</c:v>
                </c:pt>
                <c:pt idx="3">
                  <c:v>0.98887899548976699</c:v>
                </c:pt>
                <c:pt idx="4">
                  <c:v>0.97161275047273099</c:v>
                </c:pt>
                <c:pt idx="5">
                  <c:v>1.01710890755518</c:v>
                </c:pt>
                <c:pt idx="6">
                  <c:v>1.04080212842555</c:v>
                </c:pt>
                <c:pt idx="7">
                  <c:v>1.0508622850995499</c:v>
                </c:pt>
                <c:pt idx="8">
                  <c:v>0.98711935544260798</c:v>
                </c:pt>
                <c:pt idx="9">
                  <c:v>0.91638843305731199</c:v>
                </c:pt>
                <c:pt idx="10">
                  <c:v>0.95389008791013397</c:v>
                </c:pt>
                <c:pt idx="11">
                  <c:v>1.0477078666773101</c:v>
                </c:pt>
                <c:pt idx="12">
                  <c:v>1.06393970715761</c:v>
                </c:pt>
                <c:pt idx="13">
                  <c:v>1.05277854484966</c:v>
                </c:pt>
                <c:pt idx="14">
                  <c:v>1.01343775809834</c:v>
                </c:pt>
                <c:pt idx="15">
                  <c:v>1.02288490475911</c:v>
                </c:pt>
                <c:pt idx="16">
                  <c:v>1.0277170614862901</c:v>
                </c:pt>
              </c:numCache>
            </c:numRef>
          </c:val>
          <c:extLst>
            <c:ext xmlns:c16="http://schemas.microsoft.com/office/drawing/2014/chart" uri="{C3380CC4-5D6E-409C-BE32-E72D297353CC}">
              <c16:uniqueId val="{00000000-3180-AB41-9DA7-5ADDBD01D3E7}"/>
            </c:ext>
          </c:extLst>
        </c:ser>
        <c:dLbls>
          <c:showLegendKey val="0"/>
          <c:showVal val="0"/>
          <c:showCatName val="0"/>
          <c:showSerName val="0"/>
          <c:showPercent val="0"/>
          <c:showBubbleSize val="0"/>
        </c:dLbls>
        <c:gapWidth val="44"/>
        <c:overlap val="-27"/>
        <c:axId val="201676544"/>
        <c:axId val="201678224"/>
      </c:barChart>
      <c:catAx>
        <c:axId val="20167654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8224"/>
        <c:crossesAt val="1"/>
        <c:auto val="1"/>
        <c:lblAlgn val="ctr"/>
        <c:lblOffset val="100"/>
        <c:noMultiLvlLbl val="0"/>
      </c:catAx>
      <c:valAx>
        <c:axId val="201678224"/>
        <c:scaling>
          <c:orientation val="minMax"/>
          <c:max val="1.1000000000000001"/>
          <c:min val="0.9"/>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Deviation in evapotranspiration</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654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regression_results!$Q$1</c:f>
              <c:strCache>
                <c:ptCount val="1"/>
                <c:pt idx="0">
                  <c:v>Estimated supplies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regression_results!$Q$2:$Q$18</c:f>
              <c:numCache>
                <c:formatCode>General</c:formatCode>
                <c:ptCount val="17"/>
                <c:pt idx="0">
                  <c:v>7305.1134342898204</c:v>
                </c:pt>
                <c:pt idx="1">
                  <c:v>7611.2243915560894</c:v>
                </c:pt>
                <c:pt idx="2">
                  <c:v>7275.8281139435103</c:v>
                </c:pt>
                <c:pt idx="3">
                  <c:v>6811.7043859732294</c:v>
                </c:pt>
                <c:pt idx="4">
                  <c:v>7032.2745724760898</c:v>
                </c:pt>
                <c:pt idx="5">
                  <c:v>7517.3679323058896</c:v>
                </c:pt>
                <c:pt idx="6">
                  <c:v>7498.2476510974802</c:v>
                </c:pt>
                <c:pt idx="7">
                  <c:v>7271.5285858232055</c:v>
                </c:pt>
                <c:pt idx="8">
                  <c:v>6868.6476842851698</c:v>
                </c:pt>
                <c:pt idx="9">
                  <c:v>6600.5876152634792</c:v>
                </c:pt>
                <c:pt idx="10">
                  <c:v>7687.546183230239</c:v>
                </c:pt>
                <c:pt idx="11">
                  <c:v>7558.6209313998697</c:v>
                </c:pt>
                <c:pt idx="12">
                  <c:v>7245.2525492090572</c:v>
                </c:pt>
                <c:pt idx="13">
                  <c:v>6817.6572487848489</c:v>
                </c:pt>
                <c:pt idx="14">
                  <c:v>6468.3025946092785</c:v>
                </c:pt>
                <c:pt idx="15">
                  <c:v>7260.52603114265</c:v>
                </c:pt>
                <c:pt idx="16">
                  <c:v>6747.67009460997</c:v>
                </c:pt>
              </c:numCache>
            </c:numRef>
          </c:val>
          <c:extLst>
            <c:ext xmlns:c16="http://schemas.microsoft.com/office/drawing/2014/chart" uri="{C3380CC4-5D6E-409C-BE32-E72D297353CC}">
              <c16:uniqueId val="{00000000-5000-D842-A154-257146EDFD94}"/>
            </c:ext>
          </c:extLst>
        </c:ser>
        <c:ser>
          <c:idx val="1"/>
          <c:order val="1"/>
          <c:tx>
            <c:strRef>
              <c:f>regression_results!$R$1</c:f>
              <c:strCache>
                <c:ptCount val="1"/>
                <c:pt idx="0">
                  <c:v>Effective supplies (accounting for ET deviations)</c:v>
                </c:pt>
              </c:strCache>
            </c:strRef>
          </c:tx>
          <c:spPr>
            <a:solidFill>
              <a:schemeClr val="accent2"/>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regression_results!$R$2:$R$18</c:f>
              <c:numCache>
                <c:formatCode>General</c:formatCode>
                <c:ptCount val="17"/>
                <c:pt idx="0">
                  <c:v>7178.9777105475305</c:v>
                </c:pt>
                <c:pt idx="1">
                  <c:v>7630.9806338271455</c:v>
                </c:pt>
                <c:pt idx="2">
                  <c:v>7081.5364255005134</c:v>
                </c:pt>
                <c:pt idx="3">
                  <c:v>6891.2379505876679</c:v>
                </c:pt>
                <c:pt idx="4">
                  <c:v>7235.2903290496879</c:v>
                </c:pt>
                <c:pt idx="5">
                  <c:v>7395.0109632685599</c:v>
                </c:pt>
                <c:pt idx="6">
                  <c:v>7206.44498933659</c:v>
                </c:pt>
                <c:pt idx="7">
                  <c:v>6907.7791749960261</c:v>
                </c:pt>
                <c:pt idx="8">
                  <c:v>6960.7655838182854</c:v>
                </c:pt>
                <c:pt idx="9">
                  <c:v>7198.5485239055261</c:v>
                </c:pt>
                <c:pt idx="10">
                  <c:v>8017.3082716451108</c:v>
                </c:pt>
                <c:pt idx="11">
                  <c:v>7217.4308263597832</c:v>
                </c:pt>
                <c:pt idx="12">
                  <c:v>6787.9779544573448</c:v>
                </c:pt>
                <c:pt idx="13">
                  <c:v>6440.2034132797417</c:v>
                </c:pt>
                <c:pt idx="14">
                  <c:v>6372.200412382419</c:v>
                </c:pt>
                <c:pt idx="15">
                  <c:v>7096.8611347135657</c:v>
                </c:pt>
                <c:pt idx="16">
                  <c:v>6549.4472903107662</c:v>
                </c:pt>
              </c:numCache>
            </c:numRef>
          </c:val>
          <c:extLst>
            <c:ext xmlns:c16="http://schemas.microsoft.com/office/drawing/2014/chart" uri="{C3380CC4-5D6E-409C-BE32-E72D297353CC}">
              <c16:uniqueId val="{00000001-5000-D842-A154-257146EDFD94}"/>
            </c:ext>
          </c:extLst>
        </c:ser>
        <c:dLbls>
          <c:showLegendKey val="0"/>
          <c:showVal val="0"/>
          <c:showCatName val="0"/>
          <c:showSerName val="0"/>
          <c:showPercent val="0"/>
          <c:showBubbleSize val="0"/>
        </c:dLbls>
        <c:gapWidth val="80"/>
        <c:overlap val="-20"/>
        <c:axId val="203599504"/>
        <c:axId val="203602272"/>
      </c:barChart>
      <c:catAx>
        <c:axId val="203599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602272"/>
        <c:crosses val="autoZero"/>
        <c:auto val="1"/>
        <c:lblAlgn val="ctr"/>
        <c:lblOffset val="100"/>
        <c:noMultiLvlLbl val="0"/>
      </c:catAx>
      <c:valAx>
        <c:axId val="203602272"/>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599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linear"/>
            <c:dispRSqr val="0"/>
            <c:dispEq val="1"/>
            <c:trendlineLbl>
              <c:layout>
                <c:manualLayout>
                  <c:x val="-0.24541054243219598"/>
                  <c:y val="-0.27665463692038494"/>
                </c:manualLayout>
              </c:layout>
              <c:numFmt formatCode="General" sourceLinked="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rendlineLbl>
          </c:trendline>
          <c:xVal>
            <c:numRef>
              <c:f>regression_results!$F$2:$F$18</c:f>
              <c:numCache>
                <c:formatCode>General</c:formatCode>
                <c:ptCount val="17"/>
                <c:pt idx="0">
                  <c:v>-0.59999999999999898</c:v>
                </c:pt>
                <c:pt idx="1">
                  <c:v>-1.65</c:v>
                </c:pt>
                <c:pt idx="2">
                  <c:v>-0.59999999999999398</c:v>
                </c:pt>
                <c:pt idx="3">
                  <c:v>0.54999999999999905</c:v>
                </c:pt>
                <c:pt idx="4">
                  <c:v>-0.20000000000000201</c:v>
                </c:pt>
                <c:pt idx="5">
                  <c:v>-1.01999999999999</c:v>
                </c:pt>
                <c:pt idx="6">
                  <c:v>-1.65</c:v>
                </c:pt>
                <c:pt idx="7">
                  <c:v>-1.3</c:v>
                </c:pt>
                <c:pt idx="8">
                  <c:v>0.35</c:v>
                </c:pt>
                <c:pt idx="9">
                  <c:v>1.5</c:v>
                </c:pt>
                <c:pt idx="10">
                  <c:v>-2.6</c:v>
                </c:pt>
                <c:pt idx="11">
                  <c:v>-2.7999999999999901</c:v>
                </c:pt>
                <c:pt idx="12">
                  <c:v>-4</c:v>
                </c:pt>
                <c:pt idx="13">
                  <c:v>-3.7999999999999901</c:v>
                </c:pt>
                <c:pt idx="14">
                  <c:v>0.41550000000000298</c:v>
                </c:pt>
                <c:pt idx="15">
                  <c:v>-0.81499999999999795</c:v>
                </c:pt>
                <c:pt idx="16">
                  <c:v>1.1499999999999999</c:v>
                </c:pt>
              </c:numCache>
            </c:numRef>
          </c:xVal>
          <c:yVal>
            <c:numRef>
              <c:f>regression_results!$E$2:$E$18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yVal>
          <c:smooth val="0"/>
          <c:extLst>
            <c:ext xmlns:c16="http://schemas.microsoft.com/office/drawing/2014/chart" uri="{C3380CC4-5D6E-409C-BE32-E72D297353CC}">
              <c16:uniqueId val="{00000001-EA5F-AC43-9781-85B69E83D2FF}"/>
            </c:ext>
          </c:extLst>
        </c:ser>
        <c:dLbls>
          <c:showLegendKey val="0"/>
          <c:showVal val="0"/>
          <c:showCatName val="0"/>
          <c:showSerName val="0"/>
          <c:showPercent val="0"/>
          <c:showBubbleSize val="0"/>
        </c:dLbls>
        <c:axId val="261218815"/>
        <c:axId val="202327696"/>
      </c:scatterChart>
      <c:valAx>
        <c:axId val="261218815"/>
        <c:scaling>
          <c:orientation val="minMax"/>
        </c:scaling>
        <c:delete val="0"/>
        <c:axPos val="b"/>
        <c:title>
          <c:tx>
            <c:rich>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Annual change in groundwater elevation (feet)</a:t>
                </a:r>
              </a:p>
            </c:rich>
          </c:tx>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2327696"/>
        <c:crossesAt val="2812.6"/>
        <c:crossBetween val="midCat"/>
      </c:valAx>
      <c:valAx>
        <c:axId val="20232769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Annual groundwater deliveries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61218815"/>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regression_results!$M$1</c:f>
              <c:strCache>
                <c:ptCount val="1"/>
                <c:pt idx="0">
                  <c:v>Changes in groundwater storage</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regression_results!$M$2:$M$18</c:f>
              <c:numCache>
                <c:formatCode>General</c:formatCode>
                <c:ptCount val="17"/>
                <c:pt idx="0">
                  <c:v>-124.225488774124</c:v>
                </c:pt>
                <c:pt idx="1">
                  <c:v>-461.85273486931999</c:v>
                </c:pt>
                <c:pt idx="2">
                  <c:v>-91.790408256810593</c:v>
                </c:pt>
                <c:pt idx="3">
                  <c:v>326.41430198266499</c:v>
                </c:pt>
                <c:pt idx="4">
                  <c:v>-27.700631936803301</c:v>
                </c:pt>
                <c:pt idx="5">
                  <c:v>-307.46795815003202</c:v>
                </c:pt>
                <c:pt idx="6">
                  <c:v>-549.08887741420904</c:v>
                </c:pt>
                <c:pt idx="7">
                  <c:v>-592.13233609120402</c:v>
                </c:pt>
                <c:pt idx="8">
                  <c:v>327.596334229413</c:v>
                </c:pt>
                <c:pt idx="9">
                  <c:v>407.90445324799299</c:v>
                </c:pt>
                <c:pt idx="10">
                  <c:v>-472.95405075183402</c:v>
                </c:pt>
                <c:pt idx="11">
                  <c:v>-679.65156418479899</c:v>
                </c:pt>
                <c:pt idx="12">
                  <c:v>-1588.60693484851</c:v>
                </c:pt>
                <c:pt idx="13">
                  <c:v>-2402.3205604318</c:v>
                </c:pt>
                <c:pt idx="14">
                  <c:v>-577.66255035473296</c:v>
                </c:pt>
                <c:pt idx="15">
                  <c:v>-59.578067188359</c:v>
                </c:pt>
                <c:pt idx="16">
                  <c:v>322.24845136655802</c:v>
                </c:pt>
              </c:numCache>
            </c:numRef>
          </c:val>
          <c:extLst>
            <c:ext xmlns:c16="http://schemas.microsoft.com/office/drawing/2014/chart" uri="{C3380CC4-5D6E-409C-BE32-E72D297353CC}">
              <c16:uniqueId val="{00000000-8EBC-E245-BE51-2442F66A2AE0}"/>
            </c:ext>
          </c:extLst>
        </c:ser>
        <c:dLbls>
          <c:showLegendKey val="0"/>
          <c:showVal val="0"/>
          <c:showCatName val="0"/>
          <c:showSerName val="0"/>
          <c:showPercent val="0"/>
          <c:showBubbleSize val="0"/>
        </c:dLbls>
        <c:gapWidth val="44"/>
        <c:overlap val="-27"/>
        <c:axId val="201676544"/>
        <c:axId val="201678224"/>
      </c:barChart>
      <c:catAx>
        <c:axId val="20167654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8224"/>
        <c:crosses val="autoZero"/>
        <c:auto val="1"/>
        <c:lblAlgn val="ctr"/>
        <c:lblOffset val="100"/>
        <c:noMultiLvlLbl val="0"/>
      </c:catAx>
      <c:valAx>
        <c:axId val="20167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Changes in groundwater storage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6544"/>
        <c:crosses val="autoZero"/>
        <c:crossBetween val="between"/>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regression_results!$Q$1</c:f>
              <c:strCache>
                <c:ptCount val="1"/>
                <c:pt idx="0">
                  <c:v>Estimated supplies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regression_results!$Q$2:$Q$18</c:f>
              <c:numCache>
                <c:formatCode>General</c:formatCode>
                <c:ptCount val="17"/>
                <c:pt idx="0">
                  <c:v>7305.1134342898204</c:v>
                </c:pt>
                <c:pt idx="1">
                  <c:v>7611.2243915560894</c:v>
                </c:pt>
                <c:pt idx="2">
                  <c:v>7275.8281139435103</c:v>
                </c:pt>
                <c:pt idx="3">
                  <c:v>6811.7043859732294</c:v>
                </c:pt>
                <c:pt idx="4">
                  <c:v>7032.2745724760898</c:v>
                </c:pt>
                <c:pt idx="5">
                  <c:v>7517.3679323058896</c:v>
                </c:pt>
                <c:pt idx="6">
                  <c:v>7498.2476510974802</c:v>
                </c:pt>
                <c:pt idx="7">
                  <c:v>7271.5285858232055</c:v>
                </c:pt>
                <c:pt idx="8">
                  <c:v>6868.6476842851698</c:v>
                </c:pt>
                <c:pt idx="9">
                  <c:v>6600.5876152634792</c:v>
                </c:pt>
                <c:pt idx="10">
                  <c:v>7687.546183230239</c:v>
                </c:pt>
                <c:pt idx="11">
                  <c:v>7558.6209313998697</c:v>
                </c:pt>
                <c:pt idx="12">
                  <c:v>7245.2525492090572</c:v>
                </c:pt>
                <c:pt idx="13">
                  <c:v>6817.6572487848489</c:v>
                </c:pt>
                <c:pt idx="14">
                  <c:v>6468.3025946092785</c:v>
                </c:pt>
                <c:pt idx="15">
                  <c:v>7260.52603114265</c:v>
                </c:pt>
                <c:pt idx="16">
                  <c:v>6747.67009460997</c:v>
                </c:pt>
              </c:numCache>
            </c:numRef>
          </c:val>
          <c:extLst>
            <c:ext xmlns:c16="http://schemas.microsoft.com/office/drawing/2014/chart" uri="{C3380CC4-5D6E-409C-BE32-E72D297353CC}">
              <c16:uniqueId val="{00000000-8F35-324C-BB7F-CB76E253311A}"/>
            </c:ext>
          </c:extLst>
        </c:ser>
        <c:ser>
          <c:idx val="2"/>
          <c:order val="1"/>
          <c:tx>
            <c:strRef>
              <c:f>regression_results!$S$1</c:f>
              <c:strCache>
                <c:ptCount val="1"/>
                <c:pt idx="0">
                  <c:v>Effective supplies (accounting for changes in groundwater storage)</c:v>
                </c:pt>
              </c:strCache>
            </c:strRef>
          </c:tx>
          <c:spPr>
            <a:solidFill>
              <a:schemeClr val="accent3"/>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regression_results!$S$2:$S$18</c:f>
              <c:numCache>
                <c:formatCode>General</c:formatCode>
                <c:ptCount val="17"/>
                <c:pt idx="0">
                  <c:v>7180.8879455156966</c:v>
                </c:pt>
                <c:pt idx="1">
                  <c:v>7149.3716566867697</c:v>
                </c:pt>
                <c:pt idx="2">
                  <c:v>7184.0377056867001</c:v>
                </c:pt>
                <c:pt idx="3">
                  <c:v>7138.1186879558945</c:v>
                </c:pt>
                <c:pt idx="4">
                  <c:v>7004.5739405392869</c:v>
                </c:pt>
                <c:pt idx="5">
                  <c:v>7209.8999741558573</c:v>
                </c:pt>
                <c:pt idx="6">
                  <c:v>6949.1587736832716</c:v>
                </c:pt>
                <c:pt idx="7">
                  <c:v>6679.3962497320017</c:v>
                </c:pt>
                <c:pt idx="8">
                  <c:v>7196.2440185145824</c:v>
                </c:pt>
                <c:pt idx="9">
                  <c:v>7008.4920685114721</c:v>
                </c:pt>
                <c:pt idx="10">
                  <c:v>7214.5921324784049</c:v>
                </c:pt>
                <c:pt idx="11">
                  <c:v>6878.9693672150706</c:v>
                </c:pt>
                <c:pt idx="12">
                  <c:v>5656.6456143605474</c:v>
                </c:pt>
                <c:pt idx="13">
                  <c:v>4415.3366883530489</c:v>
                </c:pt>
                <c:pt idx="14">
                  <c:v>5890.6400442545455</c:v>
                </c:pt>
                <c:pt idx="15">
                  <c:v>7200.9479639542915</c:v>
                </c:pt>
                <c:pt idx="16">
                  <c:v>7069.9185459765276</c:v>
                </c:pt>
              </c:numCache>
            </c:numRef>
          </c:val>
          <c:extLst>
            <c:ext xmlns:c16="http://schemas.microsoft.com/office/drawing/2014/chart" uri="{C3380CC4-5D6E-409C-BE32-E72D297353CC}">
              <c16:uniqueId val="{00000001-8F35-324C-BB7F-CB76E253311A}"/>
            </c:ext>
          </c:extLst>
        </c:ser>
        <c:dLbls>
          <c:showLegendKey val="0"/>
          <c:showVal val="0"/>
          <c:showCatName val="0"/>
          <c:showSerName val="0"/>
          <c:showPercent val="0"/>
          <c:showBubbleSize val="0"/>
        </c:dLbls>
        <c:gapWidth val="80"/>
        <c:overlap val="-20"/>
        <c:axId val="203599504"/>
        <c:axId val="203602272"/>
      </c:barChart>
      <c:catAx>
        <c:axId val="203599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602272"/>
        <c:crosses val="autoZero"/>
        <c:auto val="1"/>
        <c:lblAlgn val="ctr"/>
        <c:lblOffset val="100"/>
        <c:noMultiLvlLbl val="0"/>
      </c:catAx>
      <c:valAx>
        <c:axId val="203602272"/>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599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regression_results!$Q$1</c:f>
              <c:strCache>
                <c:ptCount val="1"/>
                <c:pt idx="0">
                  <c:v>Estimated supplies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regression_results!$Q$2:$Q$18</c:f>
              <c:numCache>
                <c:formatCode>General</c:formatCode>
                <c:ptCount val="17"/>
                <c:pt idx="0">
                  <c:v>7305.1134342898204</c:v>
                </c:pt>
                <c:pt idx="1">
                  <c:v>7611.2243915560894</c:v>
                </c:pt>
                <c:pt idx="2">
                  <c:v>7275.8281139435103</c:v>
                </c:pt>
                <c:pt idx="3">
                  <c:v>6811.7043859732294</c:v>
                </c:pt>
                <c:pt idx="4">
                  <c:v>7032.2745724760898</c:v>
                </c:pt>
                <c:pt idx="5">
                  <c:v>7517.3679323058896</c:v>
                </c:pt>
                <c:pt idx="6">
                  <c:v>7498.2476510974802</c:v>
                </c:pt>
                <c:pt idx="7">
                  <c:v>7271.5285858232055</c:v>
                </c:pt>
                <c:pt idx="8">
                  <c:v>6868.6476842851698</c:v>
                </c:pt>
                <c:pt idx="9">
                  <c:v>6600.5876152634792</c:v>
                </c:pt>
                <c:pt idx="10">
                  <c:v>7687.546183230239</c:v>
                </c:pt>
                <c:pt idx="11">
                  <c:v>7558.6209313998697</c:v>
                </c:pt>
                <c:pt idx="12">
                  <c:v>7245.2525492090572</c:v>
                </c:pt>
                <c:pt idx="13">
                  <c:v>6817.6572487848489</c:v>
                </c:pt>
                <c:pt idx="14">
                  <c:v>6468.3025946092785</c:v>
                </c:pt>
                <c:pt idx="15">
                  <c:v>7260.52603114265</c:v>
                </c:pt>
                <c:pt idx="16">
                  <c:v>6747.67009460997</c:v>
                </c:pt>
              </c:numCache>
            </c:numRef>
          </c:val>
          <c:extLst>
            <c:ext xmlns:c16="http://schemas.microsoft.com/office/drawing/2014/chart" uri="{C3380CC4-5D6E-409C-BE32-E72D297353CC}">
              <c16:uniqueId val="{00000000-248E-7842-90B6-8FB0FC9DD2CE}"/>
            </c:ext>
          </c:extLst>
        </c:ser>
        <c:ser>
          <c:idx val="1"/>
          <c:order val="1"/>
          <c:tx>
            <c:strRef>
              <c:f>regression_results!$T$1</c:f>
              <c:strCache>
                <c:ptCount val="1"/>
                <c:pt idx="0">
                  <c:v>Final effective supplies</c:v>
                </c:pt>
              </c:strCache>
            </c:strRef>
          </c:tx>
          <c:spPr>
            <a:solidFill>
              <a:srgbClr val="FFC000"/>
            </a:solidFill>
            <a:ln>
              <a:noFill/>
            </a:ln>
            <a:effectLst/>
          </c:spPr>
          <c:invertIfNegative val="0"/>
          <c:val>
            <c:numRef>
              <c:f>regression_results!$T$2:$T$18</c:f>
              <c:numCache>
                <c:formatCode>General</c:formatCode>
                <c:ptCount val="17"/>
                <c:pt idx="0">
                  <c:v>7054.7522217683199</c:v>
                </c:pt>
                <c:pt idx="1">
                  <c:v>7169.1278989529601</c:v>
                </c:pt>
                <c:pt idx="2">
                  <c:v>6989.7460172418796</c:v>
                </c:pt>
                <c:pt idx="3">
                  <c:v>7217.6522525740802</c:v>
                </c:pt>
                <c:pt idx="4">
                  <c:v>7207.5896971169304</c:v>
                </c:pt>
                <c:pt idx="5">
                  <c:v>7087.5430051128496</c:v>
                </c:pt>
                <c:pt idx="6">
                  <c:v>6657.3561119134902</c:v>
                </c:pt>
                <c:pt idx="7">
                  <c:v>6315.64683889956</c:v>
                </c:pt>
                <c:pt idx="8">
                  <c:v>7288.3619180473097</c:v>
                </c:pt>
                <c:pt idx="9">
                  <c:v>7606.4529771631096</c:v>
                </c:pt>
                <c:pt idx="10">
                  <c:v>7544.3542208858298</c:v>
                </c:pt>
                <c:pt idx="11">
                  <c:v>6537.7792621708904</c:v>
                </c:pt>
                <c:pt idx="12">
                  <c:v>5199.3710196088196</c:v>
                </c:pt>
                <c:pt idx="13">
                  <c:v>4037.8828528645499</c:v>
                </c:pt>
                <c:pt idx="14">
                  <c:v>5794.5378620378597</c:v>
                </c:pt>
                <c:pt idx="15">
                  <c:v>7037.2830675209098</c:v>
                </c:pt>
                <c:pt idx="16">
                  <c:v>6871.6957416810801</c:v>
                </c:pt>
              </c:numCache>
            </c:numRef>
          </c:val>
          <c:extLst>
            <c:ext xmlns:c16="http://schemas.microsoft.com/office/drawing/2014/chart" uri="{C3380CC4-5D6E-409C-BE32-E72D297353CC}">
              <c16:uniqueId val="{00000001-248E-7842-90B6-8FB0FC9DD2CE}"/>
            </c:ext>
          </c:extLst>
        </c:ser>
        <c:dLbls>
          <c:showLegendKey val="0"/>
          <c:showVal val="0"/>
          <c:showCatName val="0"/>
          <c:showSerName val="0"/>
          <c:showPercent val="0"/>
          <c:showBubbleSize val="0"/>
        </c:dLbls>
        <c:gapWidth val="80"/>
        <c:overlap val="-20"/>
        <c:axId val="203599504"/>
        <c:axId val="203602272"/>
      </c:barChart>
      <c:catAx>
        <c:axId val="203599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602272"/>
        <c:crosses val="autoZero"/>
        <c:auto val="1"/>
        <c:lblAlgn val="ctr"/>
        <c:lblOffset val="100"/>
        <c:noMultiLvlLbl val="0"/>
      </c:catAx>
      <c:valAx>
        <c:axId val="203602272"/>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3599504"/>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regression_results!$U$1</c:f>
              <c:strCache>
                <c:ptCount val="1"/>
                <c:pt idx="0">
                  <c:v>Annual shortages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regression_results!$U$2:$U$18</c:f>
              <c:numCache>
                <c:formatCode>General</c:formatCode>
                <c:ptCount val="17"/>
                <c:pt idx="0">
                  <c:v>551.70075539478967</c:v>
                </c:pt>
                <c:pt idx="1">
                  <c:v>437.32507821014951</c:v>
                </c:pt>
                <c:pt idx="2">
                  <c:v>616.70695992123001</c:v>
                </c:pt>
                <c:pt idx="3">
                  <c:v>388.80072458902941</c:v>
                </c:pt>
                <c:pt idx="4">
                  <c:v>398.86328004617917</c:v>
                </c:pt>
                <c:pt idx="5">
                  <c:v>518.90997205025997</c:v>
                </c:pt>
                <c:pt idx="6">
                  <c:v>949.09686524961944</c:v>
                </c:pt>
                <c:pt idx="7">
                  <c:v>1290.8061382635497</c:v>
                </c:pt>
                <c:pt idx="8">
                  <c:v>318.09105911579991</c:v>
                </c:pt>
                <c:pt idx="9">
                  <c:v>0</c:v>
                </c:pt>
                <c:pt idx="10">
                  <c:v>62.09875627727979</c:v>
                </c:pt>
                <c:pt idx="11">
                  <c:v>1068.6737149922192</c:v>
                </c:pt>
                <c:pt idx="12">
                  <c:v>2407.0819575542901</c:v>
                </c:pt>
                <c:pt idx="13">
                  <c:v>3568.5701242985597</c:v>
                </c:pt>
                <c:pt idx="14">
                  <c:v>1811.9151151252499</c:v>
                </c:pt>
                <c:pt idx="15">
                  <c:v>569.16990964219985</c:v>
                </c:pt>
                <c:pt idx="16">
                  <c:v>734.7572354820295</c:v>
                </c:pt>
              </c:numCache>
            </c:numRef>
          </c:val>
          <c:extLst>
            <c:ext xmlns:c16="http://schemas.microsoft.com/office/drawing/2014/chart" uri="{C3380CC4-5D6E-409C-BE32-E72D297353CC}">
              <c16:uniqueId val="{00000000-6B24-4C49-86C1-21707B82D285}"/>
            </c:ext>
          </c:extLst>
        </c:ser>
        <c:dLbls>
          <c:showLegendKey val="0"/>
          <c:showVal val="0"/>
          <c:showCatName val="0"/>
          <c:showSerName val="0"/>
          <c:showPercent val="0"/>
          <c:showBubbleSize val="0"/>
        </c:dLbls>
        <c:gapWidth val="44"/>
        <c:overlap val="-27"/>
        <c:axId val="201676544"/>
        <c:axId val="201678224"/>
      </c:barChart>
      <c:catAx>
        <c:axId val="201676544"/>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8224"/>
        <c:crosses val="autoZero"/>
        <c:auto val="1"/>
        <c:lblAlgn val="ctr"/>
        <c:lblOffset val="100"/>
        <c:noMultiLvlLbl val="0"/>
      </c:catAx>
      <c:valAx>
        <c:axId val="201678224"/>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Annual</a:t>
                </a:r>
                <a:r>
                  <a:rPr lang="en-US" baseline="0"/>
                  <a:t> shortages</a:t>
                </a:r>
                <a:r>
                  <a:rPr lang="en-US"/>
                  <a:t>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1676544"/>
        <c:crosses val="autoZero"/>
        <c:crossBetween val="between"/>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Indicator'!$AB$1</c:f>
              <c:strCache>
                <c:ptCount val="1"/>
                <c:pt idx="0">
                  <c:v>Estimated local deliveries</c:v>
                </c:pt>
              </c:strCache>
            </c:strRef>
          </c:tx>
          <c:spPr>
            <a:solidFill>
              <a:schemeClr val="accent1"/>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Indicator'!$AB$2:$AB$34</c:f>
              <c:numCache>
                <c:formatCode>General</c:formatCode>
                <c:ptCount val="33"/>
                <c:pt idx="0">
                  <c:v>1781.6536810092</c:v>
                </c:pt>
                <c:pt idx="1">
                  <c:v>1953.0810056575699</c:v>
                </c:pt>
                <c:pt idx="2">
                  <c:v>2572.3804799899299</c:v>
                </c:pt>
                <c:pt idx="3">
                  <c:v>3020.6252126575801</c:v>
                </c:pt>
                <c:pt idx="4">
                  <c:v>2908.3579250478001</c:v>
                </c:pt>
                <c:pt idx="5">
                  <c:v>3068.9702904866899</c:v>
                </c:pt>
                <c:pt idx="6">
                  <c:v>3096.0642638781501</c:v>
                </c:pt>
                <c:pt idx="7">
                  <c:v>2976.4290912822098</c:v>
                </c:pt>
                <c:pt idx="8">
                  <c:v>3061.3676690202701</c:v>
                </c:pt>
                <c:pt idx="9">
                  <c:v>3217.6061821057901</c:v>
                </c:pt>
                <c:pt idx="10">
                  <c:v>3253.3600164003201</c:v>
                </c:pt>
                <c:pt idx="11">
                  <c:v>3251.1526210336101</c:v>
                </c:pt>
                <c:pt idx="12">
                  <c:v>3218.2769418060202</c:v>
                </c:pt>
                <c:pt idx="13">
                  <c:v>3228.8487714278199</c:v>
                </c:pt>
                <c:pt idx="14">
                  <c:v>3085.09713902571</c:v>
                </c:pt>
                <c:pt idx="15">
                  <c:v>2984.50329055579</c:v>
                </c:pt>
                <c:pt idx="16">
                  <c:v>3084.5754219369501</c:v>
                </c:pt>
                <c:pt idx="17">
                  <c:v>3025.02403513838</c:v>
                </c:pt>
                <c:pt idx="18">
                  <c:v>2817.93606316766</c:v>
                </c:pt>
                <c:pt idx="19">
                  <c:v>3164.2858666831798</c:v>
                </c:pt>
                <c:pt idx="20">
                  <c:v>2972.5619313377001</c:v>
                </c:pt>
                <c:pt idx="21">
                  <c:v>3146.0896005173499</c:v>
                </c:pt>
                <c:pt idx="22">
                  <c:v>2946.8780624361698</c:v>
                </c:pt>
                <c:pt idx="23">
                  <c:v>1805.0019224626601</c:v>
                </c:pt>
                <c:pt idx="24">
                  <c:v>715.74175082686304</c:v>
                </c:pt>
                <c:pt idx="25">
                  <c:v>1937.5825022164399</c:v>
                </c:pt>
                <c:pt idx="26">
                  <c:v>2879.5921828195201</c:v>
                </c:pt>
                <c:pt idx="27">
                  <c:v>3133.7270386738701</c:v>
                </c:pt>
                <c:pt idx="28">
                  <c:v>3053.4347855190199</c:v>
                </c:pt>
                <c:pt idx="29">
                  <c:v>3187.0607160158702</c:v>
                </c:pt>
                <c:pt idx="30">
                  <c:v>2541.4600037253399</c:v>
                </c:pt>
                <c:pt idx="31">
                  <c:v>2307.4388435077199</c:v>
                </c:pt>
                <c:pt idx="32">
                  <c:v>2817.0084735137002</c:v>
                </c:pt>
              </c:numCache>
            </c:numRef>
          </c:val>
          <c:extLst>
            <c:ext xmlns:c16="http://schemas.microsoft.com/office/drawing/2014/chart" uri="{C3380CC4-5D6E-409C-BE32-E72D297353CC}">
              <c16:uniqueId val="{00000000-C1B9-454C-8944-5CEB178886C0}"/>
            </c:ext>
          </c:extLst>
        </c:ser>
        <c:ser>
          <c:idx val="1"/>
          <c:order val="1"/>
          <c:tx>
            <c:strRef>
              <c:f>'System Drougth Indicator'!$AC$1</c:f>
              <c:strCache>
                <c:ptCount val="1"/>
                <c:pt idx="0">
                  <c:v>Estimated imports</c:v>
                </c:pt>
              </c:strCache>
            </c:strRef>
          </c:tx>
          <c:spPr>
            <a:solidFill>
              <a:schemeClr val="accent2"/>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Indicator'!$AC$2:$AC$34</c:f>
              <c:numCache>
                <c:formatCode>General</c:formatCode>
                <c:ptCount val="33"/>
                <c:pt idx="0">
                  <c:v>792.12027457932504</c:v>
                </c:pt>
                <c:pt idx="1">
                  <c:v>821.42035885889595</c:v>
                </c:pt>
                <c:pt idx="2">
                  <c:v>1025.32875809916</c:v>
                </c:pt>
                <c:pt idx="3">
                  <c:v>1008.82504763203</c:v>
                </c:pt>
                <c:pt idx="4">
                  <c:v>1148.4736295294099</c:v>
                </c:pt>
                <c:pt idx="5">
                  <c:v>1185.6199142693999</c:v>
                </c:pt>
                <c:pt idx="6">
                  <c:v>1161.72340563902</c:v>
                </c:pt>
                <c:pt idx="7">
                  <c:v>1193.61721682957</c:v>
                </c:pt>
                <c:pt idx="8">
                  <c:v>1197.7241464830399</c:v>
                </c:pt>
                <c:pt idx="9">
                  <c:v>1150.8571729136099</c:v>
                </c:pt>
                <c:pt idx="10">
                  <c:v>1077.80638559419</c:v>
                </c:pt>
                <c:pt idx="11">
                  <c:v>1090.3791690881201</c:v>
                </c:pt>
                <c:pt idx="12">
                  <c:v>1116.9968723765501</c:v>
                </c:pt>
                <c:pt idx="13">
                  <c:v>1120.0261063079099</c:v>
                </c:pt>
                <c:pt idx="14">
                  <c:v>1163.9741176452801</c:v>
                </c:pt>
                <c:pt idx="15">
                  <c:v>1209.32645345081</c:v>
                </c:pt>
                <c:pt idx="16">
                  <c:v>1098.2945428365599</c:v>
                </c:pt>
                <c:pt idx="17">
                  <c:v>972.99372093582303</c:v>
                </c:pt>
                <c:pt idx="18">
                  <c:v>928.35854900413597</c:v>
                </c:pt>
                <c:pt idx="19">
                  <c:v>1074.7131246413101</c:v>
                </c:pt>
                <c:pt idx="20">
                  <c:v>1203.75683080264</c:v>
                </c:pt>
                <c:pt idx="21">
                  <c:v>1126.68743394948</c:v>
                </c:pt>
                <c:pt idx="22">
                  <c:v>1037.60443587957</c:v>
                </c:pt>
                <c:pt idx="23">
                  <c:v>773.550354979806</c:v>
                </c:pt>
                <c:pt idx="24">
                  <c:v>666.21671085807702</c:v>
                </c:pt>
                <c:pt idx="25">
                  <c:v>906.78483472961</c:v>
                </c:pt>
                <c:pt idx="26">
                  <c:v>1168.26404827035</c:v>
                </c:pt>
                <c:pt idx="27">
                  <c:v>1100.4023378363299</c:v>
                </c:pt>
                <c:pt idx="28">
                  <c:v>1167.46700081892</c:v>
                </c:pt>
                <c:pt idx="29">
                  <c:v>1095.4283072425001</c:v>
                </c:pt>
                <c:pt idx="30">
                  <c:v>845.11203094637199</c:v>
                </c:pt>
                <c:pt idx="31">
                  <c:v>840.45081416049902</c:v>
                </c:pt>
                <c:pt idx="32">
                  <c:v>1091.7204066235099</c:v>
                </c:pt>
              </c:numCache>
            </c:numRef>
          </c:val>
          <c:extLst>
            <c:ext xmlns:c16="http://schemas.microsoft.com/office/drawing/2014/chart" uri="{C3380CC4-5D6E-409C-BE32-E72D297353CC}">
              <c16:uniqueId val="{00000001-C1B9-454C-8944-5CEB178886C0}"/>
            </c:ext>
          </c:extLst>
        </c:ser>
        <c:ser>
          <c:idx val="2"/>
          <c:order val="2"/>
          <c:tx>
            <c:strRef>
              <c:f>'System Drougth Indicator'!$AD$1</c:f>
              <c:strCache>
                <c:ptCount val="1"/>
                <c:pt idx="0">
                  <c:v>Estimated groundwater</c:v>
                </c:pt>
              </c:strCache>
            </c:strRef>
          </c:tx>
          <c:spPr>
            <a:solidFill>
              <a:schemeClr val="accent3"/>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Indicator'!$AD$2:$AD$34</c:f>
              <c:numCache>
                <c:formatCode>General</c:formatCode>
                <c:ptCount val="33"/>
                <c:pt idx="0">
                  <c:v>4478.2132101261896</c:v>
                </c:pt>
                <c:pt idx="1">
                  <c:v>4017.6635463417701</c:v>
                </c:pt>
                <c:pt idx="2">
                  <c:v>3218.8226709757701</c:v>
                </c:pt>
                <c:pt idx="3">
                  <c:v>2846.9974770229601</c:v>
                </c:pt>
                <c:pt idx="4">
                  <c:v>2848.4053484543701</c:v>
                </c:pt>
                <c:pt idx="5">
                  <c:v>2478.9880536400801</c:v>
                </c:pt>
                <c:pt idx="6">
                  <c:v>2556.34264568652</c:v>
                </c:pt>
                <c:pt idx="7">
                  <c:v>2429.9544464276501</c:v>
                </c:pt>
                <c:pt idx="8">
                  <c:v>2610.4161906924801</c:v>
                </c:pt>
                <c:pt idx="9">
                  <c:v>2675.32523184088</c:v>
                </c:pt>
                <c:pt idx="10">
                  <c:v>2783.9315664475598</c:v>
                </c:pt>
                <c:pt idx="11">
                  <c:v>3047.2536825104798</c:v>
                </c:pt>
                <c:pt idx="12">
                  <c:v>3020.0382883694701</c:v>
                </c:pt>
                <c:pt idx="13">
                  <c:v>3004.5778888289001</c:v>
                </c:pt>
                <c:pt idx="14">
                  <c:v>2723.9747957713598</c:v>
                </c:pt>
                <c:pt idx="15">
                  <c:v>2704.8617208194701</c:v>
                </c:pt>
                <c:pt idx="16">
                  <c:v>3027.48413890141</c:v>
                </c:pt>
                <c:pt idx="17">
                  <c:v>3320.6810378463001</c:v>
                </c:pt>
                <c:pt idx="18">
                  <c:v>3591.2934696468401</c:v>
                </c:pt>
                <c:pt idx="19">
                  <c:v>2808.5139569325002</c:v>
                </c:pt>
                <c:pt idx="20">
                  <c:v>2520.5582817033201</c:v>
                </c:pt>
                <c:pt idx="21">
                  <c:v>2873.91434329821</c:v>
                </c:pt>
                <c:pt idx="22">
                  <c:v>3492.9741236158402</c:v>
                </c:pt>
                <c:pt idx="23">
                  <c:v>4516.0555066686502</c:v>
                </c:pt>
                <c:pt idx="24">
                  <c:v>5290.9426345885304</c:v>
                </c:pt>
                <c:pt idx="25">
                  <c:v>3999.39017809389</c:v>
                </c:pt>
                <c:pt idx="26">
                  <c:v>2485.2222464863298</c:v>
                </c:pt>
                <c:pt idx="27">
                  <c:v>2699.9134083211102</c:v>
                </c:pt>
                <c:pt idx="28">
                  <c:v>2597.0899972994998</c:v>
                </c:pt>
                <c:pt idx="29">
                  <c:v>2917.08484239778</c:v>
                </c:pt>
                <c:pt idx="30">
                  <c:v>3819.7598610343798</c:v>
                </c:pt>
                <c:pt idx="31">
                  <c:v>4108.4877608351799</c:v>
                </c:pt>
                <c:pt idx="32">
                  <c:v>3093.1303525353501</c:v>
                </c:pt>
              </c:numCache>
            </c:numRef>
          </c:val>
          <c:extLst>
            <c:ext xmlns:c16="http://schemas.microsoft.com/office/drawing/2014/chart" uri="{C3380CC4-5D6E-409C-BE32-E72D297353CC}">
              <c16:uniqueId val="{00000002-C1B9-454C-8944-5CEB178886C0}"/>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Estimated deliveries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Indicator'!$AG$1</c:f>
              <c:strCache>
                <c:ptCount val="1"/>
                <c:pt idx="0">
                  <c:v>demand_anomaly</c:v>
                </c:pt>
              </c:strCache>
            </c:strRef>
          </c:tx>
          <c:spPr>
            <a:solidFill>
              <a:schemeClr val="accent1"/>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Indicator'!$AG$2:$AG$34</c:f>
              <c:numCache>
                <c:formatCode>General</c:formatCode>
                <c:ptCount val="33"/>
                <c:pt idx="0">
                  <c:v>106.497673279385</c:v>
                </c:pt>
                <c:pt idx="1">
                  <c:v>114.85148757525</c:v>
                </c:pt>
                <c:pt idx="2">
                  <c:v>223.57247533908799</c:v>
                </c:pt>
                <c:pt idx="3">
                  <c:v>261.420805192231</c:v>
                </c:pt>
                <c:pt idx="4">
                  <c:v>377.29567020837698</c:v>
                </c:pt>
                <c:pt idx="5">
                  <c:v>341.11613177938602</c:v>
                </c:pt>
                <c:pt idx="6">
                  <c:v>15.101253598650599</c:v>
                </c:pt>
                <c:pt idx="7">
                  <c:v>429.75862459813402</c:v>
                </c:pt>
                <c:pt idx="8">
                  <c:v>778.27519958317498</c:v>
                </c:pt>
                <c:pt idx="9">
                  <c:v>152.62640000512701</c:v>
                </c:pt>
                <c:pt idx="10">
                  <c:v>133.03053321590801</c:v>
                </c:pt>
                <c:pt idx="11">
                  <c:v>-134.87379942355699</c:v>
                </c:pt>
                <c:pt idx="12">
                  <c:v>17.629503916870799</c:v>
                </c:pt>
                <c:pt idx="13">
                  <c:v>-200.84172886232199</c:v>
                </c:pt>
                <c:pt idx="14">
                  <c:v>69.620077300386498</c:v>
                </c:pt>
                <c:pt idx="15">
                  <c:v>191.75474535256899</c:v>
                </c:pt>
                <c:pt idx="16">
                  <c:v>-129.69383340640701</c:v>
                </c:pt>
                <c:pt idx="17">
                  <c:v>-302.47794955769899</c:v>
                </c:pt>
                <c:pt idx="18">
                  <c:v>-376.39575416878</c:v>
                </c:pt>
                <c:pt idx="19">
                  <c:v>83.936281856979207</c:v>
                </c:pt>
                <c:pt idx="20">
                  <c:v>555.75867667367595</c:v>
                </c:pt>
                <c:pt idx="21">
                  <c:v>307.72558879219901</c:v>
                </c:pt>
                <c:pt idx="22">
                  <c:v>-360.65283362641202</c:v>
                </c:pt>
                <c:pt idx="23">
                  <c:v>-454.60818848099899</c:v>
                </c:pt>
                <c:pt idx="24">
                  <c:v>-360.10920660493798</c:v>
                </c:pt>
                <c:pt idx="25">
                  <c:v>-94.836924630491396</c:v>
                </c:pt>
                <c:pt idx="26">
                  <c:v>82.175229852261893</c:v>
                </c:pt>
                <c:pt idx="27">
                  <c:v>-166.03936862817599</c:v>
                </c:pt>
                <c:pt idx="28">
                  <c:v>-194.90648837427901</c:v>
                </c:pt>
                <c:pt idx="29">
                  <c:v>-89.8284835681077</c:v>
                </c:pt>
                <c:pt idx="30">
                  <c:v>-729.10708721188803</c:v>
                </c:pt>
                <c:pt idx="31">
                  <c:v>-597.72036267822102</c:v>
                </c:pt>
                <c:pt idx="32">
                  <c:v>-373.35936176912298</c:v>
                </c:pt>
              </c:numCache>
            </c:numRef>
          </c:val>
          <c:extLst>
            <c:ext xmlns:c16="http://schemas.microsoft.com/office/drawing/2014/chart" uri="{C3380CC4-5D6E-409C-BE32-E72D297353CC}">
              <c16:uniqueId val="{00000000-E964-B24C-ADFC-684AC4D0674A}"/>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Demand</a:t>
                </a:r>
                <a:r>
                  <a:rPr lang="en-US" baseline="0"/>
                  <a:t> anomalies (taf)</a:t>
                </a:r>
                <a:endParaRPr lang="en-US"/>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3"/>
          <c:order val="0"/>
          <c:tx>
            <c:strRef>
              <c:f>Sheet1!$AC$1</c:f>
              <c:strCache>
                <c:ptCount val="1"/>
                <c:pt idx="0">
                  <c:v>Local sources (including local CVP)</c:v>
                </c:pt>
              </c:strCache>
            </c:strRef>
          </c:tx>
          <c:spPr>
            <a:solidFill>
              <a:schemeClr val="accent4"/>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Sheet1!$AC$2:$AC$18</c:f>
              <c:numCache>
                <c:formatCode>General</c:formatCode>
                <c:ptCount val="17"/>
                <c:pt idx="0">
                  <c:v>4246.6321152607798</c:v>
                </c:pt>
                <c:pt idx="1">
                  <c:v>3019.7505541638002</c:v>
                </c:pt>
                <c:pt idx="2">
                  <c:v>3026.08129575155</c:v>
                </c:pt>
                <c:pt idx="3">
                  <c:v>3139.7450483898601</c:v>
                </c:pt>
                <c:pt idx="4">
                  <c:v>2944.2656881959401</c:v>
                </c:pt>
                <c:pt idx="5">
                  <c:v>3461.93315731131</c:v>
                </c:pt>
                <c:pt idx="6">
                  <c:v>3468.5646786994398</c:v>
                </c:pt>
                <c:pt idx="7">
                  <c:v>3096.29289167058</c:v>
                </c:pt>
                <c:pt idx="8">
                  <c:v>3328.5865046603199</c:v>
                </c:pt>
                <c:pt idx="9">
                  <c:v>3250.0925395762802</c:v>
                </c:pt>
                <c:pt idx="10">
                  <c:v>2994.3544962137998</c:v>
                </c:pt>
                <c:pt idx="11">
                  <c:v>2430.2484990985899</c:v>
                </c:pt>
                <c:pt idx="12">
                  <c:v>1808.75837331921</c:v>
                </c:pt>
                <c:pt idx="13">
                  <c:v>1098.2532192772401</c:v>
                </c:pt>
                <c:pt idx="14">
                  <c:v>2092.0779276949902</c:v>
                </c:pt>
                <c:pt idx="15">
                  <c:v>3145.4172743020099</c:v>
                </c:pt>
                <c:pt idx="16">
                  <c:v>2750.5200926256998</c:v>
                </c:pt>
              </c:numCache>
            </c:numRef>
          </c:val>
          <c:extLst>
            <c:ext xmlns:c16="http://schemas.microsoft.com/office/drawing/2014/chart" uri="{C3380CC4-5D6E-409C-BE32-E72D297353CC}">
              <c16:uniqueId val="{00000000-DD4A-544A-9740-45FE182C0EB3}"/>
            </c:ext>
          </c:extLst>
        </c:ser>
        <c:ser>
          <c:idx val="0"/>
          <c:order val="1"/>
          <c:tx>
            <c:strRef>
              <c:f>Sheet1!$AD$1</c:f>
              <c:strCache>
                <c:ptCount val="1"/>
                <c:pt idx="0">
                  <c:v>Imports (Delta CVP + SWP)</c:v>
                </c:pt>
              </c:strCache>
            </c:strRef>
          </c:tx>
          <c:spPr>
            <a:solidFill>
              <a:schemeClr val="accent1"/>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Sheet1!$AD$2:$AD$18</c:f>
              <c:numCache>
                <c:formatCode>General</c:formatCode>
                <c:ptCount val="17"/>
                <c:pt idx="0">
                  <c:v>1180.9678847392099</c:v>
                </c:pt>
                <c:pt idx="1">
                  <c:v>1193.4494458361901</c:v>
                </c:pt>
                <c:pt idx="2">
                  <c:v>1230.91870424844</c:v>
                </c:pt>
                <c:pt idx="3">
                  <c:v>1188.65495161013</c:v>
                </c:pt>
                <c:pt idx="4">
                  <c:v>1201.03431180405</c:v>
                </c:pt>
                <c:pt idx="5">
                  <c:v>1116.06684268868</c:v>
                </c:pt>
                <c:pt idx="6">
                  <c:v>1048.5353213005501</c:v>
                </c:pt>
                <c:pt idx="7">
                  <c:v>1023.60710832941</c:v>
                </c:pt>
                <c:pt idx="8">
                  <c:v>1090.31349533967</c:v>
                </c:pt>
                <c:pt idx="9">
                  <c:v>1208.1074604237101</c:v>
                </c:pt>
                <c:pt idx="10">
                  <c:v>1099.6455037861999</c:v>
                </c:pt>
                <c:pt idx="11">
                  <c:v>1022.3515009014</c:v>
                </c:pt>
                <c:pt idx="12">
                  <c:v>739.34162668078397</c:v>
                </c:pt>
                <c:pt idx="13">
                  <c:v>634.24678072275799</c:v>
                </c:pt>
                <c:pt idx="14">
                  <c:v>882.92207230500901</c:v>
                </c:pt>
                <c:pt idx="15">
                  <c:v>994.082725697981</c:v>
                </c:pt>
                <c:pt idx="16">
                  <c:v>1057.87990737429</c:v>
                </c:pt>
              </c:numCache>
            </c:numRef>
          </c:val>
          <c:extLst>
            <c:ext xmlns:c16="http://schemas.microsoft.com/office/drawing/2014/chart" uri="{C3380CC4-5D6E-409C-BE32-E72D297353CC}">
              <c16:uniqueId val="{00000001-DD4A-544A-9740-45FE182C0EB3}"/>
            </c:ext>
          </c:extLst>
        </c:ser>
        <c:ser>
          <c:idx val="1"/>
          <c:order val="2"/>
          <c:tx>
            <c:strRef>
              <c:f>Sheet1!$E$1</c:f>
              <c:strCache>
                <c:ptCount val="1"/>
                <c:pt idx="0">
                  <c:v>Groundwater</c:v>
                </c:pt>
              </c:strCache>
            </c:strRef>
          </c:tx>
          <c:spPr>
            <a:solidFill>
              <a:schemeClr val="accent2"/>
            </a:solidFill>
            <a:ln>
              <a:noFill/>
            </a:ln>
            <a:effectLst/>
          </c:spPr>
          <c:invertIfNegative val="0"/>
          <c:cat>
            <c:numRef>
              <c:f>Sheet1!$B$2:$B$18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Sheet1!$E$2:$E$18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val>
          <c:extLst>
            <c:ext xmlns:c16="http://schemas.microsoft.com/office/drawing/2014/chart" uri="{C3380CC4-5D6E-409C-BE32-E72D297353CC}">
              <c16:uniqueId val="{00000002-DD4A-544A-9740-45FE182C0EB3}"/>
            </c:ext>
          </c:extLst>
        </c:ser>
        <c:dLbls>
          <c:showLegendKey val="0"/>
          <c:showVal val="0"/>
          <c:showCatName val="0"/>
          <c:showSerName val="0"/>
          <c:showPercent val="0"/>
          <c:showBubbleSize val="0"/>
        </c:dLbls>
        <c:gapWidth val="44"/>
        <c:overlap val="100"/>
        <c:axId val="2046635120"/>
        <c:axId val="2046636800"/>
      </c:barChart>
      <c:catAx>
        <c:axId val="204663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46636800"/>
        <c:crosses val="autoZero"/>
        <c:auto val="1"/>
        <c:lblAlgn val="ctr"/>
        <c:lblOffset val="100"/>
        <c:noMultiLvlLbl val="0"/>
      </c:catAx>
      <c:valAx>
        <c:axId val="2046636800"/>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Millions of acre-feet</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4663512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Indicator'!$AI$1</c:f>
              <c:strCache>
                <c:ptCount val="1"/>
                <c:pt idx="0">
                  <c:v>change_gw_storage</c:v>
                </c:pt>
              </c:strCache>
            </c:strRef>
          </c:tx>
          <c:spPr>
            <a:solidFill>
              <a:schemeClr val="accent2"/>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Indicator'!$AI$2:$AI$34</c:f>
              <c:numCache>
                <c:formatCode>General</c:formatCode>
                <c:ptCount val="33"/>
                <c:pt idx="0">
                  <c:v>-1665.6525408571199</c:v>
                </c:pt>
                <c:pt idx="1">
                  <c:v>-1205.1028770727</c:v>
                </c:pt>
                <c:pt idx="2">
                  <c:v>-406.262001706707</c:v>
                </c:pt>
                <c:pt idx="3">
                  <c:v>-34.436807753895799</c:v>
                </c:pt>
                <c:pt idx="4">
                  <c:v>-35.844679185314497</c:v>
                </c:pt>
                <c:pt idx="5">
                  <c:v>333.572615628976</c:v>
                </c:pt>
                <c:pt idx="6">
                  <c:v>256.21802358253501</c:v>
                </c:pt>
                <c:pt idx="7">
                  <c:v>382.60622284140902</c:v>
                </c:pt>
                <c:pt idx="8">
                  <c:v>202.144478576577</c:v>
                </c:pt>
                <c:pt idx="9">
                  <c:v>137.23543742818401</c:v>
                </c:pt>
                <c:pt idx="10">
                  <c:v>28.629102821502599</c:v>
                </c:pt>
                <c:pt idx="11">
                  <c:v>-234.69301324142299</c:v>
                </c:pt>
                <c:pt idx="12">
                  <c:v>-207.47761910041299</c:v>
                </c:pt>
                <c:pt idx="13">
                  <c:v>-192.01721955984499</c:v>
                </c:pt>
                <c:pt idx="14">
                  <c:v>88.585873497699296</c:v>
                </c:pt>
                <c:pt idx="15">
                  <c:v>107.698948449588</c:v>
                </c:pt>
                <c:pt idx="16">
                  <c:v>-214.923469632349</c:v>
                </c:pt>
                <c:pt idx="17">
                  <c:v>-508.12036857724502</c:v>
                </c:pt>
                <c:pt idx="18">
                  <c:v>-778.73280037777795</c:v>
                </c:pt>
                <c:pt idx="19">
                  <c:v>4.0467123365600601</c:v>
                </c:pt>
                <c:pt idx="20">
                  <c:v>292.002387565736</c:v>
                </c:pt>
                <c:pt idx="21">
                  <c:v>-61.353674029148102</c:v>
                </c:pt>
                <c:pt idx="22">
                  <c:v>-680.41345434678396</c:v>
                </c:pt>
                <c:pt idx="23">
                  <c:v>-1703.4948373995801</c:v>
                </c:pt>
                <c:pt idx="24">
                  <c:v>-2478.3819653194601</c:v>
                </c:pt>
                <c:pt idx="25">
                  <c:v>-1186.8295088248301</c:v>
                </c:pt>
                <c:pt idx="26">
                  <c:v>327.338422782728</c:v>
                </c:pt>
                <c:pt idx="27">
                  <c:v>112.64726094795</c:v>
                </c:pt>
                <c:pt idx="28">
                  <c:v>215.47067196955601</c:v>
                </c:pt>
                <c:pt idx="29">
                  <c:v>-104.52417312871999</c:v>
                </c:pt>
                <c:pt idx="30">
                  <c:v>-1007.19919176531</c:v>
                </c:pt>
                <c:pt idx="31">
                  <c:v>-1295.92709156612</c:v>
                </c:pt>
                <c:pt idx="32">
                  <c:v>-280.56968326628999</c:v>
                </c:pt>
              </c:numCache>
            </c:numRef>
          </c:val>
          <c:extLst>
            <c:ext xmlns:c16="http://schemas.microsoft.com/office/drawing/2014/chart" uri="{C3380CC4-5D6E-409C-BE32-E72D297353CC}">
              <c16:uniqueId val="{00000000-E244-F740-A8A7-D675C102C636}"/>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Changes in groundwater storage (taf)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Indicator'!$AJ$1</c:f>
              <c:strCache>
                <c:ptCount val="1"/>
                <c:pt idx="0">
                  <c:v>eff_deliveries</c:v>
                </c:pt>
              </c:strCache>
            </c:strRef>
          </c:tx>
          <c:spPr>
            <a:solidFill>
              <a:schemeClr val="accent1"/>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Indicator'!$AJ$2:$AJ$34</c:f>
              <c:numCache>
                <c:formatCode>General</c:formatCode>
                <c:ptCount val="33"/>
                <c:pt idx="0">
                  <c:v>5492.8322981369702</c:v>
                </c:pt>
                <c:pt idx="1">
                  <c:v>5701.9135213607797</c:v>
                </c:pt>
                <c:pt idx="2">
                  <c:v>6633.8423826972503</c:v>
                </c:pt>
                <c:pt idx="3">
                  <c:v>7103.4317347509104</c:v>
                </c:pt>
                <c:pt idx="4">
                  <c:v>7246.6878940546503</c:v>
                </c:pt>
                <c:pt idx="5">
                  <c:v>7408.2670058045396</c:v>
                </c:pt>
                <c:pt idx="6">
                  <c:v>7085.4495923848899</c:v>
                </c:pt>
                <c:pt idx="7">
                  <c:v>7412.3656019789796</c:v>
                </c:pt>
                <c:pt idx="8">
                  <c:v>7849.9276843555599</c:v>
                </c:pt>
                <c:pt idx="9">
                  <c:v>7333.6504242935998</c:v>
                </c:pt>
                <c:pt idx="10">
                  <c:v>7276.7576044794896</c:v>
                </c:pt>
                <c:pt idx="11">
                  <c:v>7019.2186599672395</c:v>
                </c:pt>
                <c:pt idx="12">
                  <c:v>7165.4639873685101</c:v>
                </c:pt>
                <c:pt idx="13">
                  <c:v>6960.5938181424799</c:v>
                </c:pt>
                <c:pt idx="14">
                  <c:v>7131.25200324045</c:v>
                </c:pt>
                <c:pt idx="15">
                  <c:v>7198.1451586282401</c:v>
                </c:pt>
                <c:pt idx="16">
                  <c:v>6865.7368006361703</c:v>
                </c:pt>
                <c:pt idx="17">
                  <c:v>6508.1004757855699</c:v>
                </c:pt>
                <c:pt idx="18">
                  <c:v>6182.4595272720799</c:v>
                </c:pt>
                <c:pt idx="19">
                  <c:v>7135.4959424505396</c:v>
                </c:pt>
                <c:pt idx="20">
                  <c:v>7544.6381080830897</c:v>
                </c:pt>
                <c:pt idx="21">
                  <c:v>7393.0632925280897</c:v>
                </c:pt>
                <c:pt idx="22">
                  <c:v>6436.3903339584003</c:v>
                </c:pt>
                <c:pt idx="23">
                  <c:v>4936.5047582305297</c:v>
                </c:pt>
                <c:pt idx="24">
                  <c:v>3834.40992434906</c:v>
                </c:pt>
                <c:pt idx="25">
                  <c:v>5562.09108158462</c:v>
                </c:pt>
                <c:pt idx="26">
                  <c:v>6942.5921302111901</c:v>
                </c:pt>
                <c:pt idx="27">
                  <c:v>6880.6506771510903</c:v>
                </c:pt>
                <c:pt idx="28">
                  <c:v>6838.5559672327299</c:v>
                </c:pt>
                <c:pt idx="29">
                  <c:v>7005.2212089593304</c:v>
                </c:pt>
                <c:pt idx="30">
                  <c:v>5470.0256167288899</c:v>
                </c:pt>
                <c:pt idx="31">
                  <c:v>5362.7299642590597</c:v>
                </c:pt>
                <c:pt idx="32">
                  <c:v>6347.9301876371601</c:v>
                </c:pt>
              </c:numCache>
            </c:numRef>
          </c:val>
          <c:extLst>
            <c:ext xmlns:c16="http://schemas.microsoft.com/office/drawing/2014/chart" uri="{C3380CC4-5D6E-409C-BE32-E72D297353CC}">
              <c16:uniqueId val="{00000000-55D1-EC49-A9DD-F9EBCFF881D9}"/>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Estimated</a:t>
                </a:r>
                <a:r>
                  <a:rPr lang="en-US" baseline="0"/>
                  <a:t> effective</a:t>
                </a:r>
                <a:r>
                  <a:rPr lang="en-US"/>
                  <a:t> deliveries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stacked"/>
        <c:varyColors val="0"/>
        <c:ser>
          <c:idx val="0"/>
          <c:order val="0"/>
          <c:tx>
            <c:strRef>
              <c:f>'System Drougth Indicator'!$AK$1</c:f>
              <c:strCache>
                <c:ptCount val="1"/>
                <c:pt idx="0">
                  <c:v>shortages</c:v>
                </c:pt>
              </c:strCache>
            </c:strRef>
          </c:tx>
          <c:spPr>
            <a:solidFill>
              <a:schemeClr val="accent1"/>
            </a:solidFill>
            <a:ln>
              <a:noFill/>
            </a:ln>
            <a:effectLst/>
          </c:spPr>
          <c:invertIfNegative val="0"/>
          <c:cat>
            <c:numRef>
              <c:f>'System Drougth Indicator'!$U$2:$U$34</c:f>
              <c:numCache>
                <c:formatCode>General</c:formatCode>
                <c:ptCount val="33"/>
                <c:pt idx="0">
                  <c:v>1991</c:v>
                </c:pt>
                <c:pt idx="1">
                  <c:v>1992</c:v>
                </c:pt>
                <c:pt idx="2">
                  <c:v>1993</c:v>
                </c:pt>
                <c:pt idx="3">
                  <c:v>1994</c:v>
                </c:pt>
                <c:pt idx="4">
                  <c:v>1995</c:v>
                </c:pt>
                <c:pt idx="5">
                  <c:v>1996</c:v>
                </c:pt>
                <c:pt idx="6">
                  <c:v>1997</c:v>
                </c:pt>
                <c:pt idx="7">
                  <c:v>1998</c:v>
                </c:pt>
                <c:pt idx="8">
                  <c:v>1999</c:v>
                </c:pt>
                <c:pt idx="9">
                  <c:v>2000</c:v>
                </c:pt>
                <c:pt idx="10">
                  <c:v>2001</c:v>
                </c:pt>
                <c:pt idx="11">
                  <c:v>2002</c:v>
                </c:pt>
                <c:pt idx="12">
                  <c:v>2003</c:v>
                </c:pt>
                <c:pt idx="13">
                  <c:v>2004</c:v>
                </c:pt>
                <c:pt idx="14">
                  <c:v>2005</c:v>
                </c:pt>
                <c:pt idx="15">
                  <c:v>2006</c:v>
                </c:pt>
                <c:pt idx="16">
                  <c:v>2007</c:v>
                </c:pt>
                <c:pt idx="17">
                  <c:v>2008</c:v>
                </c:pt>
                <c:pt idx="18">
                  <c:v>2009</c:v>
                </c:pt>
                <c:pt idx="19">
                  <c:v>2010</c:v>
                </c:pt>
                <c:pt idx="20">
                  <c:v>2011</c:v>
                </c:pt>
                <c:pt idx="21">
                  <c:v>2012</c:v>
                </c:pt>
                <c:pt idx="22">
                  <c:v>2013</c:v>
                </c:pt>
                <c:pt idx="23">
                  <c:v>2014</c:v>
                </c:pt>
                <c:pt idx="24">
                  <c:v>2015</c:v>
                </c:pt>
                <c:pt idx="25">
                  <c:v>2016</c:v>
                </c:pt>
                <c:pt idx="26">
                  <c:v>2017</c:v>
                </c:pt>
                <c:pt idx="27">
                  <c:v>2018</c:v>
                </c:pt>
                <c:pt idx="28">
                  <c:v>2019</c:v>
                </c:pt>
                <c:pt idx="29">
                  <c:v>2020</c:v>
                </c:pt>
                <c:pt idx="30">
                  <c:v>2021</c:v>
                </c:pt>
                <c:pt idx="31">
                  <c:v>2022</c:v>
                </c:pt>
                <c:pt idx="32">
                  <c:v>2023</c:v>
                </c:pt>
              </c:numCache>
            </c:numRef>
          </c:cat>
          <c:val>
            <c:numRef>
              <c:f>'System Drougth Indicator'!$AK$2:$AK$34</c:f>
              <c:numCache>
                <c:formatCode>General</c:formatCode>
                <c:ptCount val="33"/>
                <c:pt idx="0">
                  <c:v>2655.6840450466002</c:v>
                </c:pt>
                <c:pt idx="1">
                  <c:v>2446.6028218227898</c:v>
                </c:pt>
                <c:pt idx="2">
                  <c:v>1514.6739604863201</c:v>
                </c:pt>
                <c:pt idx="3">
                  <c:v>1045.0846084326599</c:v>
                </c:pt>
                <c:pt idx="4">
                  <c:v>901.82844912892403</c:v>
                </c:pt>
                <c:pt idx="5">
                  <c:v>740.24933737903598</c:v>
                </c:pt>
                <c:pt idx="6">
                  <c:v>1063.06675079868</c:v>
                </c:pt>
                <c:pt idx="7">
                  <c:v>736.15074120459303</c:v>
                </c:pt>
                <c:pt idx="8">
                  <c:v>298.58865882802002</c:v>
                </c:pt>
                <c:pt idx="9">
                  <c:v>814.86591888997498</c:v>
                </c:pt>
                <c:pt idx="10">
                  <c:v>871.75873870408702</c:v>
                </c:pt>
                <c:pt idx="11">
                  <c:v>1129.2976832163299</c:v>
                </c:pt>
                <c:pt idx="12">
                  <c:v>983.05235581506599</c:v>
                </c:pt>
                <c:pt idx="13">
                  <c:v>1187.92252504109</c:v>
                </c:pt>
                <c:pt idx="14">
                  <c:v>1017.26433994312</c:v>
                </c:pt>
                <c:pt idx="15">
                  <c:v>950.37118455533198</c:v>
                </c:pt>
                <c:pt idx="16">
                  <c:v>1282.7795425474001</c:v>
                </c:pt>
                <c:pt idx="17">
                  <c:v>1640.4158673980101</c:v>
                </c:pt>
                <c:pt idx="18">
                  <c:v>1966.05681591149</c:v>
                </c:pt>
                <c:pt idx="19">
                  <c:v>1013.02040073303</c:v>
                </c:pt>
                <c:pt idx="20">
                  <c:v>603.87823510048997</c:v>
                </c:pt>
                <c:pt idx="21">
                  <c:v>755.45305065548303</c:v>
                </c:pt>
                <c:pt idx="22">
                  <c:v>1712.12600922517</c:v>
                </c:pt>
                <c:pt idx="23">
                  <c:v>3212.0115849530398</c:v>
                </c:pt>
                <c:pt idx="24">
                  <c:v>4314.1064188345099</c:v>
                </c:pt>
                <c:pt idx="25">
                  <c:v>2586.4252615989499</c:v>
                </c:pt>
                <c:pt idx="26">
                  <c:v>1205.92421297238</c:v>
                </c:pt>
                <c:pt idx="27">
                  <c:v>1267.86566603248</c:v>
                </c:pt>
                <c:pt idx="28">
                  <c:v>1309.96037595085</c:v>
                </c:pt>
                <c:pt idx="29">
                  <c:v>1143.29513422424</c:v>
                </c:pt>
                <c:pt idx="30">
                  <c:v>2678.49072645468</c:v>
                </c:pt>
                <c:pt idx="31">
                  <c:v>2785.7863789245098</c:v>
                </c:pt>
                <c:pt idx="32">
                  <c:v>1800.5861555464101</c:v>
                </c:pt>
              </c:numCache>
            </c:numRef>
          </c:val>
          <c:extLst>
            <c:ext xmlns:c16="http://schemas.microsoft.com/office/drawing/2014/chart" uri="{C3380CC4-5D6E-409C-BE32-E72D297353CC}">
              <c16:uniqueId val="{00000000-3975-6840-B3D2-2AB67C2F1AA0}"/>
            </c:ext>
          </c:extLst>
        </c:ser>
        <c:dLbls>
          <c:showLegendKey val="0"/>
          <c:showVal val="0"/>
          <c:showCatName val="0"/>
          <c:showSerName val="0"/>
          <c:showPercent val="0"/>
          <c:showBubbleSize val="0"/>
        </c:dLbls>
        <c:gapWidth val="44"/>
        <c:overlap val="100"/>
        <c:axId val="205455120"/>
        <c:axId val="205455936"/>
      </c:barChart>
      <c:catAx>
        <c:axId val="20545512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936"/>
        <c:crosses val="autoZero"/>
        <c:auto val="1"/>
        <c:lblAlgn val="ctr"/>
        <c:lblOffset val="100"/>
        <c:noMultiLvlLbl val="0"/>
      </c:catAx>
      <c:valAx>
        <c:axId val="205455936"/>
        <c:scaling>
          <c:orientation val="minMax"/>
        </c:scaling>
        <c:delete val="0"/>
        <c:axPos val="l"/>
        <c:title>
          <c:tx>
            <c:rich>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r>
                  <a:rPr lang="en-US"/>
                  <a:t>Estimated</a:t>
                </a:r>
                <a:r>
                  <a:rPr lang="en-US" baseline="0"/>
                  <a:t> shortages</a:t>
                </a:r>
                <a:r>
                  <a:rPr lang="en-US"/>
                  <a:t> (maf)</a:t>
                </a:r>
              </a:p>
            </c:rich>
          </c:tx>
          <c:overlay val="0"/>
          <c:spPr>
            <a:noFill/>
            <a:ln>
              <a:noFill/>
            </a:ln>
            <a:effectLst/>
          </c:spPr>
          <c:txPr>
            <a:bodyPr rot="-54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5455120"/>
        <c:crosses val="autoZero"/>
        <c:crossBetween val="between"/>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800">
          <a:latin typeface="Arial" panose="020B0604020202020204" pitchFamily="34" charset="0"/>
          <a:cs typeface="Arial" panose="020B0604020202020204" pitchFamily="34"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'Update June'!$R$2:$R$18</c:f>
              <c:numCache>
                <c:formatCode>General</c:formatCode>
                <c:ptCount val="17"/>
                <c:pt idx="0">
                  <c:v>0.46666666666666601</c:v>
                </c:pt>
                <c:pt idx="1">
                  <c:v>0.43611111111111101</c:v>
                </c:pt>
                <c:pt idx="2">
                  <c:v>0.47499999999999998</c:v>
                </c:pt>
                <c:pt idx="3">
                  <c:v>0.73611111111111105</c:v>
                </c:pt>
                <c:pt idx="4">
                  <c:v>0.86111111111111105</c:v>
                </c:pt>
                <c:pt idx="5">
                  <c:v>0.52500000000000002</c:v>
                </c:pt>
                <c:pt idx="6">
                  <c:v>0.32222222222222202</c:v>
                </c:pt>
                <c:pt idx="7">
                  <c:v>0.24722222222222201</c:v>
                </c:pt>
                <c:pt idx="8">
                  <c:v>0.48888888888888798</c:v>
                </c:pt>
                <c:pt idx="9">
                  <c:v>0.85833333333333295</c:v>
                </c:pt>
                <c:pt idx="10">
                  <c:v>0.57222222222222197</c:v>
                </c:pt>
                <c:pt idx="11">
                  <c:v>0.3</c:v>
                </c:pt>
                <c:pt idx="12">
                  <c:v>0.11944444444444401</c:v>
                </c:pt>
                <c:pt idx="13">
                  <c:v>5.83333333333333E-2</c:v>
                </c:pt>
                <c:pt idx="14">
                  <c:v>0.13888888888888801</c:v>
                </c:pt>
                <c:pt idx="15">
                  <c:v>0.64444444444444404</c:v>
                </c:pt>
                <c:pt idx="16">
                  <c:v>0.80833333333333302</c:v>
                </c:pt>
              </c:numCache>
            </c:numRef>
          </c:xVal>
          <c:yVal>
            <c:numRef>
              <c:f>'Update June'!$AD$2:$AD$18</c:f>
              <c:numCache>
                <c:formatCode>General</c:formatCode>
                <c:ptCount val="17"/>
                <c:pt idx="0">
                  <c:v>4246.6321152607798</c:v>
                </c:pt>
                <c:pt idx="1">
                  <c:v>3019.7505541638002</c:v>
                </c:pt>
                <c:pt idx="2">
                  <c:v>3026.08129575155</c:v>
                </c:pt>
                <c:pt idx="3">
                  <c:v>3139.7450483898601</c:v>
                </c:pt>
                <c:pt idx="4">
                  <c:v>2944.2656881959401</c:v>
                </c:pt>
                <c:pt idx="5">
                  <c:v>3461.93315731131</c:v>
                </c:pt>
                <c:pt idx="6">
                  <c:v>3468.5646786994398</c:v>
                </c:pt>
                <c:pt idx="7">
                  <c:v>3096.29289167058</c:v>
                </c:pt>
                <c:pt idx="8">
                  <c:v>3328.5865046603199</c:v>
                </c:pt>
                <c:pt idx="9">
                  <c:v>3250.0925395762802</c:v>
                </c:pt>
                <c:pt idx="10">
                  <c:v>2994.3544962137998</c:v>
                </c:pt>
                <c:pt idx="11">
                  <c:v>2430.2484990985899</c:v>
                </c:pt>
                <c:pt idx="12">
                  <c:v>1808.75837331921</c:v>
                </c:pt>
                <c:pt idx="13">
                  <c:v>1098.2532192772401</c:v>
                </c:pt>
                <c:pt idx="14">
                  <c:v>2092.0779276949902</c:v>
                </c:pt>
                <c:pt idx="15">
                  <c:v>3145.4172743020099</c:v>
                </c:pt>
                <c:pt idx="16">
                  <c:v>2750.5200926256998</c:v>
                </c:pt>
              </c:numCache>
            </c:numRef>
          </c:yVal>
          <c:smooth val="0"/>
          <c:extLst>
            <c:ext xmlns:c16="http://schemas.microsoft.com/office/drawing/2014/chart" uri="{C3380CC4-5D6E-409C-BE32-E72D297353CC}">
              <c16:uniqueId val="{00000001-A7D8-7441-9780-1D166635F1DE}"/>
            </c:ext>
          </c:extLst>
        </c:ser>
        <c:dLbls>
          <c:showLegendKey val="0"/>
          <c:showVal val="0"/>
          <c:showCatName val="0"/>
          <c:showSerName val="0"/>
          <c:showPercent val="0"/>
          <c:showBubbleSize val="0"/>
        </c:dLbls>
        <c:axId val="2071120752"/>
        <c:axId val="2071122432"/>
      </c:scatterChart>
      <c:valAx>
        <c:axId val="20711207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Water Drought Indicator (San Joaquin River)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122432"/>
        <c:crosses val="autoZero"/>
        <c:crossBetween val="midCat"/>
      </c:valAx>
      <c:valAx>
        <c:axId val="2071122432"/>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deliveiries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120752"/>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regression_results!$A$1</c:f>
              <c:strCache>
                <c:ptCount val="1"/>
                <c:pt idx="0">
                  <c:v>Local sources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regression_results!$A$2:$A$18</c:f>
              <c:numCache>
                <c:formatCode>General</c:formatCode>
                <c:ptCount val="17"/>
                <c:pt idx="0">
                  <c:v>4246.6321152607798</c:v>
                </c:pt>
                <c:pt idx="1">
                  <c:v>3019.7505541638002</c:v>
                </c:pt>
                <c:pt idx="2">
                  <c:v>3026.08129575155</c:v>
                </c:pt>
                <c:pt idx="3">
                  <c:v>3139.7450483898601</c:v>
                </c:pt>
                <c:pt idx="4">
                  <c:v>2944.2656881959401</c:v>
                </c:pt>
                <c:pt idx="5">
                  <c:v>3461.93315731131</c:v>
                </c:pt>
                <c:pt idx="6">
                  <c:v>3468.5646786994398</c:v>
                </c:pt>
                <c:pt idx="7">
                  <c:v>3096.29289167058</c:v>
                </c:pt>
                <c:pt idx="8">
                  <c:v>3328.5865046603199</c:v>
                </c:pt>
                <c:pt idx="9">
                  <c:v>3250.0925395762802</c:v>
                </c:pt>
                <c:pt idx="10">
                  <c:v>2994.3544962137998</c:v>
                </c:pt>
                <c:pt idx="11">
                  <c:v>2430.2484990985899</c:v>
                </c:pt>
                <c:pt idx="12">
                  <c:v>1808.75837331921</c:v>
                </c:pt>
                <c:pt idx="13">
                  <c:v>1098.2532192772401</c:v>
                </c:pt>
                <c:pt idx="14">
                  <c:v>2092.0779276949902</c:v>
                </c:pt>
                <c:pt idx="15">
                  <c:v>3145.4172743020099</c:v>
                </c:pt>
                <c:pt idx="16">
                  <c:v>2750.5200926256998</c:v>
                </c:pt>
              </c:numCache>
            </c:numRef>
          </c:val>
          <c:extLst>
            <c:ext xmlns:c16="http://schemas.microsoft.com/office/drawing/2014/chart" uri="{C3380CC4-5D6E-409C-BE32-E72D297353CC}">
              <c16:uniqueId val="{00000000-A115-8740-83AC-471D9C9B6741}"/>
            </c:ext>
          </c:extLst>
        </c:ser>
        <c:ser>
          <c:idx val="1"/>
          <c:order val="1"/>
          <c:tx>
            <c:strRef>
              <c:f>regression_results!$C$1</c:f>
              <c:strCache>
                <c:ptCount val="1"/>
                <c:pt idx="0">
                  <c:v>Estimated local sources</c:v>
                </c:pt>
              </c:strCache>
            </c:strRef>
          </c:tx>
          <c:spPr>
            <a:solidFill>
              <a:schemeClr val="accent2"/>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regression_results!$C$2:$C$18</c:f>
              <c:numCache>
                <c:formatCode>General</c:formatCode>
                <c:ptCount val="17"/>
                <c:pt idx="0">
                  <c:v>3275.4217177436099</c:v>
                </c:pt>
                <c:pt idx="1">
                  <c:v>3260.4792507656898</c:v>
                </c:pt>
                <c:pt idx="2">
                  <c:v>3278.08585340134</c:v>
                </c:pt>
                <c:pt idx="3">
                  <c:v>3147.75633159275</c:v>
                </c:pt>
                <c:pt idx="4">
                  <c:v>2988.3521210900399</c:v>
                </c:pt>
                <c:pt idx="5">
                  <c:v>3282.8519583246398</c:v>
                </c:pt>
                <c:pt idx="6">
                  <c:v>3112.5770926464002</c:v>
                </c:pt>
                <c:pt idx="7">
                  <c:v>2894.7265652777601</c:v>
                </c:pt>
                <c:pt idx="8">
                  <c:v>3281.28043180855</c:v>
                </c:pt>
                <c:pt idx="9">
                  <c:v>2992.3611812416998</c:v>
                </c:pt>
                <c:pt idx="10">
                  <c:v>3271.9507533894098</c:v>
                </c:pt>
                <c:pt idx="11">
                  <c:v>3060.95740049801</c:v>
                </c:pt>
                <c:pt idx="12">
                  <c:v>2017.0744889057501</c:v>
                </c:pt>
                <c:pt idx="13">
                  <c:v>920.65814446012701</c:v>
                </c:pt>
                <c:pt idx="14">
                  <c:v>2224.25837000915</c:v>
                </c:pt>
                <c:pt idx="15">
                  <c:v>3231.6707205787402</c:v>
                </c:pt>
                <c:pt idx="16">
                  <c:v>3061.1119744777602</c:v>
                </c:pt>
              </c:numCache>
            </c:numRef>
          </c:val>
          <c:extLst>
            <c:ext xmlns:c16="http://schemas.microsoft.com/office/drawing/2014/chart" uri="{C3380CC4-5D6E-409C-BE32-E72D297353CC}">
              <c16:uniqueId val="{00000001-A115-8740-83AC-471D9C9B6741}"/>
            </c:ext>
          </c:extLst>
        </c:ser>
        <c:dLbls>
          <c:showLegendKey val="0"/>
          <c:showVal val="0"/>
          <c:showCatName val="0"/>
          <c:showSerName val="0"/>
          <c:showPercent val="0"/>
          <c:showBubbleSize val="0"/>
        </c:dLbls>
        <c:gapWidth val="100"/>
        <c:overlap val="-27"/>
        <c:axId val="2071410400"/>
        <c:axId val="2071449664"/>
      </c:barChart>
      <c:catAx>
        <c:axId val="20714104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Water 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49664"/>
        <c:crosses val="autoZero"/>
        <c:auto val="1"/>
        <c:lblAlgn val="ctr"/>
        <c:lblOffset val="100"/>
        <c:noMultiLvlLbl val="0"/>
      </c:catAx>
      <c:valAx>
        <c:axId val="2071449664"/>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delivieries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1040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'Update June'!$Z$2:$Z$18</c:f>
              <c:numCache>
                <c:formatCode>General</c:formatCode>
                <c:ptCount val="17"/>
                <c:pt idx="0">
                  <c:v>0.46666666666666601</c:v>
                </c:pt>
                <c:pt idx="1">
                  <c:v>0.54722222222222205</c:v>
                </c:pt>
                <c:pt idx="2">
                  <c:v>0.55833333333333302</c:v>
                </c:pt>
                <c:pt idx="3">
                  <c:v>0.70555555555555505</c:v>
                </c:pt>
                <c:pt idx="4">
                  <c:v>0.88611111111111096</c:v>
                </c:pt>
                <c:pt idx="5">
                  <c:v>0.53888888888888797</c:v>
                </c:pt>
                <c:pt idx="6">
                  <c:v>0.26944444444444399</c:v>
                </c:pt>
                <c:pt idx="7">
                  <c:v>0.20555555555555499</c:v>
                </c:pt>
                <c:pt idx="8">
                  <c:v>0.46666666666666601</c:v>
                </c:pt>
                <c:pt idx="9">
                  <c:v>0.86944444444444402</c:v>
                </c:pt>
                <c:pt idx="10">
                  <c:v>0.59722222222222199</c:v>
                </c:pt>
                <c:pt idx="11">
                  <c:v>0.38611111111111102</c:v>
                </c:pt>
                <c:pt idx="12">
                  <c:v>0.105555555555555</c:v>
                </c:pt>
                <c:pt idx="13">
                  <c:v>6.3888888888888801E-2</c:v>
                </c:pt>
                <c:pt idx="14">
                  <c:v>0.22222222222222199</c:v>
                </c:pt>
                <c:pt idx="15">
                  <c:v>0.52777777777777701</c:v>
                </c:pt>
                <c:pt idx="16">
                  <c:v>0.72499999999999998</c:v>
                </c:pt>
              </c:numCache>
            </c:numRef>
          </c:xVal>
          <c:yVal>
            <c:numRef>
              <c:f>'Update June'!$AE$2:$AE$18</c:f>
              <c:numCache>
                <c:formatCode>General</c:formatCode>
                <c:ptCount val="17"/>
                <c:pt idx="0">
                  <c:v>1180.9678847392099</c:v>
                </c:pt>
                <c:pt idx="1">
                  <c:v>1193.4494458361901</c:v>
                </c:pt>
                <c:pt idx="2">
                  <c:v>1230.91870424844</c:v>
                </c:pt>
                <c:pt idx="3">
                  <c:v>1188.65495161013</c:v>
                </c:pt>
                <c:pt idx="4">
                  <c:v>1201.03431180405</c:v>
                </c:pt>
                <c:pt idx="5">
                  <c:v>1116.06684268868</c:v>
                </c:pt>
                <c:pt idx="6">
                  <c:v>1048.5353213005501</c:v>
                </c:pt>
                <c:pt idx="7">
                  <c:v>1023.60710832941</c:v>
                </c:pt>
                <c:pt idx="8">
                  <c:v>1090.31349533967</c:v>
                </c:pt>
                <c:pt idx="9">
                  <c:v>1208.1074604237101</c:v>
                </c:pt>
                <c:pt idx="10">
                  <c:v>1099.6455037861999</c:v>
                </c:pt>
                <c:pt idx="11">
                  <c:v>1022.3515009014</c:v>
                </c:pt>
                <c:pt idx="12">
                  <c:v>739.34162668078397</c:v>
                </c:pt>
                <c:pt idx="13">
                  <c:v>634.24678072275799</c:v>
                </c:pt>
                <c:pt idx="14">
                  <c:v>882.92207230500901</c:v>
                </c:pt>
                <c:pt idx="15">
                  <c:v>994.082725697981</c:v>
                </c:pt>
                <c:pt idx="16">
                  <c:v>1057.87990737429</c:v>
                </c:pt>
              </c:numCache>
            </c:numRef>
          </c:yVal>
          <c:smooth val="0"/>
          <c:extLst>
            <c:ext xmlns:c16="http://schemas.microsoft.com/office/drawing/2014/chart" uri="{C3380CC4-5D6E-409C-BE32-E72D297353CC}">
              <c16:uniqueId val="{00000001-FB29-F84A-BCB9-22AFCBC1935D}"/>
            </c:ext>
          </c:extLst>
        </c:ser>
        <c:dLbls>
          <c:showLegendKey val="0"/>
          <c:showVal val="0"/>
          <c:showCatName val="0"/>
          <c:showSerName val="0"/>
          <c:showPercent val="0"/>
          <c:showBubbleSize val="0"/>
        </c:dLbls>
        <c:axId val="2071120752"/>
        <c:axId val="2071122432"/>
      </c:scatterChart>
      <c:valAx>
        <c:axId val="2071120752"/>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Water Drought Indicator (Delta exporting basins)</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122432"/>
        <c:crosses val="autoZero"/>
        <c:crossBetween val="midCat"/>
      </c:valAx>
      <c:valAx>
        <c:axId val="2071122432"/>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Delta imports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120752"/>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regression_results!$B$1</c:f>
              <c:strCache>
                <c:ptCount val="1"/>
                <c:pt idx="0">
                  <c:v>Actual Delta imports</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regression_results!$B$2:$B$18</c:f>
              <c:numCache>
                <c:formatCode>General</c:formatCode>
                <c:ptCount val="17"/>
                <c:pt idx="0">
                  <c:v>1180.9678847392099</c:v>
                </c:pt>
                <c:pt idx="1">
                  <c:v>1193.4494458361901</c:v>
                </c:pt>
                <c:pt idx="2">
                  <c:v>1230.91870424844</c:v>
                </c:pt>
                <c:pt idx="3">
                  <c:v>1188.65495161013</c:v>
                </c:pt>
                <c:pt idx="4">
                  <c:v>1201.03431180405</c:v>
                </c:pt>
                <c:pt idx="5">
                  <c:v>1116.06684268868</c:v>
                </c:pt>
                <c:pt idx="6">
                  <c:v>1048.5353213005501</c:v>
                </c:pt>
                <c:pt idx="7">
                  <c:v>1023.60710832941</c:v>
                </c:pt>
                <c:pt idx="8">
                  <c:v>1090.31349533967</c:v>
                </c:pt>
                <c:pt idx="9">
                  <c:v>1208.1074604237101</c:v>
                </c:pt>
                <c:pt idx="10">
                  <c:v>1099.6455037861999</c:v>
                </c:pt>
                <c:pt idx="11">
                  <c:v>1022.3515009014</c:v>
                </c:pt>
                <c:pt idx="12">
                  <c:v>739.34162668078397</c:v>
                </c:pt>
                <c:pt idx="13">
                  <c:v>634.24678072275799</c:v>
                </c:pt>
                <c:pt idx="14">
                  <c:v>882.92207230500901</c:v>
                </c:pt>
                <c:pt idx="15">
                  <c:v>994.082725697981</c:v>
                </c:pt>
                <c:pt idx="16">
                  <c:v>1057.87990737429</c:v>
                </c:pt>
              </c:numCache>
            </c:numRef>
          </c:val>
          <c:extLst>
            <c:ext xmlns:c16="http://schemas.microsoft.com/office/drawing/2014/chart" uri="{C3380CC4-5D6E-409C-BE32-E72D297353CC}">
              <c16:uniqueId val="{00000000-F0EC-C643-8DDB-495481D85B34}"/>
            </c:ext>
          </c:extLst>
        </c:ser>
        <c:ser>
          <c:idx val="1"/>
          <c:order val="1"/>
          <c:tx>
            <c:strRef>
              <c:f>regression_results!$D$1</c:f>
              <c:strCache>
                <c:ptCount val="1"/>
                <c:pt idx="0">
                  <c:v>Estimated Delta imports</c:v>
                </c:pt>
              </c:strCache>
            </c:strRef>
          </c:tx>
          <c:spPr>
            <a:solidFill>
              <a:schemeClr val="accent2"/>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regression_results!$D$2:$D$18</c:f>
              <c:numCache>
                <c:formatCode>General</c:formatCode>
                <c:ptCount val="17"/>
                <c:pt idx="0">
                  <c:v>1092.9055585050601</c:v>
                </c:pt>
                <c:pt idx="1">
                  <c:v>1076.3317366450899</c:v>
                </c:pt>
                <c:pt idx="2">
                  <c:v>1093.39118301248</c:v>
                </c:pt>
                <c:pt idx="3">
                  <c:v>1177.8016870926399</c:v>
                </c:pt>
                <c:pt idx="4">
                  <c:v>1203.6611501730799</c:v>
                </c:pt>
                <c:pt idx="5">
                  <c:v>1114.4873465589901</c:v>
                </c:pt>
                <c:pt idx="6">
                  <c:v>1024.02101177432</c:v>
                </c:pt>
                <c:pt idx="7">
                  <c:v>972.10901519334595</c:v>
                </c:pt>
                <c:pt idx="8">
                  <c:v>1102.4029174418499</c:v>
                </c:pt>
                <c:pt idx="9">
                  <c:v>1203.5702179946099</c:v>
                </c:pt>
                <c:pt idx="10">
                  <c:v>1130.0807098154501</c:v>
                </c:pt>
                <c:pt idx="11">
                  <c:v>1005.45129744362</c:v>
                </c:pt>
                <c:pt idx="12">
                  <c:v>827.010456193697</c:v>
                </c:pt>
                <c:pt idx="13">
                  <c:v>682.11787462194195</c:v>
                </c:pt>
                <c:pt idx="14">
                  <c:v>853.82100498356795</c:v>
                </c:pt>
                <c:pt idx="15">
                  <c:v>1156.71657410799</c:v>
                </c:pt>
                <c:pt idx="16">
                  <c:v>1196.2459022307501</c:v>
                </c:pt>
              </c:numCache>
            </c:numRef>
          </c:val>
          <c:extLst>
            <c:ext xmlns:c16="http://schemas.microsoft.com/office/drawing/2014/chart" uri="{C3380CC4-5D6E-409C-BE32-E72D297353CC}">
              <c16:uniqueId val="{00000001-F0EC-C643-8DDB-495481D85B34}"/>
            </c:ext>
          </c:extLst>
        </c:ser>
        <c:dLbls>
          <c:showLegendKey val="0"/>
          <c:showVal val="0"/>
          <c:showCatName val="0"/>
          <c:showSerName val="0"/>
          <c:showPercent val="0"/>
          <c:showBubbleSize val="0"/>
        </c:dLbls>
        <c:gapWidth val="100"/>
        <c:overlap val="-27"/>
        <c:axId val="2071410400"/>
        <c:axId val="2071449664"/>
      </c:barChart>
      <c:catAx>
        <c:axId val="20714104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Water 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49664"/>
        <c:crosses val="autoZero"/>
        <c:auto val="1"/>
        <c:lblAlgn val="ctr"/>
        <c:lblOffset val="100"/>
        <c:noMultiLvlLbl val="0"/>
      </c:catAx>
      <c:valAx>
        <c:axId val="2071449664"/>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Surface delivieries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1040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'Update June'!$AG$2:$AG$18</c:f>
              <c:numCache>
                <c:formatCode>General</c:formatCode>
                <c:ptCount val="17"/>
                <c:pt idx="0">
                  <c:v>5427.5999999999894</c:v>
                </c:pt>
                <c:pt idx="1">
                  <c:v>4213.1999999999898</c:v>
                </c:pt>
                <c:pt idx="2">
                  <c:v>4256.99999999999</c:v>
                </c:pt>
                <c:pt idx="3">
                  <c:v>4328.3999999999905</c:v>
                </c:pt>
                <c:pt idx="4">
                  <c:v>4145.2999999999902</c:v>
                </c:pt>
                <c:pt idx="5">
                  <c:v>4577.99999999999</c:v>
                </c:pt>
                <c:pt idx="6">
                  <c:v>4517.0999999999894</c:v>
                </c:pt>
                <c:pt idx="7">
                  <c:v>4119.8999999999905</c:v>
                </c:pt>
                <c:pt idx="8">
                  <c:v>4418.8999999999896</c:v>
                </c:pt>
                <c:pt idx="9">
                  <c:v>4458.1999999999898</c:v>
                </c:pt>
                <c:pt idx="10">
                  <c:v>4094</c:v>
                </c:pt>
                <c:pt idx="11">
                  <c:v>3452.5999999999899</c:v>
                </c:pt>
                <c:pt idx="12">
                  <c:v>2548.099999999994</c:v>
                </c:pt>
                <c:pt idx="13">
                  <c:v>1732.4999999999982</c:v>
                </c:pt>
                <c:pt idx="14">
                  <c:v>2974.9999999999991</c:v>
                </c:pt>
                <c:pt idx="15">
                  <c:v>4139.4999999999909</c:v>
                </c:pt>
                <c:pt idx="16">
                  <c:v>3808.3999999999896</c:v>
                </c:pt>
              </c:numCache>
            </c:numRef>
          </c:xVal>
          <c:yVal>
            <c:numRef>
              <c:f>'Update June'!$G$2:$G$18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yVal>
          <c:smooth val="0"/>
          <c:extLst>
            <c:ext xmlns:c16="http://schemas.microsoft.com/office/drawing/2014/chart" uri="{C3380CC4-5D6E-409C-BE32-E72D297353CC}">
              <c16:uniqueId val="{00000001-2B37-9545-89F0-51EAB659D8B4}"/>
            </c:ext>
          </c:extLst>
        </c:ser>
        <c:dLbls>
          <c:showLegendKey val="0"/>
          <c:showVal val="0"/>
          <c:showCatName val="0"/>
          <c:showSerName val="0"/>
          <c:showPercent val="0"/>
          <c:showBubbleSize val="0"/>
        </c:dLbls>
        <c:axId val="2071120752"/>
        <c:axId val="2071122432"/>
      </c:scatterChart>
      <c:valAx>
        <c:axId val="207112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Surface water</a:t>
                </a:r>
                <a:r>
                  <a:rPr lang="en-US" baseline="0"/>
                  <a:t> deliveries, maf (Local + Imported)</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71122432"/>
        <c:crosses val="autoZero"/>
        <c:crossBetween val="midCat"/>
        <c:dispUnits>
          <c:builtInUnit val="thousands"/>
        </c:dispUnits>
      </c:valAx>
      <c:valAx>
        <c:axId val="2071122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Groundwater</a:t>
                </a:r>
                <a:r>
                  <a:rPr lang="en-US" baseline="0"/>
                  <a:t> deliveiries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71120752"/>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25400" cap="rnd">
              <a:noFill/>
              <a:round/>
            </a:ln>
            <a:effectLst/>
          </c:spPr>
          <c:marker>
            <c:symbol val="circle"/>
            <c:size val="5"/>
            <c:spPr>
              <a:solidFill>
                <a:schemeClr val="accent1"/>
              </a:solidFill>
              <a:ln w="9525">
                <a:solidFill>
                  <a:schemeClr val="accent1"/>
                </a:solidFill>
              </a:ln>
              <a:effectLst/>
            </c:spPr>
          </c:marker>
          <c:trendline>
            <c:spPr>
              <a:ln w="19050" cap="rnd">
                <a:solidFill>
                  <a:schemeClr val="accent1"/>
                </a:solidFill>
                <a:prstDash val="sysDot"/>
              </a:ln>
              <a:effectLst/>
            </c:spPr>
            <c:trendlineType val="poly"/>
            <c:order val="2"/>
            <c:dispRSqr val="0"/>
            <c:dispEq val="0"/>
          </c:trendline>
          <c:xVal>
            <c:numRef>
              <c:f>'Update June'!$T$2:$T$18</c:f>
              <c:numCache>
                <c:formatCode>General</c:formatCode>
                <c:ptCount val="17"/>
                <c:pt idx="0">
                  <c:v>0.36923076923076897</c:v>
                </c:pt>
                <c:pt idx="1">
                  <c:v>0.112307692307692</c:v>
                </c:pt>
                <c:pt idx="2">
                  <c:v>0.39384615384615301</c:v>
                </c:pt>
                <c:pt idx="3">
                  <c:v>0.75846153846153797</c:v>
                </c:pt>
                <c:pt idx="4">
                  <c:v>0.54384615384615298</c:v>
                </c:pt>
                <c:pt idx="5">
                  <c:v>0.20461538461538401</c:v>
                </c:pt>
                <c:pt idx="6">
                  <c:v>0.15076923076922999</c:v>
                </c:pt>
                <c:pt idx="7">
                  <c:v>0.26307692307692299</c:v>
                </c:pt>
                <c:pt idx="8">
                  <c:v>0.72769230769230697</c:v>
                </c:pt>
                <c:pt idx="9">
                  <c:v>0.895384615384615</c:v>
                </c:pt>
                <c:pt idx="10">
                  <c:v>6.7692307692307593E-2</c:v>
                </c:pt>
                <c:pt idx="11">
                  <c:v>8.3076923076923007E-2</c:v>
                </c:pt>
                <c:pt idx="12">
                  <c:v>1.2307692307692301E-2</c:v>
                </c:pt>
                <c:pt idx="13">
                  <c:v>2.9230769230769199E-2</c:v>
                </c:pt>
                <c:pt idx="14">
                  <c:v>0.70538461538461505</c:v>
                </c:pt>
                <c:pt idx="15">
                  <c:v>0.41076923076923</c:v>
                </c:pt>
                <c:pt idx="16">
                  <c:v>0.79230769230769205</c:v>
                </c:pt>
              </c:numCache>
            </c:numRef>
          </c:xVal>
          <c:yVal>
            <c:numRef>
              <c:f>'Update June'!$G$2:$G$18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yVal>
          <c:smooth val="0"/>
          <c:extLst>
            <c:ext xmlns:c16="http://schemas.microsoft.com/office/drawing/2014/chart" uri="{C3380CC4-5D6E-409C-BE32-E72D297353CC}">
              <c16:uniqueId val="{00000001-55BC-CE46-8ADA-57567C23D796}"/>
            </c:ext>
          </c:extLst>
        </c:ser>
        <c:dLbls>
          <c:showLegendKey val="0"/>
          <c:showVal val="0"/>
          <c:showCatName val="0"/>
          <c:showSerName val="0"/>
          <c:showPercent val="0"/>
          <c:showBubbleSize val="0"/>
        </c:dLbls>
        <c:axId val="2071120752"/>
        <c:axId val="2071122432"/>
      </c:scatterChart>
      <c:valAx>
        <c:axId val="2071120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Groundwater</a:t>
                </a:r>
                <a:r>
                  <a:rPr lang="en-US" baseline="0"/>
                  <a:t> pumping indicator</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71122432"/>
        <c:crosses val="autoZero"/>
        <c:crossBetween val="midCat"/>
      </c:valAx>
      <c:valAx>
        <c:axId val="207112243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r>
                  <a:rPr lang="en-US"/>
                  <a:t>Groundwater</a:t>
                </a:r>
                <a:r>
                  <a:rPr lang="en-US" baseline="0"/>
                  <a:t> deliveiries (maf)</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solidFill>
                  <a:latin typeface="+mn-lt"/>
                  <a:ea typeface="+mn-ea"/>
                  <a:cs typeface="+mn-cs"/>
                </a:defRPr>
              </a:pPr>
              <a:endParaRPr lang="en-US"/>
            </a:p>
          </c:txPr>
        </c:title>
        <c:numFmt formatCode="#,##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n-US"/>
          </a:p>
        </c:txPr>
        <c:crossAx val="2071120752"/>
        <c:crosses val="autoZero"/>
        <c:crossBetween val="midCat"/>
        <c:dispUnits>
          <c:builtInUnit val="thousands"/>
        </c:dispUnits>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regression_results!$E$1</c:f>
              <c:strCache>
                <c:ptCount val="1"/>
                <c:pt idx="0">
                  <c:v>Actual groundwater pumping</c:v>
                </c:pt>
              </c:strCache>
            </c:strRef>
          </c:tx>
          <c:spPr>
            <a:solidFill>
              <a:schemeClr val="accent1"/>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regression_results!$E$2:$E$18</c:f>
              <c:numCache>
                <c:formatCode>General</c:formatCode>
                <c:ptCount val="17"/>
                <c:pt idx="0">
                  <c:v>2720.1</c:v>
                </c:pt>
                <c:pt idx="1">
                  <c:v>2551.8000000000002</c:v>
                </c:pt>
                <c:pt idx="2">
                  <c:v>2936.7</c:v>
                </c:pt>
                <c:pt idx="3">
                  <c:v>2163.9</c:v>
                </c:pt>
                <c:pt idx="4">
                  <c:v>2669.6</c:v>
                </c:pt>
                <c:pt idx="5">
                  <c:v>3401.9</c:v>
                </c:pt>
                <c:pt idx="6">
                  <c:v>3656.2</c:v>
                </c:pt>
                <c:pt idx="7">
                  <c:v>3646.4</c:v>
                </c:pt>
                <c:pt idx="8">
                  <c:v>2507.1999999999998</c:v>
                </c:pt>
                <c:pt idx="9">
                  <c:v>2324.1</c:v>
                </c:pt>
                <c:pt idx="10">
                  <c:v>3361.8</c:v>
                </c:pt>
                <c:pt idx="11">
                  <c:v>3632.2</c:v>
                </c:pt>
                <c:pt idx="12">
                  <c:v>4510.8999999999996</c:v>
                </c:pt>
                <c:pt idx="13">
                  <c:v>4983.8999999999996</c:v>
                </c:pt>
                <c:pt idx="14">
                  <c:v>3633.5</c:v>
                </c:pt>
                <c:pt idx="15">
                  <c:v>2993.1</c:v>
                </c:pt>
                <c:pt idx="16">
                  <c:v>2671.1</c:v>
                </c:pt>
              </c:numCache>
            </c:numRef>
          </c:val>
          <c:extLst>
            <c:ext xmlns:c16="http://schemas.microsoft.com/office/drawing/2014/chart" uri="{C3380CC4-5D6E-409C-BE32-E72D297353CC}">
              <c16:uniqueId val="{00000000-048B-7F41-B5C8-BBA46D7FFA3D}"/>
            </c:ext>
          </c:extLst>
        </c:ser>
        <c:ser>
          <c:idx val="1"/>
          <c:order val="1"/>
          <c:tx>
            <c:strRef>
              <c:f>regression_results!$G$1</c:f>
              <c:strCache>
                <c:ptCount val="1"/>
                <c:pt idx="0">
                  <c:v>Estimated groundwater pumping</c:v>
                </c:pt>
              </c:strCache>
            </c:strRef>
          </c:tx>
          <c:spPr>
            <a:solidFill>
              <a:schemeClr val="accent2"/>
            </a:solidFill>
            <a:ln>
              <a:noFill/>
            </a:ln>
            <a:effectLst/>
          </c:spPr>
          <c:invertIfNegative val="0"/>
          <c:cat>
            <c:numRef>
              <c:f>regression_results!$H$2:$H$18</c:f>
              <c:numCache>
                <c:formatCode>General</c:formatCode>
                <c:ptCount val="17"/>
                <c:pt idx="0">
                  <c:v>2002</c:v>
                </c:pt>
                <c:pt idx="1">
                  <c:v>2003</c:v>
                </c:pt>
                <c:pt idx="2">
                  <c:v>2004</c:v>
                </c:pt>
                <c:pt idx="3">
                  <c:v>2005</c:v>
                </c:pt>
                <c:pt idx="4">
                  <c:v>2006</c:v>
                </c:pt>
                <c:pt idx="5">
                  <c:v>2007</c:v>
                </c:pt>
                <c:pt idx="6">
                  <c:v>2008</c:v>
                </c:pt>
                <c:pt idx="7">
                  <c:v>2009</c:v>
                </c:pt>
                <c:pt idx="8">
                  <c:v>2010</c:v>
                </c:pt>
                <c:pt idx="9">
                  <c:v>2011</c:v>
                </c:pt>
                <c:pt idx="10">
                  <c:v>2012</c:v>
                </c:pt>
                <c:pt idx="11">
                  <c:v>2013</c:v>
                </c:pt>
                <c:pt idx="12">
                  <c:v>2014</c:v>
                </c:pt>
                <c:pt idx="13">
                  <c:v>2015</c:v>
                </c:pt>
                <c:pt idx="14">
                  <c:v>2016</c:v>
                </c:pt>
                <c:pt idx="15">
                  <c:v>2018</c:v>
                </c:pt>
                <c:pt idx="16">
                  <c:v>2019</c:v>
                </c:pt>
              </c:numCache>
            </c:numRef>
          </c:cat>
          <c:val>
            <c:numRef>
              <c:f>regression_results!$G$2:$G$18</c:f>
              <c:numCache>
                <c:formatCode>General</c:formatCode>
                <c:ptCount val="17"/>
                <c:pt idx="0">
                  <c:v>2936.78615804115</c:v>
                </c:pt>
                <c:pt idx="1">
                  <c:v>3274.4134041453099</c:v>
                </c:pt>
                <c:pt idx="2">
                  <c:v>2904.35107752969</c:v>
                </c:pt>
                <c:pt idx="3">
                  <c:v>2486.1463672878399</c:v>
                </c:pt>
                <c:pt idx="4">
                  <c:v>2840.26130121297</c:v>
                </c:pt>
                <c:pt idx="5">
                  <c:v>3120.0286274222599</c:v>
                </c:pt>
                <c:pt idx="6">
                  <c:v>3361.6495466767601</c:v>
                </c:pt>
                <c:pt idx="7">
                  <c:v>3404.6930053521</c:v>
                </c:pt>
                <c:pt idx="8">
                  <c:v>2484.9643350347701</c:v>
                </c:pt>
                <c:pt idx="9">
                  <c:v>2404.6562160271701</c:v>
                </c:pt>
                <c:pt idx="10">
                  <c:v>3285.51472002538</c:v>
                </c:pt>
                <c:pt idx="11">
                  <c:v>3492.21223345824</c:v>
                </c:pt>
                <c:pt idx="12">
                  <c:v>4401.1676041096098</c:v>
                </c:pt>
                <c:pt idx="13">
                  <c:v>5214.8812297027798</c:v>
                </c:pt>
                <c:pt idx="14">
                  <c:v>3390.2232196165601</c:v>
                </c:pt>
                <c:pt idx="15">
                  <c:v>2872.13873645592</c:v>
                </c:pt>
                <c:pt idx="16">
                  <c:v>2490.3122179014599</c:v>
                </c:pt>
              </c:numCache>
            </c:numRef>
          </c:val>
          <c:extLst>
            <c:ext xmlns:c16="http://schemas.microsoft.com/office/drawing/2014/chart" uri="{C3380CC4-5D6E-409C-BE32-E72D297353CC}">
              <c16:uniqueId val="{00000001-048B-7F41-B5C8-BBA46D7FFA3D}"/>
            </c:ext>
          </c:extLst>
        </c:ser>
        <c:dLbls>
          <c:showLegendKey val="0"/>
          <c:showVal val="0"/>
          <c:showCatName val="0"/>
          <c:showSerName val="0"/>
          <c:showPercent val="0"/>
          <c:showBubbleSize val="0"/>
        </c:dLbls>
        <c:gapWidth val="100"/>
        <c:overlap val="-27"/>
        <c:axId val="2071410400"/>
        <c:axId val="2071449664"/>
      </c:barChart>
      <c:catAx>
        <c:axId val="2071410400"/>
        <c:scaling>
          <c:orientation val="minMax"/>
        </c:scaling>
        <c:delete val="0"/>
        <c:axPos val="b"/>
        <c:title>
          <c:tx>
            <c:rich>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Water year</a:t>
                </a:r>
              </a:p>
            </c:rich>
          </c:tx>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5400000" spcFirstLastPara="1" vertOverflow="ellipsis"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49664"/>
        <c:crosses val="autoZero"/>
        <c:auto val="1"/>
        <c:lblAlgn val="ctr"/>
        <c:lblOffset val="100"/>
        <c:noMultiLvlLbl val="0"/>
      </c:catAx>
      <c:valAx>
        <c:axId val="2071449664"/>
        <c:scaling>
          <c:orientation val="minMax"/>
        </c:scaling>
        <c:delete val="0"/>
        <c:axPos val="l"/>
        <c:title>
          <c:tx>
            <c:rich>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r>
                  <a:rPr lang="en-US"/>
                  <a:t>Groundwater delivieries (maf)</a:t>
                </a:r>
              </a:p>
            </c:rich>
          </c:tx>
          <c:overlay val="0"/>
          <c:spPr>
            <a:noFill/>
            <a:ln>
              <a:noFill/>
            </a:ln>
            <a:effectLst/>
          </c:spPr>
          <c:txPr>
            <a:bodyPr rot="-54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title>
        <c:numFmt formatCod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crossAx val="2071410400"/>
        <c:crosses val="autoZero"/>
        <c:crossBetween val="between"/>
        <c:dispUnits>
          <c:builtInUnit val="thousands"/>
        </c:dispUnits>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Arial" panose="020B0604020202020204" pitchFamily="34" charset="0"/>
              <a:ea typeface="+mn-ea"/>
              <a:cs typeface="Arial" panose="020B0604020202020204" pitchFamily="34" charset="0"/>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sz="900">
          <a:latin typeface="Arial" panose="020B0604020202020204" pitchFamily="34" charset="0"/>
          <a:cs typeface="Arial" panose="020B0604020202020204" pitchFamily="34"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8.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19.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0.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1.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22.xml><?xml version="1.0" encoding="utf-8"?>
<cs:chartStyle xmlns:cs="http://schemas.microsoft.com/office/drawing/2012/chartStyle" xmlns:a="http://schemas.openxmlformats.org/drawingml/2006/main" id="297">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cs:fontRef>
    <cs:defRPr sz="1000" kern="1200"/>
  </cs:axisTitle>
  <cs:categoryAxis>
    <cs:lnRef idx="0"/>
    <cs:fillRef idx="0"/>
    <cs:effectRef idx="0"/>
    <cs:fontRef idx="minor">
      <a:schemeClr val="tx1"/>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cs:fontRef>
    <cs:defRPr sz="900" kern="1200"/>
  </cs:dataLabel>
  <cs:dataLabelCallout>
    <cs:lnRef idx="0"/>
    <cs:fillRef idx="0"/>
    <cs:effectRef idx="0"/>
    <cs:fontRef idx="minor">
      <a:schemeClr val="dk1"/>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D4537F-FF41-844C-8F00-B7B906F6E3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23</Pages>
  <Words>5876</Words>
  <Characters>33495</Characters>
  <Application>Microsoft Office Word</Application>
  <DocSecurity>0</DocSecurity>
  <Lines>279</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Escriva-Bou, Alvar</cp:lastModifiedBy>
  <cp:revision>3</cp:revision>
  <dcterms:created xsi:type="dcterms:W3CDTF">2023-08-31T22:32:00Z</dcterms:created>
  <dcterms:modified xsi:type="dcterms:W3CDTF">2023-08-31T23:30:00Z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id="ubFOLxz4"/&gt;&lt;style id="http://www.zotero.org/styles/water-resources-research" hasBibliography="1" bibliographyStyleHasBeenSet="1"/&gt;&lt;prefs&gt;&lt;pref name="fieldType" value="Field"/&gt;&lt;/prefs&gt;&lt;/data&gt;</vt:lpwstr>
  </property>
</Properties>
</file>