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ind w:firstLine="72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 </w:t>
      </w:r>
      <w:r>
        <w:rPr>
          <w:rFonts w:eastAsia="Times New Roman" w:cs="Times New Roman" w:ascii="Times New Roman" w:hAnsi="Times New Roman"/>
          <w:sz w:val="32"/>
          <w:szCs w:val="32"/>
        </w:rPr>
        <w:t>Национальный исследовательский университет ИТМО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Факультет программной инженерии и компьютерной техники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Направление подготовки 09.03.04 Программная инженерия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Дисциплина «</w:t>
      </w:r>
      <w:r>
        <w:rPr>
          <w:rFonts w:eastAsia="Times New Roman" w:cs="Times New Roman" w:ascii="Times New Roman" w:hAnsi="Times New Roman"/>
          <w:i/>
          <w:sz w:val="32"/>
          <w:szCs w:val="32"/>
        </w:rPr>
        <w:t>Тестирование программного обеспечения</w:t>
      </w:r>
      <w:r>
        <w:rPr>
          <w:rFonts w:eastAsia="Times New Roman" w:cs="Times New Roman" w:ascii="Times New Roman" w:hAnsi="Times New Roman"/>
          <w:sz w:val="32"/>
          <w:szCs w:val="32"/>
        </w:rPr>
        <w:t>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Отчёт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По лабораторной работе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2"/>
          <w:szCs w:val="32"/>
        </w:rPr>
        <w:t>Вариант: 408256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Студенты: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Беля А. И.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Хачатрян Г. А.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P3317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>Демурчан В. В.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г. Санкт-Петербург, 2026 г.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Описание задания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>
      <w:pPr>
        <w:pStyle w:val="normal1"/>
        <w:shd w:val="clear" w:fill="FFFFFF"/>
        <w:spacing w:lineRule="auto" w:line="240" w:before="0" w:after="2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Вариант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408256</w:t>
      </w:r>
    </w:p>
    <w:p>
      <w:pPr>
        <w:pStyle w:val="normal1"/>
        <w:numPr>
          <w:ilvl w:val="0"/>
          <w:numId w:val="2"/>
        </w:numPr>
        <w:shd w:val="clear" w:fill="FFFFFF"/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Функция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tg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(x)</w:t>
      </w:r>
    </w:p>
    <w:p>
      <w:pPr>
        <w:pStyle w:val="BodyText"/>
        <w:numPr>
          <w:ilvl w:val="0"/>
          <w:numId w:val="2"/>
        </w:numPr>
        <w:shd w:val="clear" w:fill="FFFFFF"/>
        <w:spacing w:lineRule="auto" w:line="240" w:before="0" w:after="0"/>
        <w:ind w:hanging="360" w:start="720"/>
        <w:rPr/>
      </w:pPr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Программный модуль для работы c хеш-таблицей с закрытой адресацией (Hash Integer, </w:t>
      </w:r>
      <w:hyperlink r:id="rId2">
        <w:r>
          <w:rPr>
            <w:rStyle w:val="Hyperlink"/>
            <w:rFonts w:eastAsia="Times New Roman" w:cs="Times New Roman" w:ascii="times" w:hAnsi="times"/>
            <w:b w:val="false"/>
            <w:i w:val="false"/>
            <w:caps w:val="false"/>
            <w:smallCaps w:val="false"/>
            <w:strike w:val="false"/>
            <w:dstrike w:val="false"/>
            <w:color w:val="337AB7"/>
            <w:spacing w:val="0"/>
            <w:sz w:val="28"/>
            <w:szCs w:val="28"/>
            <w:u w:val="none"/>
            <w:effect w:val="none"/>
          </w:rPr>
          <w:t>http://www.cs.usfca.edu/~galles/visualization/OpenHash.html</w:t>
        </w:r>
      </w:hyperlink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)</w:t>
      </w:r>
    </w:p>
    <w:p>
      <w:pPr>
        <w:pStyle w:val="normal1"/>
        <w:numPr>
          <w:ilvl w:val="0"/>
          <w:numId w:val="2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Описание предметной области:</w:t>
      </w:r>
    </w:p>
    <w:tbl>
      <w:tblPr>
        <w:tblStyle w:val="Table1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9344"/>
      </w:tblGrid>
      <w:tr>
        <w:trPr/>
        <w:tc>
          <w:tcPr>
            <w:tcW w:w="9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color w:val="212529"/>
                <w:spacing w:val="0"/>
                <w:sz w:val="28"/>
                <w:szCs w:val="28"/>
              </w:rPr>
              <w:t>Например, в тот самый момент, когда Артур произнес "А у меня, кажется, большие проблемы с образом жизни", в ткани пространства-времени открылась случайная дыра и перенесла его слова далеко-далеко во времени через почти бескрайние просторы космоса в далекую галактику, где странные воинственные существа балансировали на грани ужасной межзвездной войны.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Выполнение</w:t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Исходный код</w:t>
      </w:r>
      <w:r>
        <w:rPr>
          <w:rFonts w:eastAsia="Times New Roman" w:cs="Times New Roman" w:ascii="Times New Roman" w:hAnsi="Times New Roman"/>
          <w:b/>
          <w:sz w:val="36"/>
          <w:szCs w:val="36"/>
        </w:rPr>
        <w:t xml:space="preserve"> 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color w:val="0563C1"/>
          <w:sz w:val="32"/>
          <w:szCs w:val="32"/>
          <w:u w:val="single"/>
        </w:rPr>
        <w:t>https://github.com/aeshabb/tpo_lab1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>Задание 1: tg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(x)</w:t>
      </w:r>
    </w:p>
    <w:p>
      <w:pPr>
        <w:pStyle w:val="BodyTex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Функция tg(x) раскладывается в ряд Тейлора:</w:t>
      </w:r>
    </w:p>
    <w:p>
      <w:pPr>
        <w:pStyle w:val="Style13"/>
        <w:rPr/>
      </w:pPr>
      <w:r>
        <w:rPr>
          <w:rStyle w:val="Style9"/>
          <w:rFonts w:ascii="Times New Roman" w:hAnsi="Times New Roman"/>
          <w:color w:val="000000"/>
          <w:sz w:val="28"/>
          <w:szCs w:val="28"/>
        </w:rPr>
        <w:t>tan(x) = x + x³/3 + 2x⁵/15 + 17x⁷/315 + 62x⁹/2835 + 1382x¹¹/155925 + ...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i/>
          <w:sz w:val="30"/>
          <w:szCs w:val="30"/>
        </w:rPr>
      </w:r>
    </w:p>
    <w:p>
      <w:pPr>
        <w:pStyle w:val="normal1"/>
        <w:numPr>
          <w:ilvl w:val="0"/>
          <w:numId w:val="3"/>
        </w:numPr>
        <w:spacing w:before="0" w:afterAutospacing="0" w:after="0"/>
        <w:ind w:hanging="360" w:start="720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Выберем “интересные” для тестирования точки:</w:t>
      </w:r>
    </w:p>
    <w:p>
      <w:pPr>
        <w:pStyle w:val="BodyText"/>
        <w:spacing w:before="0" w:afterAutospacing="0" w:after="0"/>
        <w:rPr/>
      </w:pPr>
      <w:r>
        <w:rPr>
          <w:rStyle w:val="Strong"/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0.0</w:t>
      </w:r>
      <w:r>
        <w:rPr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 — должно определяться как 0 ровно, а не как какое-то приближение (как в эталонной реализации Math.tan);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π/3 ≈ 1.0472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стандартное табличное значение, tg(π/3) = √3 ≈ 1.7321, близко к границе области сходимости;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−</w:t>
      </w: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π/3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симметричные отрицательные точки, проверка нечётности tg(−x) = −tg(x);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±</w:t>
      </w: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граничные значения, в которых tg(x) не определён — функция должна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3π/2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значение, приводимое к π/2 после нормализации, должно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±0.01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малые значения, при которых tg(x) ≈ x (линейное приближение, первый член ряда);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0.3 + 10π, −0.3 − 10π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большие значения для проверки нормализации угла (периодичность);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Double.NaN, Double.POSITIVE_INFINITY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специальные значения, должны вызывать исключения;</w:t>
      </w:r>
    </w:p>
    <w:p>
      <w:pPr>
        <w:pStyle w:val="BodyText"/>
        <w:widowControl/>
        <w:spacing w:before="0" w:after="140"/>
        <w:rPr>
          <w:b/>
          <w:bCs/>
        </w:rPr>
      </w:pP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bCs/>
          <w:i w:val="false"/>
          <w:caps w:val="false"/>
          <w:smallCaps w:val="false"/>
          <w:color w:val="1F2328"/>
          <w:spacing w:val="0"/>
          <w:sz w:val="24"/>
        </w:rPr>
        <w:t xml:space="preserve">Fuzzy — 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bCs w:val="false"/>
          <w:i w:val="false"/>
          <w:caps w:val="false"/>
          <w:smallCaps w:val="false"/>
          <w:color w:val="1F2328"/>
          <w:spacing w:val="0"/>
          <w:sz w:val="24"/>
        </w:rPr>
        <w:t>расстрел значениями.</w:t>
      </w:r>
    </w:p>
    <w:p>
      <w:pPr>
        <w:pStyle w:val="normal1"/>
        <w:numPr>
          <w:ilvl w:val="0"/>
          <w:numId w:val="0"/>
        </w:numPr>
        <w:spacing w:before="0" w:afterAutospacing="0" w:after="0"/>
        <w:ind w:hanging="0" w:start="1440"/>
        <w:rPr/>
      </w:pPr>
      <w:r>
        <w:rPr/>
      </w:r>
    </w:p>
    <w:p>
      <w:pPr>
        <w:pStyle w:val="Heading3"/>
        <w:pageBreakBefore w:val="false"/>
        <w:ind w:hanging="0" w:start="0"/>
        <w:rPr>
          <w:rFonts w:ascii="Times New Roman" w:hAnsi="Times New Roman" w:eastAsia="Times New Roman" w:cs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ind w:hanging="0" w:start="0"/>
        <w:rPr>
          <w:rFonts w:ascii="Times New Roman" w:hAnsi="Times New Roman" w:eastAsia="Times New Roman" w:cs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Таблица тестовых данных для «интересных» точек</w:t>
      </w:r>
    </w:p>
    <w:tbl>
      <w:tblPr>
        <w:tblW w:w="8186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403"/>
        <w:gridCol w:w="2234"/>
        <w:gridCol w:w="1185"/>
        <w:gridCol w:w="3363"/>
      </w:tblGrid>
      <w:tr>
        <w:trPr>
          <w:tblHeader w:val="true"/>
        </w:trPr>
        <w:tc>
          <w:tcPr>
            <w:tcW w:w="140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x</w:t>
            </w:r>
          </w:p>
        </w:tc>
        <w:tc>
          <w:tcPr>
            <w:tcW w:w="223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tg(x) ожидаемое</w:t>
            </w:r>
          </w:p>
        </w:tc>
        <w:tc>
          <w:tcPr>
            <w:tcW w:w="118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Точность</w:t>
            </w:r>
          </w:p>
        </w:tc>
        <w:tc>
          <w:tcPr>
            <w:tcW w:w="33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1e-10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Точный ноль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π/3 ≈ 1.0472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√</w:t>
            </w:r>
            <w:r>
              <w:rPr>
                <w:rFonts w:ascii="Times New Roman" w:hAnsi="Times New Roman"/>
                <w:sz w:val="28"/>
                <w:szCs w:val="28"/>
              </w:rPr>
              <w:t>3 ≈ 1.7321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Близко к границе сходимости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3π/2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Нормализуется к π/2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0.3 + 10π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  <w:tr>
        <w:trPr/>
        <w:tc>
          <w:tcPr>
            <w:tcW w:w="140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0.3 − 10π</w:t>
            </w:r>
          </w:p>
        </w:tc>
        <w:tc>
          <w:tcPr>
            <w:tcW w:w="223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3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</w:tbl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BodyText"/>
        <w:numPr>
          <w:ilvl w:val="0"/>
          <w:numId w:val="3"/>
        </w:numPr>
        <w:spacing w:before="0" w:afterAutospacing="0" w:after="0"/>
        <w:ind w:hanging="360" w:start="72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Помимо «особенных» точек, тестируется: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Сходимость ряда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при увеличении числа членов ряда от 1 до 11 ошибка должна монотонно убывать. Проверяется для x = 0.5.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Проверка отдельных членов ряда: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1 член: tg(x) ≈ x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2 члена: tg(x) ≈ x + x³/3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3 члена: tg(x) ≈ x + x³/3 + 2x⁵/15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Свойства функции: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Нечётность: tg(−x) = −tg(x) для x ∈ {0.1, 0.3, 0.5, 0.7, 1.0, 1.2}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Периодичность: tg(x + π) = tg(x), tg(x + 2π) = tg(x)</w:t>
      </w:r>
    </w:p>
    <w:p>
      <w:pPr>
        <w:pStyle w:val="BodyText"/>
        <w:widowControl/>
        <w:numPr>
          <w:ilvl w:val="0"/>
          <w:numId w:val="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Обработка ошибок: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0 → IllegalArgumentException</w:t>
      </w:r>
    </w:p>
    <w:p>
      <w:pPr>
        <w:pStyle w:val="BodyText"/>
        <w:widowControl/>
        <w:numPr>
          <w:ilvl w:val="1"/>
          <w:numId w:val="4"/>
        </w:numPr>
        <w:spacing w:before="0" w:after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−1 → IllegalArgumentException</w:t>
      </w:r>
    </w:p>
    <w:p>
      <w:pPr>
        <w:pStyle w:val="BodyText"/>
        <w:widowControl/>
        <w:numPr>
          <w:ilvl w:val="1"/>
          <w:numId w:val="4"/>
        </w:numPr>
        <w:spacing w:before="0" w:after="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12 (&gt; maxTerms) → IllegalArgumentException</w:t>
      </w:r>
    </w:p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Функция tg(x) корректно обрабатывает все тестовые случаи, включая граничные и специальные значения. Все результаты совпадают с эталонной реализацией Math.tan с заданной точностью. Функция правильно выбрасывает ArithmeticException для значений, в которых tg(x) не определён, и корректно нормализует углы с учётом периодичности. Сходимость ряда подтверждена — увеличение количества членов монотонно уменьшает ошибку.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8"/>
          <w:szCs w:val="3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2: </w:t>
      </w:r>
      <w:r>
        <w:rPr>
          <w:rFonts w:eastAsia="Times New Roman" w:cs="Times New Roman" w:ascii="Times New Roman" w:hAnsi="Times New Roman"/>
          <w:b/>
          <w:i/>
          <w:sz w:val="30"/>
          <w:szCs w:val="30"/>
        </w:rPr>
        <w:t>HashTable</w:t>
      </w:r>
    </w:p>
    <w:p>
      <w:pPr>
        <w:pStyle w:val="BodyText"/>
        <w:spacing w:lineRule="auto" w:line="240" w:before="200" w:after="160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Эталонная реализация: </w:t>
      </w: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969DA"/>
            <w:spacing w:val="0"/>
            <w:sz w:val="28"/>
            <w:szCs w:val="28"/>
            <w:u w:val="none"/>
            <w:effect w:val="none"/>
            <w:shd w:fill="auto" w:val="clear"/>
          </w:rPr>
          <w:t>http://www.cs.usfca.edu/~galles/visualization/OpenHash.html</w:t>
        </w:r>
      </w:hyperlink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Хеш-таблица с закрытой адресацией (метод цепочек / open hashing) — это структура данных, в которой каждый слот (бакет) таблицы содержит связанный список элементов. При возникновении коллизии (два ключа имеют одинаковый хеш) новый элемент добавляется в цепочку соответствующей корзины.</w:t>
      </w:r>
    </w:p>
    <w:p>
      <w:pPr>
        <w:pStyle w:val="BodyText"/>
        <w:widowControl/>
        <w:spacing w:before="0" w:after="0"/>
        <w:ind w:hanging="0" w:start="0" w:end="0"/>
        <w:rPr/>
      </w:pPr>
      <w:r>
        <w:rPr>
          <w:rFonts w:ascii="Times" w:hAnsi="Times"/>
          <w:sz w:val="28"/>
          <w:szCs w:val="28"/>
        </w:rPr>
        <w:t>Хеш-функция: </w:t>
      </w:r>
      <w:r>
        <w:rPr>
          <w:rStyle w:val="Style9"/>
          <w:rFonts w:ascii="Times" w:hAnsi="Times"/>
          <w:sz w:val="28"/>
          <w:szCs w:val="28"/>
        </w:rPr>
        <w:t>hash(key) = key mod capacity</w:t>
      </w:r>
      <w:r>
        <w:rPr>
          <w:rFonts w:ascii="Times" w:hAnsi="Times"/>
          <w:sz w:val="28"/>
          <w:szCs w:val="28"/>
        </w:rPr>
        <w:t> (с использованием </w:t>
      </w:r>
      <w:r>
        <w:rPr>
          <w:rStyle w:val="Style9"/>
          <w:rFonts w:ascii="Times" w:hAnsi="Times"/>
          <w:sz w:val="28"/>
          <w:szCs w:val="28"/>
        </w:rPr>
        <w:t>Math.floorMod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для корректной обработки отрицательных ключей).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Поддерживаемые операции:</w:t>
      </w:r>
    </w:p>
    <w:p>
      <w:pPr>
        <w:pStyle w:val="BodyText"/>
        <w:widowControl/>
        <w:numPr>
          <w:ilvl w:val="0"/>
          <w:numId w:val="1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insert(key, value)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вставка пары ключ-значение (или обновление значения, если ключ уже существует)</w:t>
      </w:r>
    </w:p>
    <w:p>
      <w:pPr>
        <w:pStyle w:val="BodyText"/>
        <w:widowControl/>
        <w:numPr>
          <w:ilvl w:val="0"/>
          <w:numId w:val="1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search(key)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поиск значения по ключу</w:t>
      </w:r>
    </w:p>
    <w:p>
      <w:pPr>
        <w:pStyle w:val="BodyText"/>
        <w:widowControl/>
        <w:numPr>
          <w:ilvl w:val="0"/>
          <w:numId w:val="1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delete(key)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удаление элемента по ключу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Характерные точки алгоритма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тестирования выделены следующие характерные точки внутри алгоритма:</w:t>
      </w:r>
    </w:p>
    <w:tbl>
      <w:tblPr>
        <w:tblW w:w="9020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275"/>
        <w:gridCol w:w="2940"/>
        <w:gridCol w:w="4805"/>
      </w:tblGrid>
      <w:tr>
        <w:trPr>
          <w:tblHeader w:val="true"/>
        </w:trPr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Точка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Обозначение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HASH_COMPUTED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Хеш вычислен, определён индекс корзины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BUCKET_EMPTY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пуста (null)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BUCKET_NOT_EMPTY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не пуста, содержит цепочку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KEY_FOUND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 в цепочке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E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KEY_NOT_FOUND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после обхода цепочки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ENTRY_INSERTED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Новый элемент вставлен в таблицу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G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ENTRY_UPDATED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Значение существующего элемента обновлено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ENTRY_DELETED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Элемент удалён из таблицы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SEARCH_RESULT_RETURNED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 поиска возвращён вызывающему коду</w:t>
            </w:r>
          </w:p>
        </w:tc>
      </w:tr>
    </w:tbl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Эталонные последовательности прохождения характерных точек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каждой операции составлены эталонные последовательности попадания в характерные точки в зависимости от состояния таблицы: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INSERT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98"/>
        <w:gridCol w:w="2896"/>
        <w:gridCol w:w="3360"/>
      </w:tblGrid>
      <w:tr>
        <w:trPr>
          <w:tblHeader w:val="true"/>
        </w:trPr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89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36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Вставка в пустую корзину</w:t>
            </w:r>
          </w:p>
        </w:tc>
        <w:tc>
          <w:tcPr>
            <w:tcW w:w="289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capacity=7, insert(10, 100)</w:t>
            </w:r>
          </w:p>
        </w:tc>
        <w:tc>
          <w:tcPr>
            <w:tcW w:w="336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F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Вставка с коллизией (новый ключ)</w:t>
            </w:r>
          </w:p>
        </w:tc>
        <w:tc>
          <w:tcPr>
            <w:tcW w:w="289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затем insert(8, 80) [8%7=1]</w:t>
            </w:r>
          </w:p>
        </w:tc>
        <w:tc>
          <w:tcPr>
            <w:tcW w:w="336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 → F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Обновление существующего ключа</w:t>
            </w:r>
          </w:p>
        </w:tc>
        <w:tc>
          <w:tcPr>
            <w:tcW w:w="289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затем insert(5, 500)</w:t>
            </w:r>
          </w:p>
        </w:tc>
        <w:tc>
          <w:tcPr>
            <w:tcW w:w="336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G</w:t>
            </w:r>
          </w:p>
        </w:tc>
      </w:tr>
    </w:tbl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SEARCH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52"/>
        <w:gridCol w:w="2802"/>
        <w:gridCol w:w="3500"/>
      </w:tblGrid>
      <w:tr>
        <w:trPr>
          <w:tblHeader w:val="true"/>
        </w:trPr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80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50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Поиск в пустой корзине</w:t>
            </w:r>
          </w:p>
        </w:tc>
        <w:tc>
          <w:tcPr>
            <w:tcW w:w="280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пустая таблица, search(10)</w:t>
            </w:r>
          </w:p>
        </w:tc>
        <w:tc>
          <w:tcPr>
            <w:tcW w:w="350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I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</w:t>
            </w:r>
          </w:p>
        </w:tc>
        <w:tc>
          <w:tcPr>
            <w:tcW w:w="280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search(5)</w:t>
            </w:r>
          </w:p>
        </w:tc>
        <w:tc>
          <w:tcPr>
            <w:tcW w:w="350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I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в непустой корзине</w:t>
            </w:r>
          </w:p>
        </w:tc>
        <w:tc>
          <w:tcPr>
            <w:tcW w:w="280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search(22) [22%7=1]</w:t>
            </w:r>
          </w:p>
        </w:tc>
        <w:tc>
          <w:tcPr>
            <w:tcW w:w="350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 → I</w:t>
            </w:r>
          </w:p>
        </w:tc>
      </w:tr>
    </w:tbl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DELETE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63"/>
        <w:gridCol w:w="2786"/>
        <w:gridCol w:w="3505"/>
      </w:tblGrid>
      <w:tr>
        <w:trPr>
          <w:tblHeader w:val="true"/>
        </w:trPr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78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5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Удаление из пустой корзины</w:t>
            </w:r>
          </w:p>
        </w:tc>
        <w:tc>
          <w:tcPr>
            <w:tcW w:w="278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пустая таблица, delete(10)</w:t>
            </w:r>
          </w:p>
        </w:tc>
        <w:tc>
          <w:tcPr>
            <w:tcW w:w="35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E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 и удалён</w:t>
            </w:r>
          </w:p>
        </w:tc>
        <w:tc>
          <w:tcPr>
            <w:tcW w:w="278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delete(5)</w:t>
            </w:r>
          </w:p>
        </w:tc>
        <w:tc>
          <w:tcPr>
            <w:tcW w:w="35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H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в непустой корзине</w:t>
            </w:r>
          </w:p>
        </w:tc>
        <w:tc>
          <w:tcPr>
            <w:tcW w:w="2786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delete(22) [22%7=1]</w:t>
            </w:r>
          </w:p>
        </w:tc>
        <w:tc>
          <w:tcPr>
            <w:tcW w:w="35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</w:t>
            </w:r>
          </w:p>
        </w:tc>
      </w:tr>
    </w:tbl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Подход к тестированию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Будем проверять реализацию хеш-таблицы следующим образом:</w:t>
      </w:r>
    </w:p>
    <w:p>
      <w:pPr>
        <w:pStyle w:val="BodyText"/>
        <w:widowControl/>
        <w:numPr>
          <w:ilvl w:val="0"/>
          <w:numId w:val="1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публичного метода структуры (insert/search/delete — интерфейс совпадает с эталонной реализацией) выделяем основные сценарии работы метода (то есть возможные ветвления);</w:t>
      </w:r>
    </w:p>
    <w:p>
      <w:pPr>
        <w:pStyle w:val="BodyText"/>
        <w:widowControl/>
        <w:numPr>
          <w:ilvl w:val="0"/>
          <w:numId w:val="1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Проверяем приватные методы как «белый ящик» — через вызов публичных методов с заданными исходными данными, которые обеспечивают выполнение проверяемого участка кода;</w:t>
      </w:r>
    </w:p>
    <w:p>
      <w:pPr>
        <w:pStyle w:val="BodyText"/>
        <w:widowControl/>
        <w:numPr>
          <w:ilvl w:val="0"/>
          <w:numId w:val="1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сценария записываем последовательность попадания в характерные точки и сравниваем с эталонной через механизм TraceListener.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InsertTest (операция INSERT)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testInsertIntoEmptyTable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в пустую таблицу — проверяется размер и корректность поиска вставленного элемента.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testInsertWithoutCollisions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нескольких элементов без коллизий — проверяется независимость корзин.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testInsertWithCollision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элементов с коллизией (ключи 1 и 8 при capacity=7, оба дают хеш 1) — проверяется, что оба элемента в одной корзине.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testInsertUpdateExisting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Обновление значения при повторной вставке — размер не изменяется, значение обновляется.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testInsertNegativeKey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отрицательного ключа — проверяется корректность floorMod.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testInsertZeroKey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ключа 0 — граничное значение.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SearchTest (операция SEARCH)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testSearchInEmptyTable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в пустой таблице возвращает null.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существующего элемента возвращает его значение.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testSearchNonExistingKey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несуществующего элемента возвращает null.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testSearchInChain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каждого элемента в цепочке из 3 элементов (ключи 1, 8, 15 — все в корзине 1).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testSearchMissingKeyInNonEmptyBucket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отсутствующего ключа 22 (22%7=1) в непустой корзине с ключом 1.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DeleteTest (операция DELETE)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testDeleteFromEmptyTable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из пустой таблицы возвращает false.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существующего элемента — размер уменьшается, поиск возвращает null.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testDeleteNonExistingKey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несуществующего элемента — размер не изменяется.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testDeleteFromChain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среднего элемента из цепочки — остальные элементы сохраняются.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testDeleteLastInBucket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последнего элемента в корзине — корзина становится пустой.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testDeleteMissingKeyInNonEmptyBucket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отсутствующего ключа из непустой корзины.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InsertTraceTest (трассировка INSERT)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F.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testInsertCollisionNewKeyTrace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 → F.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testInsertUpdateTrace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G.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SearchTraceTest (трассировка SEARCH)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I.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I.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testSearchNotFoundTrace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 → I.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DeleteTraceTest (трассировка DELETE)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E.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H.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testDeleteNotFoundInChainTrace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HashFunctionTest (хеш-функция)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testHashPositive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hash(10) = 10 % 7 = 3.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testHashZero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hash(0) = 0.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testHashNegative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hash(−3) = Math.floorMod(−3, 7) = 4 (а не −3).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testCollisionKeys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hash(1) = hash(8) = hash(15) = 1.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BoundaryTest (граничные случаи)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testCapacityOne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1 — все элементы в одной корзине.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testInvalidCapacityZero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0 → IllegalArgumentException.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testInvalidCapacityNegative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−5 → IllegalArgumentException.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testInvalidBucketIndex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Индексы −1 и 7 → IndexOutOfBoundsException.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testClear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Очистка таблицы — размер 0, все элементы удалены.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testContainsKey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метода containsKey.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testMultipleInsertDelete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100 вставок, 50 удалений — проверка целостности.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ComplexTraceTest (комплексные сценарии)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testFullLifecycleTrace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Полный жизненный цикл элемента: вставка → поиск → обновление → удаление → поиск удалённого. Для каждого шага проверяется эталонная последовательность характерных точек.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testChainSearchTrace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Цепочка из 3 элементов — поиск существующего и несуществующего ключа с проверкой трассировки.</w:t>
      </w:r>
    </w:p>
    <w:p>
      <w:pPr>
        <w:pStyle w:val="BodyText"/>
        <w:widowControl/>
        <w:spacing w:before="0" w:after="14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успешно. Реализация хеш-таблицы корректна: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операции (insert, search, delete) работают правильно.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Коллизии разрешаются корректно через цепочки.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Последовательности прохождения характерных точек совпадают с эталонными.</w:t>
      </w:r>
    </w:p>
    <w:p>
      <w:pPr>
        <w:pStyle w:val="BodyText"/>
        <w:widowControl/>
        <w:numPr>
          <w:ilvl w:val="0"/>
          <w:numId w:val="5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Граничные случаи (ёмкость 1, отрицательные ключи, пустая таблица) обрабатываются корректно.</w:t>
      </w:r>
    </w:p>
    <w:p>
      <w:pPr>
        <w:pStyle w:val="BodyText"/>
        <w:widowControl/>
        <w:numPr>
          <w:ilvl w:val="0"/>
          <w:numId w:val="5"/>
        </w:numPr>
        <w:spacing w:before="0" w:after="14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Покрытие кода: строки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98.0%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, ветви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100.0%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3: 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Описание предметной области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526605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26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Доменная модель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Разработанные классы: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665"/>
        <w:gridCol w:w="4269"/>
        <w:gridCol w:w="3420"/>
      </w:tblGrid>
      <w:tr>
        <w:trPr>
          <w:tblHeader w:val="true"/>
        </w:trPr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Из текста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Person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Персонаж (Артур)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«Артур произнёс»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LifeStyle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Образ жизни (нормальный / проблемный / критический)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«большие проблемы с образом жизни»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Words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Произнесённые слова, которые могут путешествовать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«перенесла его слова»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SpaceTimeFabric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Ткань пространства-времени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ткани пространства-времени»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SpaceTimeHole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Случайная дыра в пространстве-времени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«открылась случайная дыра»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Cosmos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Космос (почти бескрайний)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«почти бескрайние просторы космоса»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Galaxy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Далёкая галактика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далёкую галактику»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WarlikeCreature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Странное воинственное существо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«странные воинственные существа»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InterstellarWar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Ужасная межзвёздная война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«на грани ужасной межзвёздной войны»</w:t>
            </w:r>
          </w:p>
        </w:tc>
      </w:tr>
      <w:tr>
        <w:trPr/>
        <w:tc>
          <w:tcPr>
            <w:tcW w:w="166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/>
            </w:pPr>
            <w:r>
              <w:rPr>
                <w:rStyle w:val="Style9"/>
                <w:rFonts w:ascii="Times New Roman" w:hAnsi="Times New Roman"/>
                <w:sz w:val="28"/>
                <w:szCs w:val="28"/>
              </w:rPr>
              <w:t>Scenario</w:t>
            </w:r>
          </w:p>
        </w:tc>
        <w:tc>
          <w:tcPr>
            <w:tcW w:w="4269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Объединяет все элементы и выполняет описанный сценарий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Весь текст целиком</w:t>
            </w:r>
          </w:p>
        </w:tc>
      </w:tr>
    </w:tbl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PersonTest (Персонаж)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корректность создания объекта Person (имя и начальное состояние — фраза null).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testSayPhrase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метод sayPhrase корректно создаёт объект Words с содержанием, ссылкой на автора и обновляет текущую фразу персонажа.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testDefaultLifeStyle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у персонажа по умолчанию нормальный образ жизни (NORMAL).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можно установить проблемный образ жизни и метод hasProblems возвращает true.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LifeStyleTest (Образ жизни)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testNormalLifeStyle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Нормальный образ жизни — нет проблем, описание «обычный образ жизни».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Проблемный — есть проблемы, описание «большие проблемы с образом жизни».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testCriticalLifeStyle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Критический — есть проблемы.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testChangeQuality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качества образа жизни обновляет описание.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WordsTest (Произнесённые слова)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создание слов с содержанием и автором; по умолчанию не перенесены (isTransported=false, destination=null).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перенос слов в галактику — isTransported=true, destination равна указанной галактике.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SpaceTimeFabricTest (Ткань пространства-времени)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Изначально нет дыр (hasOpenHole=false, getCurrentHole=null).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testOpenHole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Открытие случайной дыры — дыра не null, открыта, ведёт в указанную галактику.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hasOpenHole=false.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testCloseWhenNoHole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при отсутствии дыры не вызывает исключение.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SpaceTimeHoleTest (Дыра в пространстве-времени)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открытой дыры с указанной галактикой назначения.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testTransportWords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Перенос слов через дыру — слова помечаются как перенесённые, destination = галактика.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testTransportThroughClosedHole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Попытка переноса через закрытую дыру → IllegalStateException.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isOpen=false.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GalaxyTest (Далёкая галактика)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далёкой галактики — имя, isDistant=true, нет существ.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testAddInhabitants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Добавление воинственных существ — hasWarlikeCreatures=true, размер списка = 1.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на грани войны (война не начата) — isOnBrinkOfWar=true.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testNotOnBrinkOfWarWhenStarted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уже началась — isOnBrinkOfWar=false.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без войны — isOnBrinkOfWar=false.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testGetInhabitantsReturnsCopy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getInhabitants возвращает копию списка — модификация копии не влияет на оригинал.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WarlikeCreatureTest (Воинственные существа)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странного воинственного существа — isStrange=true, isWarlike=true, isOnBrinkOfWar=true.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Готовность к войне — WarReadiness.ON_BRINK_OF_WAR.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testChangeWarReadiness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состояния готовности (AT_WAR → не на грани, PEACEFUL → не на грани).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testSetStrange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не странным.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testSetNotWarlike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мирным.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InterstellarWarTest (Межзвёздная война)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ужасной межзвёздной войны — описание, isTerrible=true, isStarted=false.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testStart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начинается — isStarted=true.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testNotTerrible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может быть не ужасной — isTerrible=false.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CosmosTest (Космос)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testAlmostBoundless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почти бескрайний — isAlmostBoundless=true.</w:t>
      </w:r>
    </w:p>
    <w:p>
      <w:pPr>
        <w:pStyle w:val="Heading4"/>
        <w:widowControl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ScenarioTest (Полный сценарий)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начальное состояние всех элементов сценария до выполнения — Артур с проблемным образом жизни, далёкая галактика со странными существами на грани войны, война ужасная и не начата.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testExecuteScenario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выполнение полного сценария — Артур произносит фразу, слова переносятся в далёкую галактику через дыру, дыра закрывается.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testGalaxyInhabitants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галактика населена странными воинственными существами, балансирующими на грани войны (2 существа, каждое isStrange=true, isWarlike=true, isOnBrinkOfWar=true).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testCosmosInScenario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доступен в сценарии и почти бескрайний.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testWarState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ужасная, ещё не началась, галактика на грани.</w:t>
      </w:r>
    </w:p>
    <w:p>
      <w:pPr>
        <w:pStyle w:val="BodyText"/>
        <w:widowControl/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spacing w:before="0" w:after="0"/>
        <w:ind w:hanging="0" w:start="0" w:end="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успешно:</w:t>
      </w:r>
    </w:p>
    <w:p>
      <w:pPr>
        <w:pStyle w:val="BodyText"/>
        <w:widowControl/>
        <w:numPr>
          <w:ilvl w:val="0"/>
          <w:numId w:val="22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объекты доменной модели создаются корректно.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Состояния изменяются в соответствии с действиями.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Сценарий выполняется последовательно — Артур произносит фразу, дыра открывается, слова переносятся, дыра закрывается.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Инварианты сохраняются (существа странные и воинственные, война ужасная, космос почти бескрайний).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Покрытие кода: строки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93.5%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, ветви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95.2%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Summary: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Total tests : 111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Failures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Errors 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Skipped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Time        : 0.69s</w:t>
      </w:r>
    </w:p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282700"/>
            <wp:effectExtent l="0" t="0" r="0" b="0"/>
            <wp:wrapSquare wrapText="largest"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Итоговое тестовое покрытие.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Во время выполнения лабораторной работы мы углубили свои знания в JUnit5, научились писать юнит-тесты, использовать параметризированные тесты и тесты на проверку составленной объектной модели.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bookmarkStart w:id="0" w:name="_gjdgxs"/>
      <w:bookmarkStart w:id="1" w:name="_gjdgxs"/>
      <w:bookmarkEnd w:id="1"/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851" w:gutter="0" w:header="709" w:top="1134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  <w:font w:name="apple-system">
    <w:altName w:val="BlinkMacSystemFont"/>
    <w:charset w:val="01" w:characterSet="utf-8"/>
    <w:family w:val="roman"/>
    <w:pitch w:val="variable"/>
  </w:font>
  <w:font w:name="Times">
    <w:altName w:val="Times New Roman"/>
    <w:charset w:val="01"/>
    <w:family w:val="roman"/>
    <w:pitch w:val="default"/>
  </w:font>
  <w:font w:name="Times New ROman"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Style8">
    <w:name w:val="Символ нумерации"/>
    <w:qFormat/>
    <w:rPr/>
  </w:style>
  <w:style w:type="character" w:styleId="Style9">
    <w:name w:val="Исходны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Style1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Style15">
    <w:name w:val="Заголовок таблицы"/>
    <w:basedOn w:val="Style14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cs.usfca.edu/~galles/visualization/OpenHash.html" TargetMode="External"/><Relationship Id="rId3" Type="http://schemas.openxmlformats.org/officeDocument/2006/relationships/hyperlink" Target="http://www.cs.usfca.edu/~galles/visualization/OpenHash.html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LibreOffice/24.2.7.2$Linux_X86_64 LibreOffice_project/420$Build-2</Application>
  <AppVersion>15.0000</AppVersion>
  <Pages>18</Pages>
  <Words>2070</Words>
  <Characters>14449</Characters>
  <CharactersWithSpaces>16155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lastPrinted>2026-03-10T12:17:24Z</cp:lastPrinted>
  <dcterms:modified xsi:type="dcterms:W3CDTF">2026-03-10T16:43:57Z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