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Supplementary Material S1 — LASSO Feature Selection</w:t>
      </w:r>
    </w:p>
    <w:p>
      <w:r>
        <w:t>Supplementary Figure S1. LASSO coefficient paths and selected predictors</w:t>
      </w:r>
    </w:p>
    <w:p>
      <w:r>
        <w:t>Panel S1A. LASSO coefficient paths</w:t>
      </w:r>
    </w:p>
    <w:p>
      <w:r>
        <w:t>This panel shows the coefficient shrinkage trajectories across a range of penalty values (λ). As λ increases, coefficients progressively shrink toward zero, with the final set of predictors determined at the cross-validated optimal λ for each outcome (POF, 28-day mortality, and the composite endpoint).</w:t>
      </w:r>
    </w:p>
    <w:p>
      <w:r>
        <w:drawing>
          <wp:inline xmlns:a="http://schemas.openxmlformats.org/drawingml/2006/main" xmlns:pic="http://schemas.openxmlformats.org/drawingml/2006/picture">
            <wp:extent cx="5486400" cy="37616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F1a_diag_po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61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7616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F1a_diag_mortal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61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761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F1a_diag_composi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61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——————————</w:t>
      </w:r>
    </w:p>
    <w:p>
      <w:r>
        <w:t>Panel S1B. Selected predictors and standardized coefficients</w:t>
      </w:r>
    </w:p>
    <w:p>
      <w:r>
        <w:t>This panel displays predictors retained at the optimal λ and their standardized coefficients. Positive coefficients indicate higher predicted risk, and negative values indicate protective associations. Selected predictors primarily reflect renal function, oxygenation, perfusion, and acid–base status.</w:t>
      </w:r>
    </w:p>
    <w:p>
      <w:r>
        <w:drawing>
          <wp:inline xmlns:a="http://schemas.openxmlformats.org/drawingml/2006/main" xmlns:pic="http://schemas.openxmlformats.org/drawingml/2006/picture">
            <wp:extent cx="5486400" cy="40712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F1b_importance_po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71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0722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F1b_importance_mortal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72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0712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F1b_importance_composi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7123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